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328E" w:rsidR="002D6B1E" w:rsidP="002D4724" w:rsidRDefault="00163345" w14:paraId="2BEAA63B" w14:textId="1742E7E2">
      <w:pPr>
        <w:pStyle w:val="Default"/>
        <w:tabs>
          <w:tab w:val="left" w:pos="3858"/>
        </w:tabs>
        <w:spacing w:line="360" w:lineRule="auto"/>
        <w:jc w:val="both"/>
        <w:rPr>
          <w:rFonts w:cs="Arial" w:asciiTheme="majorHAnsi" w:hAnsiTheme="majorHAnsi"/>
          <w:b/>
          <w:sz w:val="18"/>
          <w:szCs w:val="18"/>
        </w:rPr>
      </w:pPr>
      <w:r w:rsidRPr="00163345">
        <w:rPr>
          <w:rFonts w:cs="Arial" w:asciiTheme="majorHAnsi" w:hAnsiTheme="majorHAnsi"/>
          <w:b/>
          <w:sz w:val="18"/>
          <w:szCs w:val="18"/>
        </w:rPr>
        <w:t>Toetsing</w:t>
      </w:r>
      <w:r w:rsidR="002F261C">
        <w:rPr>
          <w:rFonts w:cs="Arial" w:asciiTheme="majorHAnsi" w:hAnsiTheme="majorHAnsi"/>
          <w:b/>
          <w:sz w:val="18"/>
          <w:szCs w:val="18"/>
        </w:rPr>
        <w:t>s</w:t>
      </w:r>
      <w:r w:rsidRPr="00163345">
        <w:rPr>
          <w:rFonts w:cs="Arial" w:asciiTheme="majorHAnsi" w:hAnsiTheme="majorHAnsi"/>
          <w:b/>
          <w:sz w:val="18"/>
          <w:szCs w:val="18"/>
        </w:rPr>
        <w:t xml:space="preserve">kader Garantie </w:t>
      </w:r>
      <w:r w:rsidR="00236577">
        <w:rPr>
          <w:rFonts w:cs="Arial" w:asciiTheme="majorHAnsi" w:hAnsiTheme="majorHAnsi"/>
          <w:b/>
          <w:sz w:val="18"/>
          <w:szCs w:val="18"/>
        </w:rPr>
        <w:t>NHT 202</w:t>
      </w:r>
      <w:r w:rsidR="002F261C">
        <w:rPr>
          <w:rFonts w:cs="Arial" w:asciiTheme="majorHAnsi" w:hAnsiTheme="majorHAnsi"/>
          <w:b/>
          <w:sz w:val="18"/>
          <w:szCs w:val="18"/>
        </w:rPr>
        <w:t>5</w:t>
      </w:r>
    </w:p>
    <w:p w:rsidR="00D00DD9" w:rsidP="002D4724" w:rsidRDefault="00D00DD9" w14:paraId="63F7EB0A" w14:textId="77777777">
      <w:pPr>
        <w:pStyle w:val="Default"/>
        <w:spacing w:line="360" w:lineRule="auto"/>
        <w:jc w:val="both"/>
        <w:rPr>
          <w:rFonts w:cs="Arial" w:asciiTheme="majorHAnsi" w:hAnsiTheme="majorHAnsi"/>
          <w:b/>
          <w:sz w:val="18"/>
          <w:szCs w:val="18"/>
        </w:rPr>
      </w:pPr>
    </w:p>
    <w:p w:rsidR="00646AE8" w:rsidP="002D4724" w:rsidRDefault="006F3401" w14:paraId="6FF8FA5A" w14:textId="7CC69A05">
      <w:pPr>
        <w:pStyle w:val="Default"/>
        <w:spacing w:line="360" w:lineRule="auto"/>
        <w:jc w:val="both"/>
        <w:rPr>
          <w:rFonts w:cs="Arial" w:asciiTheme="majorHAnsi" w:hAnsiTheme="majorHAnsi"/>
          <w:b/>
          <w:sz w:val="18"/>
          <w:szCs w:val="18"/>
        </w:rPr>
      </w:pPr>
      <w:r>
        <w:rPr>
          <w:rFonts w:cs="Arial" w:asciiTheme="majorHAnsi" w:hAnsiTheme="majorHAnsi"/>
          <w:b/>
          <w:sz w:val="18"/>
          <w:szCs w:val="18"/>
        </w:rPr>
        <w:t>Inleiding</w:t>
      </w:r>
    </w:p>
    <w:p w:rsidRPr="00665B50" w:rsidR="00665B50" w:rsidP="002D4724" w:rsidRDefault="00665B50" w14:paraId="5758BB57" w14:textId="6475AC9E">
      <w:pPr>
        <w:pStyle w:val="Default"/>
        <w:spacing w:line="360" w:lineRule="auto"/>
        <w:jc w:val="both"/>
        <w:rPr>
          <w:rFonts w:ascii="Verdana" w:hAnsi="Verdana"/>
          <w:bCs/>
          <w:sz w:val="18"/>
          <w:szCs w:val="18"/>
        </w:rPr>
      </w:pPr>
      <w:r w:rsidRPr="00665B50">
        <w:rPr>
          <w:rFonts w:ascii="Verdana" w:hAnsi="Verdana"/>
          <w:bCs/>
          <w:sz w:val="18"/>
          <w:szCs w:val="18"/>
        </w:rPr>
        <w:t xml:space="preserve">De Nederlandse Herverzekeringsmaatschappij voor Terrorismeschaden (NHT) is een herverzekeringspool waarin verzekeraars, herverzekeraars en de overheid samenwerken om schade door terroristische aanslagen te dekken. Samen bieden zij een jaarlijkse dekkingscapaciteit van </w:t>
      </w:r>
      <w:r w:rsidRPr="00B16869" w:rsidR="00A0556E">
        <w:rPr>
          <w:rFonts w:ascii="Verdana" w:hAnsi="Verdana"/>
          <w:sz w:val="18"/>
          <w:szCs w:val="18"/>
        </w:rPr>
        <w:t>€</w:t>
      </w:r>
      <w:r w:rsidRPr="00665B50">
        <w:rPr>
          <w:rFonts w:ascii="Verdana" w:hAnsi="Verdana"/>
          <w:bCs/>
          <w:sz w:val="18"/>
          <w:szCs w:val="18"/>
        </w:rPr>
        <w:t>1 miljard voor deelnemende verzekeraars. De NHT is opgericht op 1 juli 2003, als reactie op het uitsluiten van terrorismerisico’s door verzekeraars en herverzekeraars na de aanslagen van 11 september 2001. Hierdoor konden reguliere schade- en levensverzekeringen deze risico’s niet langer verzekeren.</w:t>
      </w:r>
    </w:p>
    <w:p w:rsidRPr="00665B50" w:rsidR="00665B50" w:rsidP="002D4724" w:rsidRDefault="00665B50" w14:paraId="0217DB4A" w14:textId="77777777">
      <w:pPr>
        <w:pStyle w:val="Default"/>
        <w:spacing w:line="360" w:lineRule="auto"/>
        <w:jc w:val="both"/>
        <w:rPr>
          <w:rFonts w:ascii="Verdana" w:hAnsi="Verdana"/>
          <w:bCs/>
          <w:sz w:val="18"/>
          <w:szCs w:val="18"/>
        </w:rPr>
      </w:pPr>
    </w:p>
    <w:p w:rsidR="00490913" w:rsidP="002D4724" w:rsidRDefault="00665B50" w14:paraId="7529DFCF" w14:textId="0364D32F">
      <w:pPr>
        <w:pStyle w:val="Default"/>
        <w:spacing w:line="360" w:lineRule="auto"/>
        <w:jc w:val="both"/>
        <w:rPr>
          <w:rFonts w:ascii="Verdana" w:hAnsi="Verdana"/>
          <w:bCs/>
          <w:sz w:val="18"/>
          <w:szCs w:val="18"/>
        </w:rPr>
      </w:pPr>
      <w:r w:rsidRPr="00665B50">
        <w:rPr>
          <w:rFonts w:ascii="Verdana" w:hAnsi="Verdana"/>
          <w:bCs/>
          <w:sz w:val="18"/>
          <w:szCs w:val="18"/>
        </w:rPr>
        <w:t xml:space="preserve">Binnen deze pool leveren verzekeraars, herverzekeraars en de Staat gezamenlijk een garantie van </w:t>
      </w:r>
      <w:r w:rsidRPr="00B16869" w:rsidR="00DE2C18">
        <w:rPr>
          <w:rFonts w:ascii="Verdana" w:hAnsi="Verdana"/>
          <w:sz w:val="18"/>
          <w:szCs w:val="18"/>
        </w:rPr>
        <w:t>€</w:t>
      </w:r>
      <w:r w:rsidRPr="00665B50">
        <w:rPr>
          <w:rFonts w:ascii="Verdana" w:hAnsi="Verdana"/>
          <w:bCs/>
          <w:sz w:val="18"/>
          <w:szCs w:val="18"/>
        </w:rPr>
        <w:t>1 miljard per jaar</w:t>
      </w:r>
      <w:r>
        <w:rPr>
          <w:rFonts w:ascii="Verdana" w:hAnsi="Verdana"/>
          <w:bCs/>
          <w:sz w:val="18"/>
          <w:szCs w:val="18"/>
        </w:rPr>
        <w:t>.</w:t>
      </w:r>
      <w:r w:rsidRPr="00665B50">
        <w:rPr>
          <w:rFonts w:ascii="Verdana" w:hAnsi="Verdana"/>
          <w:bCs/>
          <w:sz w:val="18"/>
          <w:szCs w:val="18"/>
        </w:rPr>
        <w:t xml:space="preserve"> </w:t>
      </w:r>
      <w:r>
        <w:rPr>
          <w:rFonts w:ascii="Verdana" w:hAnsi="Verdana"/>
          <w:bCs/>
          <w:sz w:val="18"/>
          <w:szCs w:val="18"/>
        </w:rPr>
        <w:t>De</w:t>
      </w:r>
      <w:r w:rsidRPr="00665B50">
        <w:rPr>
          <w:rFonts w:ascii="Verdana" w:hAnsi="Verdana"/>
          <w:bCs/>
          <w:sz w:val="18"/>
          <w:szCs w:val="18"/>
        </w:rPr>
        <w:t xml:space="preserve"> eerste </w:t>
      </w:r>
      <w:r w:rsidRPr="00B16869" w:rsidR="00DE2C18">
        <w:rPr>
          <w:rFonts w:ascii="Verdana" w:hAnsi="Verdana"/>
          <w:sz w:val="18"/>
          <w:szCs w:val="18"/>
        </w:rPr>
        <w:t>€</w:t>
      </w:r>
      <w:r w:rsidRPr="00665B50">
        <w:rPr>
          <w:rFonts w:ascii="Verdana" w:hAnsi="Verdana"/>
          <w:bCs/>
          <w:sz w:val="18"/>
          <w:szCs w:val="18"/>
        </w:rPr>
        <w:t xml:space="preserve">950 miljoen </w:t>
      </w:r>
      <w:r>
        <w:rPr>
          <w:rFonts w:ascii="Verdana" w:hAnsi="Verdana"/>
          <w:bCs/>
          <w:sz w:val="18"/>
          <w:szCs w:val="18"/>
        </w:rPr>
        <w:t xml:space="preserve">wordt </w:t>
      </w:r>
      <w:r w:rsidRPr="00665B50">
        <w:rPr>
          <w:rFonts w:ascii="Verdana" w:hAnsi="Verdana"/>
          <w:bCs/>
          <w:sz w:val="18"/>
          <w:szCs w:val="18"/>
        </w:rPr>
        <w:t>door verzekeraars en herverzekeraars gegarandeerd</w:t>
      </w:r>
      <w:r>
        <w:rPr>
          <w:rFonts w:ascii="Verdana" w:hAnsi="Verdana"/>
          <w:bCs/>
          <w:sz w:val="18"/>
          <w:szCs w:val="18"/>
        </w:rPr>
        <w:t xml:space="preserve"> en d</w:t>
      </w:r>
      <w:r w:rsidRPr="00665B50">
        <w:rPr>
          <w:rFonts w:ascii="Verdana" w:hAnsi="Verdana"/>
          <w:bCs/>
          <w:sz w:val="18"/>
          <w:szCs w:val="18"/>
        </w:rPr>
        <w:t xml:space="preserve">e Staat draagt daarbij het risico voor de laatste </w:t>
      </w:r>
      <w:r w:rsidRPr="00B16869" w:rsidR="00DE2C18">
        <w:rPr>
          <w:rFonts w:ascii="Verdana" w:hAnsi="Verdana"/>
          <w:sz w:val="18"/>
          <w:szCs w:val="18"/>
        </w:rPr>
        <w:t>€</w:t>
      </w:r>
      <w:r w:rsidRPr="00665B50">
        <w:rPr>
          <w:rFonts w:ascii="Verdana" w:hAnsi="Verdana"/>
          <w:bCs/>
          <w:sz w:val="18"/>
          <w:szCs w:val="18"/>
        </w:rPr>
        <w:t xml:space="preserve">50 miljoen </w:t>
      </w:r>
      <w:r>
        <w:rPr>
          <w:rFonts w:ascii="Verdana" w:hAnsi="Verdana"/>
          <w:bCs/>
          <w:sz w:val="18"/>
          <w:szCs w:val="18"/>
        </w:rPr>
        <w:t xml:space="preserve">door de </w:t>
      </w:r>
      <w:r w:rsidR="00963106">
        <w:rPr>
          <w:rFonts w:ascii="Verdana" w:hAnsi="Verdana"/>
          <w:bCs/>
          <w:sz w:val="18"/>
          <w:szCs w:val="18"/>
        </w:rPr>
        <w:t>afgifte</w:t>
      </w:r>
      <w:r>
        <w:rPr>
          <w:rFonts w:ascii="Verdana" w:hAnsi="Verdana"/>
          <w:bCs/>
          <w:sz w:val="18"/>
          <w:szCs w:val="18"/>
        </w:rPr>
        <w:t xml:space="preserve"> van een staatsgarantie. </w:t>
      </w:r>
      <w:r w:rsidRPr="00665B50">
        <w:rPr>
          <w:rFonts w:ascii="Verdana" w:hAnsi="Verdana"/>
          <w:bCs/>
          <w:sz w:val="18"/>
          <w:szCs w:val="18"/>
        </w:rPr>
        <w:t>Alleen wanneer de grens</w:t>
      </w:r>
      <w:r>
        <w:rPr>
          <w:rFonts w:ascii="Verdana" w:hAnsi="Verdana"/>
          <w:bCs/>
          <w:sz w:val="18"/>
          <w:szCs w:val="18"/>
        </w:rPr>
        <w:t xml:space="preserve"> van </w:t>
      </w:r>
      <w:r w:rsidRPr="00B16869" w:rsidR="00DE2C18">
        <w:rPr>
          <w:rFonts w:ascii="Verdana" w:hAnsi="Verdana"/>
          <w:sz w:val="18"/>
          <w:szCs w:val="18"/>
        </w:rPr>
        <w:t>€</w:t>
      </w:r>
      <w:r>
        <w:rPr>
          <w:rFonts w:ascii="Verdana" w:hAnsi="Verdana"/>
          <w:bCs/>
          <w:sz w:val="18"/>
          <w:szCs w:val="18"/>
        </w:rPr>
        <w:t>950 miljoen</w:t>
      </w:r>
      <w:r w:rsidRPr="00665B50">
        <w:rPr>
          <w:rFonts w:ascii="Verdana" w:hAnsi="Verdana"/>
          <w:bCs/>
          <w:sz w:val="18"/>
          <w:szCs w:val="18"/>
        </w:rPr>
        <w:t xml:space="preserve"> is bereikt, kan de garantie van de Staat worden aangesproken. Indien de totale terrorismeschade in een kalenderjaar hoger is dan de beschikbare dekkingscapaciteit, worden er voor </w:t>
      </w:r>
      <w:r>
        <w:rPr>
          <w:rFonts w:ascii="Verdana" w:hAnsi="Verdana"/>
          <w:bCs/>
          <w:sz w:val="18"/>
          <w:szCs w:val="18"/>
        </w:rPr>
        <w:t>de</w:t>
      </w:r>
      <w:r w:rsidRPr="00665B50">
        <w:rPr>
          <w:rFonts w:ascii="Verdana" w:hAnsi="Verdana"/>
          <w:bCs/>
          <w:sz w:val="18"/>
          <w:szCs w:val="18"/>
        </w:rPr>
        <w:t xml:space="preserve"> schaden </w:t>
      </w:r>
      <w:r>
        <w:rPr>
          <w:rFonts w:ascii="Verdana" w:hAnsi="Verdana"/>
          <w:bCs/>
          <w:sz w:val="18"/>
          <w:szCs w:val="18"/>
        </w:rPr>
        <w:t xml:space="preserve">die boven de capaciteit vallen </w:t>
      </w:r>
      <w:r w:rsidRPr="00665B50">
        <w:rPr>
          <w:rFonts w:ascii="Verdana" w:hAnsi="Verdana"/>
          <w:bCs/>
          <w:sz w:val="18"/>
          <w:szCs w:val="18"/>
        </w:rPr>
        <w:t>geen verdere uitkeringen meer gedaan. Bij een totale schade onder de</w:t>
      </w:r>
      <w:r w:rsidR="00DE2C18">
        <w:rPr>
          <w:rFonts w:ascii="Verdana" w:hAnsi="Verdana"/>
          <w:bCs/>
          <w:sz w:val="18"/>
          <w:szCs w:val="18"/>
        </w:rPr>
        <w:t xml:space="preserve"> </w:t>
      </w:r>
      <w:r w:rsidRPr="00B16869" w:rsidR="00DE2C18">
        <w:rPr>
          <w:rFonts w:ascii="Verdana" w:hAnsi="Verdana"/>
          <w:sz w:val="18"/>
          <w:szCs w:val="18"/>
        </w:rPr>
        <w:t>€</w:t>
      </w:r>
      <w:r w:rsidRPr="00665B50">
        <w:rPr>
          <w:rFonts w:ascii="Verdana" w:hAnsi="Verdana"/>
          <w:bCs/>
          <w:sz w:val="18"/>
          <w:szCs w:val="18"/>
        </w:rPr>
        <w:t>7,5 miljoen geldt een franchise voor verzekeraars; in dat geval vergoedt de verzekeraar de schade zelf, zonder tussenkomst van de NHT.</w:t>
      </w:r>
    </w:p>
    <w:p w:rsidR="002D4724" w:rsidP="002D4724" w:rsidRDefault="002D4724" w14:paraId="6540C371" w14:textId="77777777">
      <w:pPr>
        <w:pStyle w:val="Default"/>
        <w:spacing w:line="360" w:lineRule="auto"/>
        <w:jc w:val="both"/>
        <w:rPr>
          <w:rFonts w:ascii="Verdana" w:hAnsi="Verdana"/>
          <w:bCs/>
          <w:sz w:val="18"/>
          <w:szCs w:val="18"/>
        </w:rPr>
      </w:pPr>
    </w:p>
    <w:p w:rsidR="00490913" w:rsidP="002D4724" w:rsidRDefault="002D4724" w14:paraId="210590A5" w14:textId="35E27299">
      <w:pPr>
        <w:pStyle w:val="Default"/>
        <w:spacing w:line="360" w:lineRule="auto"/>
        <w:jc w:val="both"/>
        <w:rPr>
          <w:rFonts w:ascii="Verdana" w:hAnsi="Verdana"/>
          <w:bCs/>
          <w:sz w:val="18"/>
          <w:szCs w:val="18"/>
        </w:rPr>
      </w:pPr>
      <w:r>
        <w:rPr>
          <w:rFonts w:ascii="Verdana" w:hAnsi="Verdana"/>
          <w:bCs/>
          <w:sz w:val="18"/>
          <w:szCs w:val="18"/>
        </w:rPr>
        <w:t>Dit toetsingskader dient ter beoordeling van de vraag of de participatie van de Staat in de NHT onder dezelfde voorwaarden kan worden voortgezet of deze kan worden beëindigd. Dit garantiekader maakt deel uit van de Evaluatie NHT 2025.</w:t>
      </w:r>
      <w:r w:rsidR="00B220EC">
        <w:rPr>
          <w:rFonts w:ascii="Verdana" w:hAnsi="Verdana"/>
          <w:bCs/>
          <w:sz w:val="18"/>
          <w:szCs w:val="18"/>
        </w:rPr>
        <w:t xml:space="preserve"> Uit deze evaluatie volgt de conclusie dat de</w:t>
      </w:r>
      <w:r w:rsidRPr="00B220EC" w:rsidR="00B220EC">
        <w:rPr>
          <w:rFonts w:ascii="Verdana" w:hAnsi="Verdana"/>
          <w:bCs/>
          <w:sz w:val="18"/>
          <w:szCs w:val="18"/>
          <w:lang w:val="nl"/>
        </w:rPr>
        <w:t xml:space="preserve"> NHT een doeltreffende en evenwichtige oplossing voor de verzekerbaarheid van terrorismeschade</w:t>
      </w:r>
      <w:r w:rsidR="00B220EC">
        <w:rPr>
          <w:rFonts w:ascii="Verdana" w:hAnsi="Verdana"/>
          <w:bCs/>
          <w:sz w:val="18"/>
          <w:szCs w:val="18"/>
          <w:lang w:val="nl"/>
        </w:rPr>
        <w:t xml:space="preserve"> biedt</w:t>
      </w:r>
      <w:r w:rsidRPr="00B220EC" w:rsidR="00B220EC">
        <w:rPr>
          <w:rFonts w:ascii="Verdana" w:hAnsi="Verdana"/>
          <w:bCs/>
          <w:sz w:val="18"/>
          <w:szCs w:val="18"/>
          <w:lang w:val="nl"/>
        </w:rPr>
        <w:t>. Zij combineert marktwerking met publieke verantwoordelijkheid en voorkomt dat onverzekerde schade automatisch voor rekening van de Staat komt. Voortzetting van de staatsdeelname is wenselijk en wordt dan ook aanbevolen</w:t>
      </w:r>
      <w:r w:rsidR="00B220EC">
        <w:rPr>
          <w:rFonts w:ascii="Verdana" w:hAnsi="Verdana"/>
          <w:bCs/>
          <w:sz w:val="18"/>
          <w:szCs w:val="18"/>
          <w:lang w:val="nl"/>
        </w:rPr>
        <w:t xml:space="preserve">. </w:t>
      </w:r>
    </w:p>
    <w:p w:rsidR="002D4724" w:rsidP="002D4724" w:rsidRDefault="002D4724" w14:paraId="33B382E3" w14:textId="77777777">
      <w:pPr>
        <w:pStyle w:val="Default"/>
        <w:spacing w:line="360" w:lineRule="auto"/>
        <w:jc w:val="both"/>
        <w:rPr>
          <w:rFonts w:ascii="Verdana" w:hAnsi="Verdana" w:cs="Verdana" w:eastAsiaTheme="minorHAnsi"/>
          <w:sz w:val="18"/>
          <w:szCs w:val="18"/>
          <w:lang w:eastAsia="en-US"/>
        </w:rPr>
      </w:pPr>
    </w:p>
    <w:p w:rsidRPr="002F261C" w:rsidR="006C3C0A" w:rsidP="002D4724" w:rsidRDefault="00163345" w14:paraId="01886168" w14:textId="6A0FB89C">
      <w:pPr>
        <w:pStyle w:val="Default"/>
        <w:spacing w:line="360" w:lineRule="auto"/>
        <w:jc w:val="both"/>
        <w:rPr>
          <w:rFonts w:cs="Arial" w:asciiTheme="majorHAnsi" w:hAnsiTheme="majorHAnsi"/>
          <w:b/>
          <w:sz w:val="18"/>
          <w:szCs w:val="18"/>
        </w:rPr>
      </w:pPr>
      <w:r w:rsidRPr="00163345">
        <w:rPr>
          <w:rFonts w:cs="Arial" w:asciiTheme="majorHAnsi" w:hAnsiTheme="majorHAnsi"/>
          <w:b/>
          <w:sz w:val="18"/>
          <w:szCs w:val="18"/>
        </w:rPr>
        <w:t xml:space="preserve">Probleemstelling </w:t>
      </w:r>
    </w:p>
    <w:tbl>
      <w:tblPr>
        <w:tblStyle w:val="Tabelraster"/>
        <w:tblW w:w="0" w:type="auto"/>
        <w:tblLook w:val="04A0" w:firstRow="1" w:lastRow="0" w:firstColumn="1" w:lastColumn="0" w:noHBand="0" w:noVBand="1"/>
      </w:tblPr>
      <w:tblGrid>
        <w:gridCol w:w="9062"/>
      </w:tblGrid>
      <w:tr w:rsidR="004B1F06" w:rsidTr="004B1F06" w14:paraId="67C7FBF6" w14:textId="77777777">
        <w:tc>
          <w:tcPr>
            <w:tcW w:w="9212" w:type="dxa"/>
          </w:tcPr>
          <w:p w:rsidRPr="004B1F06" w:rsidR="004B1F06" w:rsidP="002D4724" w:rsidRDefault="00B55C44" w14:paraId="680D782B" w14:textId="32309995">
            <w:pPr>
              <w:pStyle w:val="Default"/>
              <w:numPr>
                <w:ilvl w:val="0"/>
                <w:numId w:val="1"/>
              </w:numPr>
              <w:spacing w:line="360" w:lineRule="auto"/>
              <w:jc w:val="both"/>
              <w:rPr>
                <w:rFonts w:cs="Arial" w:asciiTheme="majorHAnsi" w:hAnsiTheme="majorHAnsi"/>
                <w:i/>
                <w:sz w:val="18"/>
                <w:szCs w:val="18"/>
              </w:rPr>
            </w:pPr>
            <w:r w:rsidRPr="00B55C44">
              <w:rPr>
                <w:rFonts w:cs="Arial" w:asciiTheme="majorHAnsi" w:hAnsiTheme="majorHAnsi"/>
                <w:i/>
                <w:sz w:val="18"/>
                <w:szCs w:val="18"/>
              </w:rPr>
              <w:t>Wat is het probleem dat aanleiding is voor het beleidsvoorstel?</w:t>
            </w:r>
          </w:p>
        </w:tc>
      </w:tr>
      <w:tr w:rsidR="004B1F06" w:rsidTr="004B1F06" w14:paraId="7725AF33" w14:textId="77777777">
        <w:tc>
          <w:tcPr>
            <w:tcW w:w="9212" w:type="dxa"/>
          </w:tcPr>
          <w:p w:rsidR="00C074F8" w:rsidP="002D4724" w:rsidRDefault="00B16869" w14:paraId="456750FB" w14:textId="1A638D54">
            <w:pPr>
              <w:spacing w:line="360" w:lineRule="auto"/>
              <w:jc w:val="both"/>
              <w:rPr>
                <w:rFonts w:asciiTheme="majorHAnsi" w:hAnsiTheme="majorHAnsi"/>
                <w:sz w:val="18"/>
                <w:szCs w:val="18"/>
              </w:rPr>
            </w:pPr>
            <w:r w:rsidRPr="00B16869">
              <w:rPr>
                <w:rFonts w:asciiTheme="majorHAnsi" w:hAnsiTheme="majorHAnsi"/>
                <w:sz w:val="18"/>
                <w:szCs w:val="18"/>
              </w:rPr>
              <w:t>Na de aanslagen van 11 september 2001 stopten herverzekeraars wereldwijd met het dekken van terrorismerisico’s. Zij realiseerden zich dat één enkele aanslag tot uitkeringen van tientallen miljarden euro’s kon leiden, waarbij de kosten bovendien geconcentreerd konden raken bij een beperkt aantal (her)verzekeraars. Door het wegvallen van deze herverzekeringsdekking besloten verzekeraars vanaf 2002 geen terrorismeschade meer te dekken voor industrie en bedrijfsleven, en overwogen zij ditzelfde voor particulieren en het midden- en kleinbedrijf. Door dit ontstane risico waren op korte termijn zelfs overheidssteun en garanties noodzakelijk om bijvoorbeeld het stilvallen van het luchtverkeer te voorkomen. Als reactie hierop is in Nederland de Nederlandse Herverzekeringsmaatschappij voor Terrorismeschaden (NHT) opgericht.</w:t>
            </w:r>
            <w:r>
              <w:rPr>
                <w:rFonts w:asciiTheme="majorHAnsi" w:hAnsiTheme="majorHAnsi"/>
                <w:sz w:val="18"/>
                <w:szCs w:val="18"/>
              </w:rPr>
              <w:t xml:space="preserve"> </w:t>
            </w:r>
            <w:r w:rsidRPr="00B16869">
              <w:rPr>
                <w:rFonts w:asciiTheme="majorHAnsi" w:hAnsiTheme="majorHAnsi"/>
                <w:sz w:val="18"/>
                <w:szCs w:val="18"/>
              </w:rPr>
              <w:t xml:space="preserve">Na de oprichting namen schadeverzekeraars in hun polisvoorwaarden op dat schades als gevolg van terrorisme worden </w:t>
            </w:r>
            <w:r w:rsidRPr="00B16869">
              <w:rPr>
                <w:rFonts w:asciiTheme="majorHAnsi" w:hAnsiTheme="majorHAnsi"/>
                <w:sz w:val="18"/>
                <w:szCs w:val="18"/>
              </w:rPr>
              <w:lastRenderedPageBreak/>
              <w:t>vergoed, voor zover deze binnen de beschikbare capaciteit van de NHT vallen. De NHT keert maximaal €1 miljard per jaar uit aan verzekeraars.</w:t>
            </w:r>
          </w:p>
          <w:p w:rsidRPr="00EC1CC7" w:rsidR="00B16869" w:rsidP="002D4724" w:rsidRDefault="00B16869" w14:paraId="772106C4" w14:textId="77777777">
            <w:pPr>
              <w:spacing w:line="360" w:lineRule="auto"/>
              <w:jc w:val="both"/>
              <w:rPr>
                <w:rFonts w:asciiTheme="majorHAnsi" w:hAnsiTheme="majorHAnsi"/>
                <w:sz w:val="18"/>
                <w:szCs w:val="18"/>
              </w:rPr>
            </w:pPr>
          </w:p>
          <w:p w:rsidR="00B16869" w:rsidP="002D4724" w:rsidRDefault="00B16869" w14:paraId="6F68A75D" w14:textId="77777777">
            <w:pPr>
              <w:spacing w:line="360" w:lineRule="auto"/>
              <w:jc w:val="both"/>
              <w:rPr>
                <w:rFonts w:ascii="Verdana" w:hAnsi="Verdana"/>
                <w:sz w:val="18"/>
                <w:szCs w:val="18"/>
              </w:rPr>
            </w:pPr>
            <w:r w:rsidRPr="00B16869">
              <w:rPr>
                <w:rFonts w:ascii="Verdana" w:hAnsi="Verdana"/>
                <w:sz w:val="18"/>
                <w:szCs w:val="18"/>
              </w:rPr>
              <w:t>De Nederlandse Staat speelde een belangrijke rol bij de oprichting van de NHT en leverde ook verzekeringscapaciteit aan deze pool. De totale dekking van €1 miljard was aanvankelijk verdeeld over drie lagen: een eerste laag van €400 miljoen door Nederlandse verzekeraars, een tweede laag van €400 miljoen door internationale herverzekeraars, en een derde laag van €200 miljoen door de Staat. In de loop der jaren heeft de Staat haar aandeel teruggebracht, van €200 miljoen bij oprichting tot €50 miljoen sinds 2006, terwijl het aandeel van Nederlandse verzekeraars ongewijzigd bleef. Het aandeel van internationale herverzekeraars werd hierdoor verhoogd naar €550 miljoen.</w:t>
            </w:r>
          </w:p>
          <w:p w:rsidRPr="00B16869" w:rsidR="000440A8" w:rsidP="002D4724" w:rsidRDefault="000440A8" w14:paraId="369352C1" w14:textId="77777777">
            <w:pPr>
              <w:spacing w:line="360" w:lineRule="auto"/>
              <w:jc w:val="both"/>
              <w:rPr>
                <w:rFonts w:ascii="Verdana" w:hAnsi="Verdana"/>
                <w:sz w:val="18"/>
                <w:szCs w:val="18"/>
              </w:rPr>
            </w:pPr>
          </w:p>
          <w:p w:rsidR="004B1F06" w:rsidP="002D4724" w:rsidRDefault="00B16869" w14:paraId="6B61DE3D" w14:textId="469B884C">
            <w:pPr>
              <w:spacing w:line="360" w:lineRule="auto"/>
              <w:jc w:val="both"/>
              <w:rPr>
                <w:rFonts w:ascii="Verdana" w:hAnsi="Verdana"/>
                <w:sz w:val="18"/>
                <w:szCs w:val="18"/>
              </w:rPr>
            </w:pPr>
            <w:r w:rsidRPr="00B16869">
              <w:rPr>
                <w:rFonts w:ascii="Verdana" w:hAnsi="Verdana"/>
                <w:sz w:val="18"/>
                <w:szCs w:val="18"/>
              </w:rPr>
              <w:t>Voor de dekking van €50 miljoen die de Staat biedt, ontvangt zij jaarlijks premie van de NHT. Deze garantiestelling van de Staat wordt pas aangesproken nadat de eerste twee lagen, samen goed voor €950 miljoen, door verzekeraars en herverzekeraars zijn uitgekeerd.</w:t>
            </w:r>
          </w:p>
          <w:p w:rsidRPr="00B16869" w:rsidR="00B16869" w:rsidP="002D4724" w:rsidRDefault="00B16869" w14:paraId="4937CAA9" w14:textId="77777777">
            <w:pPr>
              <w:spacing w:line="360" w:lineRule="auto"/>
              <w:jc w:val="both"/>
              <w:rPr>
                <w:rFonts w:asciiTheme="majorHAnsi" w:hAnsiTheme="majorHAnsi"/>
                <w:sz w:val="18"/>
                <w:szCs w:val="18"/>
                <w:lang w:val="nl-NL"/>
              </w:rPr>
            </w:pPr>
          </w:p>
          <w:p w:rsidRPr="00B16869" w:rsidR="00B16869" w:rsidP="002D4724" w:rsidRDefault="00B16869" w14:paraId="56D6604F" w14:textId="411C05BB">
            <w:pPr>
              <w:spacing w:line="360" w:lineRule="auto"/>
              <w:jc w:val="both"/>
              <w:rPr>
                <w:rFonts w:asciiTheme="majorHAnsi" w:hAnsiTheme="majorHAnsi"/>
                <w:sz w:val="18"/>
                <w:szCs w:val="18"/>
              </w:rPr>
            </w:pPr>
            <w:r w:rsidRPr="00B16869">
              <w:rPr>
                <w:rFonts w:asciiTheme="majorHAnsi" w:hAnsiTheme="majorHAnsi"/>
                <w:sz w:val="18"/>
                <w:szCs w:val="18"/>
              </w:rPr>
              <w:t xml:space="preserve">Het actuele dreigingsniveau in Nederland is sinds december 2023 vastgesteld op ‘substantieel’, wat betekent dat de kans op een terroristische aanslag reëel is. Vanwege dit hoge dreigingsniveau is het niet opportuun dat de overheid haar deelname aan de pool beëindigt. Een afschaffing </w:t>
            </w:r>
            <w:r w:rsidR="000440A8">
              <w:rPr>
                <w:rFonts w:asciiTheme="majorHAnsi" w:hAnsiTheme="majorHAnsi"/>
                <w:sz w:val="18"/>
                <w:szCs w:val="18"/>
              </w:rPr>
              <w:t>kan</w:t>
            </w:r>
            <w:r w:rsidRPr="00B16869" w:rsidR="000440A8">
              <w:rPr>
                <w:rFonts w:asciiTheme="majorHAnsi" w:hAnsiTheme="majorHAnsi"/>
                <w:sz w:val="18"/>
                <w:szCs w:val="18"/>
              </w:rPr>
              <w:t xml:space="preserve"> </w:t>
            </w:r>
            <w:r w:rsidRPr="00B16869">
              <w:rPr>
                <w:rFonts w:asciiTheme="majorHAnsi" w:hAnsiTheme="majorHAnsi"/>
                <w:sz w:val="18"/>
                <w:szCs w:val="18"/>
              </w:rPr>
              <w:t>negatieve gevolgen hebben, omdat dit kan worden gezien als het intrekken van de steun van het Rijk voor de tegemoetkoming bij schade door terrorisme, wat tevens een maatschappelijke verantwoordelijkheid van de Staat is.</w:t>
            </w:r>
          </w:p>
          <w:p w:rsidRPr="00B16869" w:rsidR="00B16869" w:rsidP="002D4724" w:rsidRDefault="00B16869" w14:paraId="1BF6E7A2" w14:textId="77777777">
            <w:pPr>
              <w:spacing w:line="360" w:lineRule="auto"/>
              <w:jc w:val="both"/>
              <w:rPr>
                <w:rFonts w:asciiTheme="majorHAnsi" w:hAnsiTheme="majorHAnsi"/>
                <w:sz w:val="18"/>
                <w:szCs w:val="18"/>
              </w:rPr>
            </w:pPr>
          </w:p>
          <w:p w:rsidRPr="00AC13B4" w:rsidR="0076544A" w:rsidP="002D4724" w:rsidRDefault="00A57DC5" w14:paraId="41C9D60E" w14:textId="7B0EA3DF">
            <w:pPr>
              <w:spacing w:line="360" w:lineRule="auto"/>
              <w:jc w:val="both"/>
              <w:rPr>
                <w:rFonts w:asciiTheme="majorHAnsi" w:hAnsiTheme="majorHAnsi"/>
                <w:sz w:val="18"/>
                <w:szCs w:val="18"/>
              </w:rPr>
            </w:pPr>
            <w:r w:rsidRPr="00A57DC5">
              <w:rPr>
                <w:rFonts w:asciiTheme="majorHAnsi" w:hAnsiTheme="majorHAnsi"/>
                <w:sz w:val="18"/>
                <w:szCs w:val="18"/>
              </w:rPr>
              <w:t xml:space="preserve">Hoewel verzekeraars hebben aangegeven waarschijnlijk ook zonder overheidsdeelname dekking te blijven bieden, bestaat het risico dat de NHT in de toekomst wordt opgeheven. In dat scenario zal de overheid naar alle waarschijnlijkheid via de Wet tegemoetkoming schade bij rampen (Wts) verantwoordelijk zijn voor het vergoeden van de </w:t>
            </w:r>
            <w:r>
              <w:rPr>
                <w:rFonts w:asciiTheme="majorHAnsi" w:hAnsiTheme="majorHAnsi"/>
                <w:sz w:val="18"/>
                <w:szCs w:val="18"/>
              </w:rPr>
              <w:t xml:space="preserve">gehele </w:t>
            </w:r>
            <w:r w:rsidRPr="00A57DC5">
              <w:rPr>
                <w:rFonts w:asciiTheme="majorHAnsi" w:hAnsiTheme="majorHAnsi"/>
                <w:sz w:val="18"/>
                <w:szCs w:val="18"/>
              </w:rPr>
              <w:t>schade na een terroristische aanslag.</w:t>
            </w:r>
            <w:r>
              <w:rPr>
                <w:rFonts w:asciiTheme="majorHAnsi" w:hAnsiTheme="majorHAnsi"/>
                <w:sz w:val="18"/>
                <w:szCs w:val="18"/>
              </w:rPr>
              <w:t xml:space="preserve"> Door te blijven participeren in de NHT kan de Staat waarborgen dat de NHT wordt voortgezet. </w:t>
            </w:r>
          </w:p>
        </w:tc>
      </w:tr>
    </w:tbl>
    <w:p w:rsidRPr="004B1F06" w:rsidR="004B1F06" w:rsidP="002D4724" w:rsidRDefault="004B1F06" w14:paraId="7BBF28BE" w14:textId="77777777">
      <w:pPr>
        <w:pStyle w:val="Default"/>
        <w:spacing w:line="360" w:lineRule="auto"/>
        <w:jc w:val="both"/>
        <w:rPr>
          <w:rFonts w:cs="Arial" w:asciiTheme="majorHAnsi" w:hAnsiTheme="majorHAnsi"/>
          <w:sz w:val="18"/>
          <w:szCs w:val="18"/>
        </w:rPr>
      </w:pPr>
    </w:p>
    <w:p w:rsidRPr="0009328E" w:rsidR="002D6B1E" w:rsidP="002D4724" w:rsidRDefault="00163345" w14:paraId="6F8AEC8B" w14:textId="77777777">
      <w:pPr>
        <w:spacing w:line="360" w:lineRule="auto"/>
        <w:jc w:val="both"/>
        <w:rPr>
          <w:rFonts w:asciiTheme="majorHAnsi" w:hAnsiTheme="majorHAnsi"/>
          <w:b/>
          <w:sz w:val="18"/>
          <w:szCs w:val="18"/>
        </w:rPr>
      </w:pPr>
      <w:r w:rsidRPr="00163345">
        <w:rPr>
          <w:rFonts w:asciiTheme="majorHAnsi" w:hAnsiTheme="majorHAnsi"/>
          <w:b/>
          <w:sz w:val="18"/>
          <w:szCs w:val="18"/>
        </w:rPr>
        <w:t xml:space="preserve">Rol van de overheid </w:t>
      </w:r>
    </w:p>
    <w:p w:rsidRPr="0009328E" w:rsidR="002D6B1E" w:rsidP="002D4724" w:rsidRDefault="002D6B1E" w14:paraId="3FA18383" w14:textId="77777777">
      <w:pPr>
        <w:pStyle w:val="Default"/>
        <w:spacing w:after="15" w:line="360" w:lineRule="auto"/>
        <w:jc w:val="both"/>
        <w:rPr>
          <w:rFonts w:cs="Arial" w:asciiTheme="majorHAnsi" w:hAnsiTheme="majorHAnsi"/>
          <w:i/>
          <w:sz w:val="18"/>
          <w:szCs w:val="18"/>
        </w:rPr>
      </w:pPr>
    </w:p>
    <w:tbl>
      <w:tblPr>
        <w:tblStyle w:val="Tabelraster"/>
        <w:tblW w:w="0" w:type="auto"/>
        <w:tblLook w:val="04A0" w:firstRow="1" w:lastRow="0" w:firstColumn="1" w:lastColumn="0" w:noHBand="0" w:noVBand="1"/>
      </w:tblPr>
      <w:tblGrid>
        <w:gridCol w:w="9062"/>
      </w:tblGrid>
      <w:tr w:rsidR="003314C4" w:rsidTr="003314C4" w14:paraId="37AA6388" w14:textId="77777777">
        <w:tc>
          <w:tcPr>
            <w:tcW w:w="9212" w:type="dxa"/>
          </w:tcPr>
          <w:p w:rsidRPr="003314C4" w:rsidR="003314C4" w:rsidP="002D4724" w:rsidRDefault="00B55C44" w14:paraId="323F0B89" w14:textId="39A640AA">
            <w:pPr>
              <w:pStyle w:val="Default"/>
              <w:numPr>
                <w:ilvl w:val="0"/>
                <w:numId w:val="1"/>
              </w:numPr>
              <w:spacing w:after="15" w:line="360" w:lineRule="auto"/>
              <w:jc w:val="both"/>
              <w:rPr>
                <w:rFonts w:cs="Arial" w:asciiTheme="majorHAnsi" w:hAnsiTheme="majorHAnsi"/>
                <w:i/>
                <w:sz w:val="18"/>
                <w:szCs w:val="18"/>
              </w:rPr>
            </w:pPr>
            <w:r w:rsidRPr="00B55C44">
              <w:rPr>
                <w:rFonts w:cs="Arial" w:asciiTheme="majorHAnsi" w:hAnsiTheme="majorHAnsi"/>
                <w:i/>
                <w:sz w:val="18"/>
                <w:szCs w:val="18"/>
              </w:rPr>
              <w:t>Waarom rekent de centrale overheid het tot haar verantwoordelijkheid om het probleem op te lossen?</w:t>
            </w:r>
          </w:p>
        </w:tc>
      </w:tr>
      <w:tr w:rsidR="003314C4" w:rsidTr="003314C4" w14:paraId="410BB518" w14:textId="77777777">
        <w:tc>
          <w:tcPr>
            <w:tcW w:w="9212" w:type="dxa"/>
          </w:tcPr>
          <w:p w:rsidR="003314C4" w:rsidP="002D4724" w:rsidRDefault="00A57DC5" w14:paraId="1EB92D4D" w14:textId="49902BB4">
            <w:pPr>
              <w:pStyle w:val="Default"/>
              <w:spacing w:line="360" w:lineRule="auto"/>
              <w:jc w:val="both"/>
              <w:rPr>
                <w:rFonts w:cs="Arial" w:asciiTheme="majorHAnsi" w:hAnsiTheme="majorHAnsi"/>
                <w:sz w:val="18"/>
                <w:szCs w:val="18"/>
              </w:rPr>
            </w:pPr>
            <w:r w:rsidRPr="00A57DC5">
              <w:rPr>
                <w:rFonts w:cs="Arial" w:asciiTheme="majorHAnsi" w:hAnsiTheme="majorHAnsi"/>
                <w:sz w:val="18"/>
                <w:szCs w:val="18"/>
                <w:lang w:val="nl"/>
              </w:rPr>
              <w:t>De onverzekerbaarheid van terrorismeschade brengt zowel de financiële stabiliteit, de economische infrastructuur als de financiële zekerheid van burgers in gevaar.</w:t>
            </w:r>
            <w:r>
              <w:rPr>
                <w:rStyle w:val="Voetnootmarkering"/>
                <w:rFonts w:cs="Arial" w:asciiTheme="majorHAnsi" w:hAnsiTheme="majorHAnsi"/>
                <w:sz w:val="18"/>
                <w:szCs w:val="18"/>
                <w:lang w:val="nl"/>
              </w:rPr>
              <w:footnoteReference w:id="1"/>
            </w:r>
            <w:r w:rsidRPr="00A57DC5">
              <w:rPr>
                <w:rFonts w:cs="Arial" w:asciiTheme="majorHAnsi" w:hAnsiTheme="majorHAnsi"/>
                <w:sz w:val="18"/>
                <w:szCs w:val="18"/>
                <w:lang w:val="nl"/>
              </w:rPr>
              <w:t xml:space="preserve"> Dit zijn aspecten waarvoor de overheid een (mede)verantwoordelijkheid draagt, vooral wanneer bedrijven en burgers door de situatie zelf niet in staat zijn de negatieve gevolgen te beheersen.</w:t>
            </w:r>
          </w:p>
        </w:tc>
      </w:tr>
    </w:tbl>
    <w:p w:rsidRPr="003314C4" w:rsidR="003314C4" w:rsidP="002D4724" w:rsidRDefault="003314C4" w14:paraId="792F368D" w14:textId="77777777">
      <w:pPr>
        <w:pStyle w:val="Default"/>
        <w:spacing w:after="15" w:line="360" w:lineRule="auto"/>
        <w:jc w:val="both"/>
        <w:rPr>
          <w:rFonts w:cs="Arial" w:asciiTheme="majorHAnsi" w:hAnsiTheme="majorHAnsi"/>
          <w:sz w:val="18"/>
          <w:szCs w:val="18"/>
        </w:rPr>
      </w:pPr>
    </w:p>
    <w:p w:rsidR="000F6FDE" w:rsidP="002D4724" w:rsidRDefault="000F6FDE" w14:paraId="234CC173" w14:textId="77777777">
      <w:pPr>
        <w:spacing w:line="360" w:lineRule="auto"/>
        <w:jc w:val="both"/>
        <w:rPr>
          <w:rFonts w:asciiTheme="majorHAnsi" w:hAnsiTheme="majorHAnsi"/>
          <w:i/>
          <w:sz w:val="18"/>
          <w:szCs w:val="18"/>
        </w:rPr>
      </w:pPr>
    </w:p>
    <w:tbl>
      <w:tblPr>
        <w:tblStyle w:val="Tabelraster"/>
        <w:tblW w:w="0" w:type="auto"/>
        <w:tblLook w:val="04A0" w:firstRow="1" w:lastRow="0" w:firstColumn="1" w:lastColumn="0" w:noHBand="0" w:noVBand="1"/>
      </w:tblPr>
      <w:tblGrid>
        <w:gridCol w:w="9062"/>
      </w:tblGrid>
      <w:tr w:rsidR="00711495" w:rsidTr="00711495" w14:paraId="4B303D3F" w14:textId="77777777">
        <w:tc>
          <w:tcPr>
            <w:tcW w:w="9212" w:type="dxa"/>
          </w:tcPr>
          <w:p w:rsidRPr="00711495" w:rsidR="00711495" w:rsidP="002D4724" w:rsidRDefault="00711495" w14:paraId="52A626ED" w14:textId="71C5E43C">
            <w:pPr>
              <w:pStyle w:val="Default"/>
              <w:numPr>
                <w:ilvl w:val="0"/>
                <w:numId w:val="1"/>
              </w:numPr>
              <w:spacing w:after="15" w:line="360" w:lineRule="auto"/>
              <w:jc w:val="both"/>
              <w:rPr>
                <w:rFonts w:cs="Arial" w:asciiTheme="majorHAnsi" w:hAnsiTheme="majorHAnsi"/>
                <w:i/>
                <w:sz w:val="18"/>
                <w:szCs w:val="18"/>
              </w:rPr>
            </w:pPr>
            <w:r w:rsidRPr="00163345">
              <w:rPr>
                <w:rFonts w:cs="Arial" w:asciiTheme="majorHAnsi" w:hAnsiTheme="majorHAnsi"/>
                <w:i/>
                <w:sz w:val="18"/>
                <w:szCs w:val="18"/>
              </w:rPr>
              <w:lastRenderedPageBreak/>
              <w:t xml:space="preserve">Is </w:t>
            </w:r>
            <w:r w:rsidR="00B55C44">
              <w:rPr>
                <w:rFonts w:cs="Arial" w:asciiTheme="majorHAnsi" w:hAnsiTheme="majorHAnsi"/>
                <w:i/>
                <w:sz w:val="18"/>
                <w:szCs w:val="18"/>
              </w:rPr>
              <w:t>het voorstel voor de risico</w:t>
            </w:r>
            <w:r w:rsidRPr="00163345">
              <w:rPr>
                <w:rFonts w:cs="Arial" w:asciiTheme="majorHAnsi" w:hAnsiTheme="majorHAnsi"/>
                <w:i/>
                <w:sz w:val="18"/>
                <w:szCs w:val="18"/>
              </w:rPr>
              <w:t>regeling</w:t>
            </w:r>
            <w:r w:rsidR="00B55C44">
              <w:rPr>
                <w:rFonts w:cs="Arial" w:asciiTheme="majorHAnsi" w:hAnsiTheme="majorHAnsi"/>
                <w:i/>
                <w:sz w:val="18"/>
                <w:szCs w:val="18"/>
              </w:rPr>
              <w:t>:</w:t>
            </w:r>
            <w:r w:rsidRPr="00163345">
              <w:rPr>
                <w:rFonts w:cs="Arial" w:asciiTheme="majorHAnsi" w:hAnsiTheme="majorHAnsi"/>
                <w:i/>
                <w:sz w:val="18"/>
                <w:szCs w:val="18"/>
              </w:rPr>
              <w:t xml:space="preserve"> a) ter compensatie van risico’s die niet in de markt kunnen worden gedekt en/of b) het</w:t>
            </w:r>
            <w:r w:rsidR="00B55C44">
              <w:rPr>
                <w:rFonts w:cs="Arial" w:asciiTheme="majorHAnsi" w:hAnsiTheme="majorHAnsi"/>
                <w:i/>
                <w:sz w:val="18"/>
                <w:szCs w:val="18"/>
              </w:rPr>
              <w:t xml:space="preserve"> beste</w:t>
            </w:r>
            <w:r w:rsidRPr="00163345">
              <w:rPr>
                <w:rFonts w:cs="Arial" w:asciiTheme="majorHAnsi" w:hAnsiTheme="majorHAnsi"/>
                <w:i/>
                <w:sz w:val="18"/>
                <w:szCs w:val="18"/>
              </w:rPr>
              <w:t xml:space="preserve"> instrument waarmee een optimale doelmatigheidswinst kan worden bewerkstelligd</w:t>
            </w:r>
            <w:r w:rsidR="00B55C44">
              <w:rPr>
                <w:rFonts w:cs="Arial" w:asciiTheme="majorHAnsi" w:hAnsiTheme="majorHAnsi"/>
                <w:i/>
                <w:sz w:val="18"/>
                <w:szCs w:val="18"/>
              </w:rPr>
              <w:t xml:space="preserve"> </w:t>
            </w:r>
            <w:r w:rsidRPr="00B55C44" w:rsidR="00B55C44">
              <w:rPr>
                <w:rFonts w:cs="Arial" w:asciiTheme="majorHAnsi" w:hAnsiTheme="majorHAnsi"/>
                <w:i/>
                <w:sz w:val="18"/>
                <w:szCs w:val="18"/>
              </w:rPr>
              <w:t>ten opzichte van andere beleidsinstrumenten</w:t>
            </w:r>
            <w:r w:rsidR="00B55C44">
              <w:rPr>
                <w:rFonts w:cs="Arial" w:asciiTheme="majorHAnsi" w:hAnsiTheme="majorHAnsi"/>
                <w:i/>
                <w:sz w:val="18"/>
                <w:szCs w:val="18"/>
              </w:rPr>
              <w:t>?</w:t>
            </w:r>
            <w:r w:rsidRPr="00B55C44" w:rsidR="00B55C44">
              <w:rPr>
                <w:rFonts w:cs="Arial" w:asciiTheme="majorHAnsi" w:hAnsiTheme="majorHAnsi"/>
                <w:i/>
                <w:sz w:val="18"/>
                <w:szCs w:val="18"/>
              </w:rPr>
              <w:t xml:space="preserve"> Maak een vergelijking met alternatieve beleidsinstrumenten.</w:t>
            </w:r>
            <w:r w:rsidRPr="00163345">
              <w:rPr>
                <w:rFonts w:cs="Arial" w:asciiTheme="majorHAnsi" w:hAnsiTheme="majorHAnsi"/>
                <w:i/>
                <w:sz w:val="18"/>
                <w:szCs w:val="18"/>
              </w:rPr>
              <w:t xml:space="preserve"> </w:t>
            </w:r>
          </w:p>
        </w:tc>
      </w:tr>
      <w:tr w:rsidR="00711495" w:rsidTr="00711495" w14:paraId="2EAC41A9" w14:textId="77777777">
        <w:tc>
          <w:tcPr>
            <w:tcW w:w="9212" w:type="dxa"/>
          </w:tcPr>
          <w:p w:rsidRPr="002D4724" w:rsidR="00900A14" w:rsidP="002D4724" w:rsidRDefault="00900A14" w14:paraId="46FFAB84" w14:textId="7BAAAD66">
            <w:pPr>
              <w:pStyle w:val="Lijstalinea"/>
              <w:numPr>
                <w:ilvl w:val="0"/>
                <w:numId w:val="27"/>
              </w:numPr>
              <w:spacing w:line="360" w:lineRule="auto"/>
              <w:jc w:val="both"/>
              <w:rPr>
                <w:rFonts w:asciiTheme="majorHAnsi" w:hAnsiTheme="majorHAnsi"/>
                <w:sz w:val="18"/>
                <w:szCs w:val="18"/>
              </w:rPr>
            </w:pPr>
            <w:r w:rsidRPr="002D4724">
              <w:rPr>
                <w:rFonts w:asciiTheme="majorHAnsi" w:hAnsiTheme="majorHAnsi"/>
                <w:i/>
                <w:sz w:val="18"/>
                <w:szCs w:val="18"/>
              </w:rPr>
              <w:t>Is het voorstel voor de risicoregeling: a) ter compensatie van risico’s die niet in de markt kunnen worden gedekt</w:t>
            </w:r>
          </w:p>
          <w:p w:rsidRPr="00A57DC5" w:rsidR="00A57DC5" w:rsidP="002D4724" w:rsidRDefault="00A57DC5" w14:paraId="2CF5C9AC" w14:textId="77777777">
            <w:pPr>
              <w:spacing w:line="360" w:lineRule="auto"/>
              <w:jc w:val="both"/>
              <w:rPr>
                <w:rFonts w:asciiTheme="majorHAnsi" w:hAnsiTheme="majorHAnsi"/>
                <w:sz w:val="18"/>
                <w:szCs w:val="18"/>
              </w:rPr>
            </w:pPr>
            <w:r w:rsidRPr="00A57DC5">
              <w:rPr>
                <w:rFonts w:asciiTheme="majorHAnsi" w:hAnsiTheme="majorHAnsi"/>
                <w:sz w:val="18"/>
                <w:szCs w:val="18"/>
              </w:rPr>
              <w:t>Het NHT-systeem is opgezet om risico’s te compenseren die niet via de reguliere markt kunnen worden verzekerd. Terrorismerisico’s zijn door de omvang en ernst van een enkele gebeurtenis zo groot dat ze niet meer binnen de (her)verzekeringsmarkt kunnen worden gedekt, wat kan leiden tot marktfalen. Net als in andere landen met vergelijkbare regelingen, wordt er een staatsgarantie verstrekt om een vangnet te bieden voor het geval commerciële verzekeraars de schade niet volledig kunnen dragen.</w:t>
            </w:r>
          </w:p>
          <w:p w:rsidRPr="00A57DC5" w:rsidR="00AC13B4" w:rsidP="002D4724" w:rsidRDefault="00AC13B4" w14:paraId="68B0C90D" w14:textId="77777777">
            <w:pPr>
              <w:spacing w:line="360" w:lineRule="auto"/>
              <w:jc w:val="both"/>
              <w:rPr>
                <w:rFonts w:asciiTheme="majorHAnsi" w:hAnsiTheme="majorHAnsi"/>
                <w:sz w:val="18"/>
                <w:szCs w:val="18"/>
              </w:rPr>
            </w:pPr>
          </w:p>
          <w:p w:rsidR="00900A14" w:rsidP="002D4724" w:rsidRDefault="00900A14" w14:paraId="6B9C9C39" w14:textId="57123553">
            <w:pPr>
              <w:pStyle w:val="Lijstalinea"/>
              <w:numPr>
                <w:ilvl w:val="0"/>
                <w:numId w:val="27"/>
              </w:numPr>
              <w:spacing w:line="360" w:lineRule="auto"/>
              <w:jc w:val="both"/>
              <w:rPr>
                <w:rFonts w:asciiTheme="majorHAnsi" w:hAnsiTheme="majorHAnsi"/>
                <w:i/>
                <w:sz w:val="18"/>
                <w:szCs w:val="18"/>
              </w:rPr>
            </w:pPr>
            <w:r w:rsidRPr="002D4724">
              <w:rPr>
                <w:rFonts w:asciiTheme="majorHAnsi" w:hAnsiTheme="majorHAnsi"/>
                <w:i/>
                <w:sz w:val="18"/>
                <w:szCs w:val="18"/>
              </w:rPr>
              <w:t>het beste instrument waarmee een optimale doelmatigheidswinst kan worden bewerkstelligd ten opzichte van andere beleidsinstrumenten?</w:t>
            </w:r>
          </w:p>
          <w:p w:rsidR="00A57DC5" w:rsidP="002D4724" w:rsidRDefault="0034271B" w14:paraId="6B24CB23" w14:textId="77777777">
            <w:pPr>
              <w:spacing w:line="360" w:lineRule="auto"/>
              <w:jc w:val="both"/>
              <w:rPr>
                <w:rFonts w:asciiTheme="majorHAnsi" w:hAnsiTheme="majorHAnsi"/>
                <w:sz w:val="18"/>
                <w:szCs w:val="18"/>
              </w:rPr>
            </w:pPr>
            <w:r>
              <w:rPr>
                <w:rFonts w:asciiTheme="majorHAnsi" w:hAnsiTheme="majorHAnsi"/>
                <w:sz w:val="18"/>
                <w:szCs w:val="18"/>
              </w:rPr>
              <w:t>B</w:t>
            </w:r>
            <w:r w:rsidRPr="0034271B">
              <w:rPr>
                <w:rFonts w:asciiTheme="majorHAnsi" w:hAnsiTheme="majorHAnsi"/>
                <w:sz w:val="18"/>
                <w:szCs w:val="18"/>
              </w:rPr>
              <w:t xml:space="preserve">eleidsinstrumenten </w:t>
            </w:r>
            <w:r>
              <w:rPr>
                <w:rFonts w:asciiTheme="majorHAnsi" w:hAnsiTheme="majorHAnsi"/>
                <w:sz w:val="18"/>
                <w:szCs w:val="18"/>
              </w:rPr>
              <w:t xml:space="preserve">kunnen </w:t>
            </w:r>
            <w:r w:rsidRPr="0034271B">
              <w:rPr>
                <w:rFonts w:asciiTheme="majorHAnsi" w:hAnsiTheme="majorHAnsi"/>
                <w:sz w:val="18"/>
                <w:szCs w:val="18"/>
              </w:rPr>
              <w:t xml:space="preserve">in de volgende categorieën worden ingedeeld: </w:t>
            </w:r>
            <w:r>
              <w:rPr>
                <w:rFonts w:asciiTheme="majorHAnsi" w:hAnsiTheme="majorHAnsi"/>
                <w:sz w:val="18"/>
                <w:szCs w:val="18"/>
              </w:rPr>
              <w:t>c</w:t>
            </w:r>
            <w:r w:rsidRPr="0034271B">
              <w:rPr>
                <w:rFonts w:asciiTheme="majorHAnsi" w:hAnsiTheme="majorHAnsi"/>
                <w:sz w:val="18"/>
                <w:szCs w:val="18"/>
              </w:rPr>
              <w:t xml:space="preserve">ommunicatie, </w:t>
            </w:r>
            <w:r>
              <w:rPr>
                <w:rFonts w:asciiTheme="majorHAnsi" w:hAnsiTheme="majorHAnsi"/>
                <w:sz w:val="18"/>
                <w:szCs w:val="18"/>
              </w:rPr>
              <w:t>f</w:t>
            </w:r>
            <w:r w:rsidRPr="0034271B">
              <w:rPr>
                <w:rFonts w:asciiTheme="majorHAnsi" w:hAnsiTheme="majorHAnsi"/>
                <w:sz w:val="18"/>
                <w:szCs w:val="18"/>
              </w:rPr>
              <w:t xml:space="preserve">inancieel, </w:t>
            </w:r>
            <w:r>
              <w:rPr>
                <w:rFonts w:asciiTheme="majorHAnsi" w:hAnsiTheme="majorHAnsi"/>
                <w:sz w:val="18"/>
                <w:szCs w:val="18"/>
              </w:rPr>
              <w:t>j</w:t>
            </w:r>
            <w:r w:rsidRPr="0034271B">
              <w:rPr>
                <w:rFonts w:asciiTheme="majorHAnsi" w:hAnsiTheme="majorHAnsi"/>
                <w:sz w:val="18"/>
                <w:szCs w:val="18"/>
              </w:rPr>
              <w:t>uridisch,</w:t>
            </w:r>
            <w:r>
              <w:rPr>
                <w:rFonts w:asciiTheme="majorHAnsi" w:hAnsiTheme="majorHAnsi"/>
                <w:sz w:val="18"/>
                <w:szCs w:val="18"/>
              </w:rPr>
              <w:t xml:space="preserve"> organisatie,</w:t>
            </w:r>
            <w:r w:rsidRPr="0034271B">
              <w:rPr>
                <w:rFonts w:asciiTheme="majorHAnsi" w:hAnsiTheme="majorHAnsi"/>
                <w:sz w:val="18"/>
                <w:szCs w:val="18"/>
              </w:rPr>
              <w:t xml:space="preserve"> </w:t>
            </w:r>
            <w:r>
              <w:rPr>
                <w:rFonts w:asciiTheme="majorHAnsi" w:hAnsiTheme="majorHAnsi"/>
                <w:sz w:val="18"/>
                <w:szCs w:val="18"/>
              </w:rPr>
              <w:t>c</w:t>
            </w:r>
            <w:r w:rsidRPr="0034271B">
              <w:rPr>
                <w:rFonts w:asciiTheme="majorHAnsi" w:hAnsiTheme="majorHAnsi"/>
                <w:sz w:val="18"/>
                <w:szCs w:val="18"/>
              </w:rPr>
              <w:t>o-regulering of zelfregulering</w:t>
            </w:r>
            <w:r>
              <w:rPr>
                <w:rFonts w:asciiTheme="majorHAnsi" w:hAnsiTheme="majorHAnsi"/>
                <w:sz w:val="18"/>
                <w:szCs w:val="18"/>
              </w:rPr>
              <w:t xml:space="preserve"> en </w:t>
            </w:r>
            <w:r w:rsidRPr="0034271B">
              <w:rPr>
                <w:rFonts w:asciiTheme="majorHAnsi" w:hAnsiTheme="majorHAnsi"/>
                <w:sz w:val="18"/>
                <w:szCs w:val="18"/>
              </w:rPr>
              <w:t>ondersteunende instrumenten</w:t>
            </w:r>
            <w:r>
              <w:rPr>
                <w:rFonts w:asciiTheme="majorHAnsi" w:hAnsiTheme="majorHAnsi"/>
                <w:sz w:val="18"/>
                <w:szCs w:val="18"/>
              </w:rPr>
              <w:t xml:space="preserve">. </w:t>
            </w:r>
          </w:p>
          <w:p w:rsidR="00A57DC5" w:rsidP="002D4724" w:rsidRDefault="00A57DC5" w14:paraId="601B27EA" w14:textId="77777777">
            <w:pPr>
              <w:spacing w:line="360" w:lineRule="auto"/>
              <w:jc w:val="both"/>
              <w:rPr>
                <w:rFonts w:asciiTheme="majorHAnsi" w:hAnsiTheme="majorHAnsi"/>
                <w:sz w:val="18"/>
                <w:szCs w:val="18"/>
              </w:rPr>
            </w:pPr>
          </w:p>
          <w:p w:rsidRPr="00A57DC5" w:rsidR="00A57DC5" w:rsidP="002D4724" w:rsidRDefault="00A57DC5" w14:paraId="47182010" w14:textId="7AA9E36C">
            <w:pPr>
              <w:spacing w:line="360" w:lineRule="auto"/>
              <w:jc w:val="both"/>
              <w:rPr>
                <w:rFonts w:asciiTheme="majorHAnsi" w:hAnsiTheme="majorHAnsi"/>
                <w:sz w:val="18"/>
                <w:szCs w:val="18"/>
              </w:rPr>
            </w:pPr>
            <w:r w:rsidRPr="00A57DC5">
              <w:rPr>
                <w:rFonts w:asciiTheme="majorHAnsi" w:hAnsiTheme="majorHAnsi"/>
                <w:sz w:val="18"/>
                <w:szCs w:val="18"/>
              </w:rPr>
              <w:t>De NHT vormt een combinatie van een financieel beleidsinstrument en zelfregulering vanuit de verzekeringssector. De NHT is opgericht op initiatief van de verzekeraars, waarbij de deelname van de Staat als financieel instrument de doorslag gaf voor hun deelname. Wanneer de overheid bepaald gedrag of bepaalde activiteiten stimuleert die anders niet vanzelf tot stand komen vanwege (gepercipieerde) hoge kosten, kan een financieel instrument een effectieve oplossing bieden. Andere typen beleidsinstrumenten zouden het doel van de NHT</w:t>
            </w:r>
            <w:r>
              <w:rPr>
                <w:rFonts w:asciiTheme="majorHAnsi" w:hAnsiTheme="majorHAnsi"/>
                <w:sz w:val="18"/>
                <w:szCs w:val="18"/>
              </w:rPr>
              <w:t xml:space="preserve">, </w:t>
            </w:r>
            <w:r w:rsidRPr="00A57DC5">
              <w:rPr>
                <w:rFonts w:asciiTheme="majorHAnsi" w:hAnsiTheme="majorHAnsi"/>
                <w:sz w:val="18"/>
                <w:szCs w:val="18"/>
              </w:rPr>
              <w:t>het verzekerbaar houden van schade door terrorisme</w:t>
            </w:r>
            <w:r>
              <w:rPr>
                <w:rFonts w:asciiTheme="majorHAnsi" w:hAnsiTheme="majorHAnsi"/>
                <w:sz w:val="18"/>
                <w:szCs w:val="18"/>
              </w:rPr>
              <w:t xml:space="preserve">, </w:t>
            </w:r>
            <w:r w:rsidRPr="00A57DC5">
              <w:rPr>
                <w:rFonts w:asciiTheme="majorHAnsi" w:hAnsiTheme="majorHAnsi"/>
                <w:sz w:val="18"/>
                <w:szCs w:val="18"/>
              </w:rPr>
              <w:t>niet bereiken.</w:t>
            </w:r>
          </w:p>
          <w:p w:rsidRPr="00A57DC5" w:rsidR="0034271B" w:rsidP="002D4724" w:rsidRDefault="0034271B" w14:paraId="74CAD936" w14:textId="77777777">
            <w:pPr>
              <w:spacing w:line="360" w:lineRule="auto"/>
              <w:jc w:val="both"/>
              <w:rPr>
                <w:rFonts w:asciiTheme="majorHAnsi" w:hAnsiTheme="majorHAnsi"/>
                <w:sz w:val="18"/>
                <w:szCs w:val="18"/>
              </w:rPr>
            </w:pPr>
          </w:p>
          <w:p w:rsidR="00AC13B4" w:rsidP="002D4724" w:rsidRDefault="00AC13B4" w14:paraId="7A9F4194" w14:textId="536EEFA1">
            <w:pPr>
              <w:spacing w:line="360" w:lineRule="auto"/>
              <w:jc w:val="both"/>
              <w:rPr>
                <w:rFonts w:asciiTheme="majorHAnsi" w:hAnsiTheme="majorHAnsi"/>
                <w:sz w:val="18"/>
                <w:szCs w:val="18"/>
              </w:rPr>
            </w:pPr>
            <w:r w:rsidRPr="00AC13B4">
              <w:rPr>
                <w:rFonts w:asciiTheme="majorHAnsi" w:hAnsiTheme="majorHAnsi"/>
                <w:sz w:val="18"/>
                <w:szCs w:val="18"/>
              </w:rPr>
              <w:t>Het NHT-systeem heeft een belangrijke doelmatigheidswinst ten opzichte van de mogelijke alternatieven</w:t>
            </w:r>
            <w:r w:rsidR="00B666FD">
              <w:rPr>
                <w:rFonts w:asciiTheme="majorHAnsi" w:hAnsiTheme="majorHAnsi"/>
                <w:sz w:val="18"/>
                <w:szCs w:val="18"/>
              </w:rPr>
              <w:t xml:space="preserve"> </w:t>
            </w:r>
            <w:r w:rsidRPr="00A57DC5" w:rsidR="00A57DC5">
              <w:rPr>
                <w:rFonts w:asciiTheme="majorHAnsi" w:hAnsiTheme="majorHAnsi"/>
                <w:sz w:val="18"/>
                <w:szCs w:val="18"/>
              </w:rPr>
              <w:t>zoals het opleggen van een dekkingsplicht, schadevergoeding via de Wet tegemoetkoming schade bij rampen (Wts), of het accepteren van onverzekerbaarheid van het risico</w:t>
            </w:r>
            <w:r w:rsidRPr="00AC13B4">
              <w:rPr>
                <w:rFonts w:asciiTheme="majorHAnsi" w:hAnsiTheme="majorHAnsi"/>
                <w:sz w:val="18"/>
                <w:szCs w:val="18"/>
              </w:rPr>
              <w:t xml:space="preserve">. </w:t>
            </w:r>
            <w:r w:rsidRPr="00A57DC5" w:rsidR="00A57DC5">
              <w:rPr>
                <w:rFonts w:asciiTheme="majorHAnsi" w:hAnsiTheme="majorHAnsi"/>
                <w:sz w:val="18"/>
                <w:szCs w:val="18"/>
              </w:rPr>
              <w:t>Door de risico’s in een pool te spreiden over meerdere partijen, kan dit leiden tot lagere premies en zijn zowel de verzekeringsmarkt als de overheid beter in staat om de financiële gevolgen van een grootschalige terroristische aanslag op te vangen</w:t>
            </w:r>
            <w:r w:rsidR="00D14814">
              <w:rPr>
                <w:rFonts w:asciiTheme="majorHAnsi" w:hAnsiTheme="majorHAnsi"/>
                <w:sz w:val="18"/>
                <w:szCs w:val="18"/>
              </w:rPr>
              <w:t xml:space="preserve">. </w:t>
            </w:r>
            <w:r w:rsidRPr="00AC13B4">
              <w:rPr>
                <w:rFonts w:asciiTheme="majorHAnsi" w:hAnsiTheme="majorHAnsi"/>
                <w:sz w:val="18"/>
                <w:szCs w:val="18"/>
              </w:rPr>
              <w:t>Dit zou anders zijn als een dekkingsplicht zou worden opgelegd</w:t>
            </w:r>
            <w:r w:rsidR="00B666FD">
              <w:rPr>
                <w:rFonts w:asciiTheme="majorHAnsi" w:hAnsiTheme="majorHAnsi"/>
                <w:sz w:val="18"/>
                <w:szCs w:val="18"/>
              </w:rPr>
              <w:t xml:space="preserve"> aan de verzekeraars</w:t>
            </w:r>
            <w:r w:rsidRPr="00AC13B4">
              <w:rPr>
                <w:rFonts w:asciiTheme="majorHAnsi" w:hAnsiTheme="majorHAnsi"/>
                <w:sz w:val="18"/>
                <w:szCs w:val="18"/>
              </w:rPr>
              <w:t xml:space="preserve"> of als de overheid zich overeenkomstig de Wts tot compensatie zou verbinden. Verzekeraars zouden dan zeer hoge premies in rekening brengen om een eventuele schok te kunnen opvangen of de overheidsfinanciën zouden onverwachts met grote tegenvallers kunnen worden geconfronteerd. </w:t>
            </w:r>
          </w:p>
          <w:p w:rsidR="00AC13B4" w:rsidP="002D4724" w:rsidRDefault="00AC13B4" w14:paraId="4AA3B65D" w14:textId="77777777">
            <w:pPr>
              <w:spacing w:line="360" w:lineRule="auto"/>
              <w:jc w:val="both"/>
              <w:rPr>
                <w:rFonts w:asciiTheme="majorHAnsi" w:hAnsiTheme="majorHAnsi"/>
                <w:sz w:val="18"/>
                <w:szCs w:val="18"/>
              </w:rPr>
            </w:pPr>
          </w:p>
          <w:p w:rsidR="00C074F8" w:rsidP="002D4724" w:rsidRDefault="002D4724" w14:paraId="70522320" w14:textId="77777777">
            <w:pPr>
              <w:spacing w:line="360" w:lineRule="auto"/>
              <w:jc w:val="both"/>
              <w:rPr>
                <w:rFonts w:asciiTheme="majorHAnsi" w:hAnsiTheme="majorHAnsi"/>
                <w:sz w:val="18"/>
                <w:szCs w:val="18"/>
              </w:rPr>
            </w:pPr>
            <w:r w:rsidRPr="002D4724">
              <w:rPr>
                <w:rFonts w:asciiTheme="majorHAnsi" w:hAnsiTheme="majorHAnsi"/>
                <w:sz w:val="18"/>
                <w:szCs w:val="18"/>
              </w:rPr>
              <w:t>De NHT is</w:t>
            </w:r>
            <w:r>
              <w:rPr>
                <w:rFonts w:asciiTheme="majorHAnsi" w:hAnsiTheme="majorHAnsi"/>
                <w:sz w:val="18"/>
                <w:szCs w:val="18"/>
              </w:rPr>
              <w:t xml:space="preserve"> in zoverre</w:t>
            </w:r>
            <w:r w:rsidRPr="002D4724">
              <w:rPr>
                <w:rFonts w:asciiTheme="majorHAnsi" w:hAnsiTheme="majorHAnsi"/>
                <w:sz w:val="18"/>
                <w:szCs w:val="18"/>
              </w:rPr>
              <w:t xml:space="preserve"> effectief dat het een dekking van €1 miljard voor terrorismeschade biedt. In de praktijk heeft de NHT echter nog geen uitkeringen hoeven doen, waardoor de effectiviteit bij daadwerkelijke activatie nog niet kan worden beoordeeld. Over het algemeen kan worden gesteld dat de uitvoering van de NHT in handen is van De Vereende, een verzekeraar met een Wft-</w:t>
            </w:r>
            <w:r w:rsidRPr="002D4724">
              <w:rPr>
                <w:rFonts w:asciiTheme="majorHAnsi" w:hAnsiTheme="majorHAnsi"/>
                <w:sz w:val="18"/>
                <w:szCs w:val="18"/>
              </w:rPr>
              <w:lastRenderedPageBreak/>
              <w:t>vergunning die over voldoende capaciteit en expertise beschikt om een grote hoeveelheid claims na een terroristische aanslag adequaat af te handelen.</w:t>
            </w:r>
          </w:p>
          <w:p w:rsidRPr="00CE1921" w:rsidR="00C628C4" w:rsidP="00C628C4" w:rsidRDefault="00C628C4" w14:paraId="668602B0" w14:textId="77777777">
            <w:pPr>
              <w:spacing w:line="360" w:lineRule="auto"/>
              <w:jc w:val="both"/>
              <w:rPr>
                <w:rFonts w:asciiTheme="majorHAnsi" w:hAnsiTheme="majorHAnsi"/>
                <w:sz w:val="18"/>
                <w:szCs w:val="18"/>
              </w:rPr>
            </w:pPr>
          </w:p>
          <w:p w:rsidR="00C628C4" w:rsidP="00C628C4" w:rsidRDefault="00C628C4" w14:paraId="0597E156" w14:textId="3E21F7AC">
            <w:pPr>
              <w:spacing w:line="360" w:lineRule="auto"/>
              <w:jc w:val="both"/>
              <w:rPr>
                <w:rFonts w:asciiTheme="majorHAnsi" w:hAnsiTheme="majorHAnsi"/>
                <w:sz w:val="18"/>
                <w:szCs w:val="18"/>
              </w:rPr>
            </w:pPr>
            <w:r w:rsidRPr="00CE1921">
              <w:rPr>
                <w:rFonts w:asciiTheme="majorHAnsi" w:hAnsiTheme="majorHAnsi"/>
                <w:sz w:val="18"/>
                <w:szCs w:val="18"/>
              </w:rPr>
              <w:t>Het inzetten van subsidies om terrorismeverzekeringen betaalbaar te houden</w:t>
            </w:r>
            <w:r>
              <w:rPr>
                <w:rFonts w:asciiTheme="majorHAnsi" w:hAnsiTheme="majorHAnsi"/>
                <w:sz w:val="18"/>
                <w:szCs w:val="18"/>
              </w:rPr>
              <w:t xml:space="preserve"> </w:t>
            </w:r>
            <w:r w:rsidRPr="00CE1921">
              <w:rPr>
                <w:rFonts w:asciiTheme="majorHAnsi" w:hAnsiTheme="majorHAnsi"/>
                <w:sz w:val="18"/>
                <w:szCs w:val="18"/>
              </w:rPr>
              <w:t>wordt in dit geval als weinig effectief beschouwd. Het knelpunt zit namelijk niet in de betaalbaarheid van de premie, maar in het hoge en onvoorspelbare risico dat verzekeraars lopen. Daarom is risicospreiding, zoals die binnen de NHT wordt gerealiseerd, een logischer en efficiënter instrument. Bovendien zouden subsidies leiden tot hogere uitvoeringskosten</w:t>
            </w:r>
            <w:r>
              <w:rPr>
                <w:rFonts w:asciiTheme="majorHAnsi" w:hAnsiTheme="majorHAnsi"/>
                <w:sz w:val="18"/>
                <w:szCs w:val="18"/>
              </w:rPr>
              <w:t xml:space="preserve"> (voor zowel de verzekeringnemers als de verzekeraars)</w:t>
            </w:r>
            <w:r w:rsidRPr="00CE1921">
              <w:rPr>
                <w:rFonts w:asciiTheme="majorHAnsi" w:hAnsiTheme="majorHAnsi"/>
                <w:sz w:val="18"/>
                <w:szCs w:val="18"/>
              </w:rPr>
              <w:t xml:space="preserve"> en is het onwaarschijnlijk dat internationale herverzekeraars hierdoor hun risicobereidheid of </w:t>
            </w:r>
            <w:r>
              <w:rPr>
                <w:rFonts w:asciiTheme="majorHAnsi" w:hAnsiTheme="majorHAnsi"/>
                <w:sz w:val="18"/>
                <w:szCs w:val="18"/>
              </w:rPr>
              <w:t>positie</w:t>
            </w:r>
            <w:r w:rsidRPr="00CE1921">
              <w:rPr>
                <w:rFonts w:asciiTheme="majorHAnsi" w:hAnsiTheme="majorHAnsi"/>
                <w:sz w:val="18"/>
                <w:szCs w:val="18"/>
              </w:rPr>
              <w:t xml:space="preserve"> zouden aanpassen.</w:t>
            </w:r>
          </w:p>
        </w:tc>
      </w:tr>
    </w:tbl>
    <w:p w:rsidR="00711495" w:rsidP="002D4724" w:rsidRDefault="00711495" w14:paraId="215FCAAF" w14:textId="77777777">
      <w:pPr>
        <w:spacing w:line="360" w:lineRule="auto"/>
        <w:jc w:val="both"/>
        <w:rPr>
          <w:rFonts w:asciiTheme="majorHAnsi" w:hAnsiTheme="majorHAnsi"/>
          <w:sz w:val="18"/>
          <w:szCs w:val="18"/>
        </w:rPr>
      </w:pPr>
    </w:p>
    <w:tbl>
      <w:tblPr>
        <w:tblStyle w:val="Tabelraster"/>
        <w:tblW w:w="0" w:type="auto"/>
        <w:tblLook w:val="04A0" w:firstRow="1" w:lastRow="0" w:firstColumn="1" w:lastColumn="0" w:noHBand="0" w:noVBand="1"/>
      </w:tblPr>
      <w:tblGrid>
        <w:gridCol w:w="9062"/>
      </w:tblGrid>
      <w:tr w:rsidR="0053231D" w:rsidTr="0053231D" w14:paraId="66C31D53" w14:textId="77777777">
        <w:tc>
          <w:tcPr>
            <w:tcW w:w="9212" w:type="dxa"/>
          </w:tcPr>
          <w:p w:rsidRPr="00B55C44" w:rsidR="0053231D" w:rsidP="002D4724" w:rsidRDefault="00B55C44" w14:paraId="72EF70B1" w14:textId="4B0027A0">
            <w:pPr>
              <w:pStyle w:val="Default"/>
              <w:numPr>
                <w:ilvl w:val="0"/>
                <w:numId w:val="1"/>
              </w:numPr>
              <w:spacing w:line="360" w:lineRule="auto"/>
              <w:jc w:val="both"/>
              <w:rPr>
                <w:rFonts w:cs="Arial" w:asciiTheme="majorHAnsi" w:hAnsiTheme="majorHAnsi"/>
                <w:i/>
                <w:sz w:val="18"/>
                <w:szCs w:val="18"/>
              </w:rPr>
            </w:pPr>
            <w:r w:rsidRPr="00021161">
              <w:rPr>
                <w:rFonts w:cs="Arial" w:asciiTheme="majorHAnsi" w:hAnsiTheme="majorHAnsi"/>
                <w:i/>
                <w:sz w:val="18"/>
                <w:szCs w:val="18"/>
              </w:rPr>
              <w:t>Op welke wijze wordt het nieuw aan te gane risico gecompenseerd door risico’s vanuit andere risicoregelingen binnen de begroting te verminderen?</w:t>
            </w:r>
          </w:p>
        </w:tc>
      </w:tr>
      <w:tr w:rsidRPr="00E60CBC" w:rsidR="0053231D" w:rsidTr="0053231D" w14:paraId="0973593D" w14:textId="77777777">
        <w:tc>
          <w:tcPr>
            <w:tcW w:w="9212" w:type="dxa"/>
          </w:tcPr>
          <w:p w:rsidRPr="00E60CBC" w:rsidR="00E60CBC" w:rsidP="002D4724" w:rsidRDefault="00E60CBC" w14:paraId="6D0239E1" w14:textId="6639995E">
            <w:pPr>
              <w:pStyle w:val="Tekstzonderopmaak"/>
              <w:spacing w:line="360" w:lineRule="auto"/>
              <w:jc w:val="both"/>
              <w:rPr>
                <w:szCs w:val="18"/>
              </w:rPr>
            </w:pPr>
            <w:r w:rsidRPr="00E60CBC">
              <w:rPr>
                <w:szCs w:val="18"/>
              </w:rPr>
              <w:t>N.v.t. (betreft e</w:t>
            </w:r>
            <w:r w:rsidRPr="00AC090F">
              <w:rPr>
                <w:szCs w:val="18"/>
              </w:rPr>
              <w:t>e</w:t>
            </w:r>
            <w:r>
              <w:rPr>
                <w:szCs w:val="18"/>
              </w:rPr>
              <w:t>n verlenging van een bestaande regeling)</w:t>
            </w:r>
          </w:p>
        </w:tc>
      </w:tr>
    </w:tbl>
    <w:p w:rsidRPr="00AC090F" w:rsidR="0053231D" w:rsidP="002D4724" w:rsidRDefault="0053231D" w14:paraId="29332D3D" w14:textId="77777777">
      <w:pPr>
        <w:spacing w:line="360" w:lineRule="auto"/>
        <w:jc w:val="both"/>
        <w:rPr>
          <w:rFonts w:asciiTheme="majorHAnsi" w:hAnsiTheme="majorHAnsi"/>
          <w:sz w:val="18"/>
          <w:szCs w:val="18"/>
          <w:lang w:val="nl-NL"/>
        </w:rPr>
      </w:pPr>
    </w:p>
    <w:p w:rsidRPr="0009328E" w:rsidR="002D6B1E" w:rsidP="002D4724" w:rsidRDefault="00163345" w14:paraId="2B5B39DB" w14:textId="77777777">
      <w:pPr>
        <w:pStyle w:val="Default"/>
        <w:spacing w:line="360" w:lineRule="auto"/>
        <w:jc w:val="both"/>
        <w:rPr>
          <w:rFonts w:cs="Arial" w:asciiTheme="majorHAnsi" w:hAnsiTheme="majorHAnsi"/>
          <w:b/>
          <w:sz w:val="18"/>
          <w:szCs w:val="18"/>
        </w:rPr>
      </w:pPr>
      <w:r w:rsidRPr="00163345">
        <w:rPr>
          <w:rFonts w:cs="Arial" w:asciiTheme="majorHAnsi" w:hAnsiTheme="majorHAnsi"/>
          <w:b/>
          <w:sz w:val="18"/>
          <w:szCs w:val="18"/>
        </w:rPr>
        <w:t xml:space="preserve">Risico’s en risicobeheersing </w:t>
      </w:r>
    </w:p>
    <w:p w:rsidR="009C0C7B" w:rsidP="002D4724" w:rsidRDefault="009C0C7B" w14:paraId="65C73EFA" w14:textId="77777777">
      <w:pPr>
        <w:pStyle w:val="Default"/>
        <w:spacing w:after="13" w:line="360" w:lineRule="auto"/>
        <w:jc w:val="both"/>
        <w:rPr>
          <w:rFonts w:asciiTheme="majorHAnsi" w:hAnsiTheme="majorHAnsi"/>
          <w:i/>
          <w:sz w:val="18"/>
          <w:szCs w:val="18"/>
        </w:rPr>
      </w:pPr>
    </w:p>
    <w:tbl>
      <w:tblPr>
        <w:tblStyle w:val="Tabelraster"/>
        <w:tblW w:w="0" w:type="auto"/>
        <w:tblLook w:val="04A0" w:firstRow="1" w:lastRow="0" w:firstColumn="1" w:lastColumn="0" w:noHBand="0" w:noVBand="1"/>
      </w:tblPr>
      <w:tblGrid>
        <w:gridCol w:w="9062"/>
      </w:tblGrid>
      <w:tr w:rsidR="00302242" w:rsidTr="00302242" w14:paraId="4AE68B29" w14:textId="77777777">
        <w:tc>
          <w:tcPr>
            <w:tcW w:w="9212" w:type="dxa"/>
          </w:tcPr>
          <w:p w:rsidRPr="0053231D" w:rsidR="0053231D" w:rsidP="002D4724" w:rsidRDefault="0053231D" w14:paraId="27C7F468" w14:textId="53E55E28">
            <w:pPr>
              <w:pStyle w:val="Default"/>
              <w:numPr>
                <w:ilvl w:val="0"/>
                <w:numId w:val="1"/>
              </w:numPr>
              <w:spacing w:line="360" w:lineRule="auto"/>
              <w:jc w:val="both"/>
              <w:rPr>
                <w:rFonts w:cs="Arial" w:asciiTheme="majorHAnsi" w:hAnsiTheme="majorHAnsi"/>
                <w:i/>
                <w:sz w:val="18"/>
                <w:szCs w:val="18"/>
              </w:rPr>
            </w:pPr>
            <w:r w:rsidRPr="00163345">
              <w:rPr>
                <w:rFonts w:cs="Arial" w:asciiTheme="majorHAnsi" w:hAnsiTheme="majorHAnsi"/>
                <w:i/>
                <w:sz w:val="18"/>
                <w:szCs w:val="18"/>
              </w:rPr>
              <w:t>Wat zijn de risico’s van de regeling</w:t>
            </w:r>
            <w:r w:rsidR="00B55C44">
              <w:rPr>
                <w:rFonts w:cs="Arial" w:asciiTheme="majorHAnsi" w:hAnsiTheme="majorHAnsi"/>
                <w:i/>
                <w:sz w:val="18"/>
                <w:szCs w:val="18"/>
              </w:rPr>
              <w:t xml:space="preserve"> voor het Rijk</w:t>
            </w:r>
            <w:r w:rsidRPr="00163345">
              <w:rPr>
                <w:rFonts w:cs="Arial" w:asciiTheme="majorHAnsi" w:hAnsiTheme="majorHAnsi"/>
                <w:i/>
                <w:sz w:val="18"/>
                <w:szCs w:val="18"/>
              </w:rPr>
              <w:t xml:space="preserve">: </w:t>
            </w:r>
          </w:p>
          <w:p w:rsidRPr="0053231D" w:rsidR="0053231D" w:rsidP="002D4724" w:rsidRDefault="0053231D" w14:paraId="3CF80FB9" w14:textId="77777777">
            <w:pPr>
              <w:pStyle w:val="Default"/>
              <w:numPr>
                <w:ilvl w:val="0"/>
                <w:numId w:val="11"/>
              </w:numPr>
              <w:spacing w:after="13" w:line="360" w:lineRule="auto"/>
              <w:jc w:val="both"/>
              <w:rPr>
                <w:rFonts w:cs="Arial" w:asciiTheme="majorHAnsi" w:hAnsiTheme="majorHAnsi"/>
                <w:i/>
                <w:sz w:val="18"/>
                <w:szCs w:val="18"/>
              </w:rPr>
            </w:pPr>
            <w:r w:rsidRPr="00163345">
              <w:rPr>
                <w:rFonts w:cs="Arial" w:asciiTheme="majorHAnsi" w:hAnsiTheme="majorHAnsi"/>
                <w:i/>
                <w:sz w:val="18"/>
                <w:szCs w:val="18"/>
              </w:rPr>
              <w:t xml:space="preserve">Wat is het totaalrisico van de regeling op jaarbasis? Kent de regeling een totaalplafond? </w:t>
            </w:r>
          </w:p>
          <w:p w:rsidRPr="0053231D" w:rsidR="0053231D" w:rsidP="002D4724" w:rsidRDefault="0053231D" w14:paraId="13801329" w14:textId="3BF7D69F">
            <w:pPr>
              <w:pStyle w:val="Default"/>
              <w:numPr>
                <w:ilvl w:val="0"/>
                <w:numId w:val="11"/>
              </w:numPr>
              <w:spacing w:after="13" w:line="360" w:lineRule="auto"/>
              <w:jc w:val="both"/>
              <w:rPr>
                <w:rFonts w:cs="Arial" w:asciiTheme="majorHAnsi" w:hAnsiTheme="majorHAnsi"/>
                <w:i/>
                <w:sz w:val="18"/>
                <w:szCs w:val="18"/>
              </w:rPr>
            </w:pPr>
            <w:r w:rsidRPr="00163345">
              <w:rPr>
                <w:rFonts w:cs="Arial" w:asciiTheme="majorHAnsi" w:hAnsiTheme="majorHAnsi"/>
                <w:i/>
                <w:sz w:val="18"/>
                <w:szCs w:val="18"/>
              </w:rPr>
              <w:t>Hoe staan risico en rendement van de regeling tot elkaar in verhouding?</w:t>
            </w:r>
          </w:p>
          <w:p w:rsidRPr="0053231D" w:rsidR="00302242" w:rsidP="002D4724" w:rsidRDefault="0053231D" w14:paraId="336BD566" w14:textId="2DF16AB4">
            <w:pPr>
              <w:pStyle w:val="Default"/>
              <w:numPr>
                <w:ilvl w:val="0"/>
                <w:numId w:val="11"/>
              </w:numPr>
              <w:spacing w:line="360" w:lineRule="auto"/>
              <w:jc w:val="both"/>
              <w:rPr>
                <w:rFonts w:cs="Arial" w:asciiTheme="majorHAnsi" w:hAnsiTheme="majorHAnsi"/>
                <w:i/>
                <w:sz w:val="18"/>
                <w:szCs w:val="18"/>
              </w:rPr>
            </w:pPr>
            <w:r w:rsidRPr="00163345">
              <w:rPr>
                <w:rFonts w:cs="Arial" w:asciiTheme="majorHAnsi" w:hAnsiTheme="majorHAnsi"/>
                <w:i/>
                <w:sz w:val="18"/>
                <w:szCs w:val="18"/>
              </w:rPr>
              <w:t xml:space="preserve">Wat is de inschatting van het risico </w:t>
            </w:r>
            <w:r w:rsidR="00B55C44">
              <w:rPr>
                <w:rFonts w:cs="Arial" w:asciiTheme="majorHAnsi" w:hAnsiTheme="majorHAnsi"/>
                <w:i/>
                <w:sz w:val="18"/>
                <w:szCs w:val="18"/>
              </w:rPr>
              <w:t xml:space="preserve">voor het Rijk in termen van </w:t>
            </w:r>
            <w:r w:rsidRPr="00163345">
              <w:rPr>
                <w:rFonts w:cs="Arial" w:asciiTheme="majorHAnsi" w:hAnsiTheme="majorHAnsi"/>
                <w:i/>
                <w:sz w:val="18"/>
                <w:szCs w:val="18"/>
              </w:rPr>
              <w:t>waarschijnlijkheid, impact, blootstellingduur en beheersingsmate?</w:t>
            </w:r>
          </w:p>
        </w:tc>
      </w:tr>
      <w:tr w:rsidR="00302242" w:rsidTr="00302242" w14:paraId="0B391969" w14:textId="77777777">
        <w:tc>
          <w:tcPr>
            <w:tcW w:w="9212" w:type="dxa"/>
          </w:tcPr>
          <w:p w:rsidR="002F261C" w:rsidP="002D4724" w:rsidRDefault="00503FA6" w14:paraId="5EB96BA3" w14:textId="540C4562">
            <w:pPr>
              <w:pStyle w:val="Default"/>
              <w:numPr>
                <w:ilvl w:val="0"/>
                <w:numId w:val="28"/>
              </w:numPr>
              <w:spacing w:after="13" w:line="360" w:lineRule="auto"/>
              <w:jc w:val="both"/>
              <w:rPr>
                <w:rFonts w:cs="Arial" w:asciiTheme="majorHAnsi" w:hAnsiTheme="majorHAnsi"/>
                <w:i/>
                <w:sz w:val="18"/>
                <w:szCs w:val="18"/>
              </w:rPr>
            </w:pPr>
            <w:r w:rsidRPr="00163345">
              <w:rPr>
                <w:rFonts w:cs="Arial" w:asciiTheme="majorHAnsi" w:hAnsiTheme="majorHAnsi"/>
                <w:i/>
                <w:sz w:val="18"/>
                <w:szCs w:val="18"/>
              </w:rPr>
              <w:t>Wat is het totaalrisico van de regeling op jaarbasis? Kent de regeling een totaalplafond?</w:t>
            </w:r>
            <w:r w:rsidR="002F261C">
              <w:rPr>
                <w:rFonts w:cs="Arial" w:asciiTheme="majorHAnsi" w:hAnsiTheme="majorHAnsi"/>
                <w:i/>
                <w:sz w:val="18"/>
                <w:szCs w:val="18"/>
              </w:rPr>
              <w:t xml:space="preserve"> </w:t>
            </w:r>
          </w:p>
          <w:p w:rsidR="00503FA6" w:rsidP="002D4724" w:rsidRDefault="00F8131D" w14:paraId="15621ABE" w14:textId="31C57894">
            <w:pPr>
              <w:pStyle w:val="Default"/>
              <w:spacing w:after="13" w:line="360" w:lineRule="auto"/>
              <w:jc w:val="both"/>
              <w:rPr>
                <w:rFonts w:ascii="Verdana" w:hAnsi="Verdana"/>
                <w:bCs/>
                <w:sz w:val="18"/>
                <w:szCs w:val="18"/>
              </w:rPr>
            </w:pPr>
            <w:r>
              <w:rPr>
                <w:rFonts w:ascii="Verdana" w:hAnsi="Verdana"/>
                <w:bCs/>
                <w:sz w:val="18"/>
                <w:szCs w:val="18"/>
              </w:rPr>
              <w:t xml:space="preserve">Het </w:t>
            </w:r>
            <w:r w:rsidR="00E60CBC">
              <w:rPr>
                <w:rFonts w:ascii="Verdana" w:hAnsi="Verdana"/>
                <w:bCs/>
                <w:sz w:val="18"/>
                <w:szCs w:val="18"/>
              </w:rPr>
              <w:t>totaalplafond</w:t>
            </w:r>
            <w:r>
              <w:rPr>
                <w:rFonts w:ascii="Verdana" w:hAnsi="Verdana"/>
                <w:bCs/>
                <w:sz w:val="18"/>
                <w:szCs w:val="18"/>
              </w:rPr>
              <w:t xml:space="preserve"> voor de overheid van deze regeling is €50 miljoen</w:t>
            </w:r>
            <w:r w:rsidR="00503FA6">
              <w:rPr>
                <w:rFonts w:ascii="Verdana" w:hAnsi="Verdana"/>
                <w:bCs/>
                <w:sz w:val="18"/>
                <w:szCs w:val="18"/>
              </w:rPr>
              <w:t xml:space="preserve">. </w:t>
            </w:r>
          </w:p>
          <w:p w:rsidRPr="00503FA6" w:rsidR="00503FA6" w:rsidP="002D4724" w:rsidRDefault="00503FA6" w14:paraId="6FA8BA85" w14:textId="77777777">
            <w:pPr>
              <w:pStyle w:val="Default"/>
              <w:spacing w:line="360" w:lineRule="auto"/>
              <w:jc w:val="both"/>
              <w:rPr>
                <w:rFonts w:ascii="Verdana" w:hAnsi="Verdana"/>
                <w:bCs/>
                <w:sz w:val="18"/>
                <w:szCs w:val="18"/>
              </w:rPr>
            </w:pPr>
          </w:p>
          <w:p w:rsidR="00503FA6" w:rsidP="002D4724" w:rsidRDefault="00503FA6" w14:paraId="370875CE" w14:textId="591E6A56">
            <w:pPr>
              <w:pStyle w:val="Default"/>
              <w:numPr>
                <w:ilvl w:val="0"/>
                <w:numId w:val="28"/>
              </w:numPr>
              <w:spacing w:after="13" w:line="360" w:lineRule="auto"/>
              <w:jc w:val="both"/>
              <w:rPr>
                <w:rFonts w:cs="Arial" w:asciiTheme="majorHAnsi" w:hAnsiTheme="majorHAnsi"/>
                <w:i/>
                <w:sz w:val="18"/>
                <w:szCs w:val="18"/>
              </w:rPr>
            </w:pPr>
            <w:r w:rsidRPr="00163345">
              <w:rPr>
                <w:rFonts w:cs="Arial" w:asciiTheme="majorHAnsi" w:hAnsiTheme="majorHAnsi"/>
                <w:i/>
                <w:sz w:val="18"/>
                <w:szCs w:val="18"/>
              </w:rPr>
              <w:t>Hoe staan risico en rendement van de regeling tot elkaar in verhouding</w:t>
            </w:r>
            <w:r w:rsidR="00403A99">
              <w:rPr>
                <w:rFonts w:cs="Arial" w:asciiTheme="majorHAnsi" w:hAnsiTheme="majorHAnsi"/>
                <w:i/>
                <w:sz w:val="18"/>
                <w:szCs w:val="18"/>
              </w:rPr>
              <w:t>?</w:t>
            </w:r>
            <w:r w:rsidRPr="00163345">
              <w:rPr>
                <w:rFonts w:cs="Arial" w:asciiTheme="majorHAnsi" w:hAnsiTheme="majorHAnsi"/>
                <w:i/>
                <w:sz w:val="18"/>
                <w:szCs w:val="18"/>
              </w:rPr>
              <w:t xml:space="preserve"> </w:t>
            </w:r>
          </w:p>
          <w:p w:rsidRPr="00074400" w:rsidR="00074400" w:rsidP="00074400" w:rsidRDefault="00074400" w14:paraId="5496954D" w14:textId="26919611">
            <w:pPr>
              <w:spacing w:line="360" w:lineRule="auto"/>
              <w:jc w:val="both"/>
              <w:rPr>
                <w:rFonts w:asciiTheme="majorHAnsi" w:hAnsiTheme="majorHAnsi"/>
                <w:sz w:val="18"/>
                <w:szCs w:val="18"/>
              </w:rPr>
            </w:pPr>
            <w:r w:rsidRPr="00074400">
              <w:rPr>
                <w:rFonts w:asciiTheme="majorHAnsi" w:hAnsiTheme="majorHAnsi"/>
                <w:sz w:val="18"/>
                <w:szCs w:val="18"/>
              </w:rPr>
              <w:t xml:space="preserve">De premie die de Staat ontvangt voor haar deelname aan de NHT is marktconform en gebaseerd op de premiebetalingen van de deelnemende </w:t>
            </w:r>
            <w:r>
              <w:rPr>
                <w:rFonts w:asciiTheme="majorHAnsi" w:hAnsiTheme="majorHAnsi"/>
                <w:sz w:val="18"/>
                <w:szCs w:val="18"/>
              </w:rPr>
              <w:t>(her)verzekeraars</w:t>
            </w:r>
            <w:r w:rsidRPr="00074400">
              <w:rPr>
                <w:rFonts w:asciiTheme="majorHAnsi" w:hAnsiTheme="majorHAnsi"/>
                <w:sz w:val="18"/>
                <w:szCs w:val="18"/>
              </w:rPr>
              <w:t>. In de afgelopen jaren is deze premie gedaald ten opzichte van eerdere perioden. Volgens de NHT is deze daling voornamelijk het gevolg van een afgenomen risicoperceptie bij verzekeraars en herverzekeraars met betrekking tot het risico op grootschalige terroristische aanslagen.</w:t>
            </w:r>
          </w:p>
          <w:p w:rsidRPr="00074400" w:rsidR="00074400" w:rsidP="00074400" w:rsidRDefault="00074400" w14:paraId="2FEA8EC7" w14:textId="77777777">
            <w:pPr>
              <w:spacing w:line="360" w:lineRule="auto"/>
              <w:jc w:val="both"/>
              <w:rPr>
                <w:rFonts w:asciiTheme="majorHAnsi" w:hAnsiTheme="majorHAnsi"/>
                <w:sz w:val="18"/>
                <w:szCs w:val="18"/>
              </w:rPr>
            </w:pPr>
          </w:p>
          <w:p w:rsidRPr="00074400" w:rsidR="00D54228" w:rsidP="002D4724" w:rsidRDefault="00074400" w14:paraId="1F0A2B51" w14:textId="6921E604">
            <w:pPr>
              <w:spacing w:line="360" w:lineRule="auto"/>
              <w:jc w:val="both"/>
              <w:rPr>
                <w:rFonts w:asciiTheme="majorHAnsi" w:hAnsiTheme="majorHAnsi"/>
                <w:sz w:val="18"/>
                <w:szCs w:val="18"/>
              </w:rPr>
            </w:pPr>
            <w:r w:rsidRPr="00074400">
              <w:rPr>
                <w:rFonts w:asciiTheme="majorHAnsi" w:hAnsiTheme="majorHAnsi"/>
                <w:sz w:val="18"/>
                <w:szCs w:val="18"/>
              </w:rPr>
              <w:t>Onderzoek dat in opdracht van de NHT is uitgevoerd naar trends in terrorismedreiging ondersteunt deze bevinding. De dalende risicoperceptie</w:t>
            </w:r>
            <w:r>
              <w:rPr>
                <w:rFonts w:asciiTheme="majorHAnsi" w:hAnsiTheme="majorHAnsi"/>
                <w:sz w:val="18"/>
                <w:szCs w:val="18"/>
              </w:rPr>
              <w:t>,</w:t>
            </w:r>
            <w:r w:rsidRPr="00074400">
              <w:rPr>
                <w:rFonts w:asciiTheme="majorHAnsi" w:hAnsiTheme="majorHAnsi"/>
                <w:sz w:val="18"/>
                <w:szCs w:val="18"/>
              </w:rPr>
              <w:t xml:space="preserve"> ondanks het huidige substantiële dreigingsniveau</w:t>
            </w:r>
            <w:r>
              <w:rPr>
                <w:rFonts w:asciiTheme="majorHAnsi" w:hAnsiTheme="majorHAnsi"/>
                <w:sz w:val="18"/>
                <w:szCs w:val="18"/>
              </w:rPr>
              <w:t>,</w:t>
            </w:r>
            <w:r w:rsidRPr="00074400">
              <w:rPr>
                <w:rFonts w:asciiTheme="majorHAnsi" w:hAnsiTheme="majorHAnsi"/>
                <w:sz w:val="18"/>
                <w:szCs w:val="18"/>
              </w:rPr>
              <w:t xml:space="preserve"> hangt samen met de verbeterde werkwijze van veiligheids- en opsporingsdiensten sinds de aanslagen van 11 september 2001. Grootschalige aanslagen kunnen tegenwoordig eerder worden gesignaleerd en in veel gevallen worden voorkomen. De resterende dreiging komt daardoor vooral van zogenaamde ‘lone wolves’.</w:t>
            </w:r>
          </w:p>
          <w:p w:rsidR="002D4724" w:rsidP="002D4724" w:rsidRDefault="002D4724" w14:paraId="095CA828" w14:textId="77777777">
            <w:pPr>
              <w:spacing w:line="360" w:lineRule="auto"/>
              <w:jc w:val="both"/>
              <w:rPr>
                <w:rFonts w:asciiTheme="majorHAnsi" w:hAnsiTheme="majorHAnsi"/>
                <w:sz w:val="18"/>
                <w:szCs w:val="18"/>
              </w:rPr>
            </w:pPr>
          </w:p>
          <w:p w:rsidRPr="002D4724" w:rsidR="002D4724" w:rsidP="002D4724" w:rsidRDefault="00D54228" w14:paraId="5D97C7D7" w14:textId="77777777">
            <w:pPr>
              <w:pStyle w:val="Lijstalinea"/>
              <w:numPr>
                <w:ilvl w:val="0"/>
                <w:numId w:val="28"/>
              </w:numPr>
              <w:spacing w:line="360" w:lineRule="auto"/>
              <w:jc w:val="both"/>
              <w:rPr>
                <w:rFonts w:asciiTheme="majorHAnsi" w:hAnsiTheme="majorHAnsi"/>
                <w:sz w:val="18"/>
                <w:szCs w:val="18"/>
              </w:rPr>
            </w:pPr>
            <w:r w:rsidRPr="002D4724">
              <w:rPr>
                <w:rFonts w:asciiTheme="majorHAnsi" w:hAnsiTheme="majorHAnsi"/>
                <w:i/>
                <w:sz w:val="18"/>
                <w:szCs w:val="18"/>
              </w:rPr>
              <w:t>Wat is de inschatting van het risico</w:t>
            </w:r>
            <w:r w:rsidRPr="002D4724" w:rsidR="00900A14">
              <w:rPr>
                <w:rFonts w:asciiTheme="majorHAnsi" w:hAnsiTheme="majorHAnsi"/>
                <w:i/>
                <w:sz w:val="18"/>
                <w:szCs w:val="18"/>
              </w:rPr>
              <w:t xml:space="preserve"> voor het Rijk in termen van</w:t>
            </w:r>
            <w:r w:rsidRPr="002D4724">
              <w:rPr>
                <w:rFonts w:asciiTheme="majorHAnsi" w:hAnsiTheme="majorHAnsi"/>
                <w:i/>
                <w:sz w:val="18"/>
                <w:szCs w:val="18"/>
              </w:rPr>
              <w:t xml:space="preserve"> op waarschijnlijkheid, impact, blootstellingduur en beheersingsmate?</w:t>
            </w:r>
          </w:p>
          <w:p w:rsidRPr="00074400" w:rsidR="00074400" w:rsidP="005067B4" w:rsidRDefault="005067B4" w14:paraId="6A57A4C0" w14:textId="006F17A2">
            <w:pPr>
              <w:spacing w:line="360" w:lineRule="auto"/>
              <w:jc w:val="both"/>
              <w:rPr>
                <w:rFonts w:asciiTheme="majorHAnsi" w:hAnsiTheme="majorHAnsi"/>
                <w:sz w:val="18"/>
                <w:szCs w:val="18"/>
                <w:lang w:val="nl-NL"/>
              </w:rPr>
            </w:pPr>
            <w:r w:rsidRPr="005067B4">
              <w:rPr>
                <w:rFonts w:asciiTheme="majorHAnsi" w:hAnsiTheme="majorHAnsi"/>
                <w:sz w:val="18"/>
                <w:szCs w:val="18"/>
                <w:lang w:val="nl-NL"/>
              </w:rPr>
              <w:lastRenderedPageBreak/>
              <w:t>Het risico dat de overheid draagt bij een uitkering is beperkt tot het meest senior risicodeel van €50 miljoen binnen het totaal van €1 miljard. Dit houdt in dat een terroristische aanslag niet direct leidt tot een uitkering door de overheid; pas wanneer de eerste €950 miljoen aan schade is vergoed, komt de overheid in actie. Ter illustratie: na de aanslagen in Brussel in 2016 bedroeg de totale schadevergoeding door de Belgische verzekeringspool €140 miljoen. Gezien het gemaximeerde bedrag</w:t>
            </w:r>
            <w:r>
              <w:rPr>
                <w:rFonts w:asciiTheme="majorHAnsi" w:hAnsiTheme="majorHAnsi"/>
                <w:sz w:val="18"/>
                <w:szCs w:val="18"/>
                <w:lang w:val="nl-NL"/>
              </w:rPr>
              <w:t xml:space="preserve"> tevens het senior risicodeel is,</w:t>
            </w:r>
            <w:r w:rsidRPr="005067B4">
              <w:rPr>
                <w:rFonts w:asciiTheme="majorHAnsi" w:hAnsiTheme="majorHAnsi"/>
                <w:sz w:val="18"/>
                <w:szCs w:val="18"/>
                <w:lang w:val="nl-NL"/>
              </w:rPr>
              <w:t xml:space="preserve"> wordt de financiële impact voor de Staat daarom als beperkt beschouwd</w:t>
            </w:r>
            <w:r w:rsidRPr="00074400" w:rsidR="00074400">
              <w:rPr>
                <w:rFonts w:asciiTheme="majorHAnsi" w:hAnsiTheme="majorHAnsi"/>
                <w:sz w:val="18"/>
                <w:szCs w:val="18"/>
                <w:lang w:val="nl-NL"/>
              </w:rPr>
              <w:t>.</w:t>
            </w:r>
            <w:r>
              <w:rPr>
                <w:rFonts w:asciiTheme="majorHAnsi" w:hAnsiTheme="majorHAnsi"/>
                <w:sz w:val="18"/>
                <w:szCs w:val="18"/>
                <w:lang w:val="nl-NL"/>
              </w:rPr>
              <w:t xml:space="preserve"> </w:t>
            </w:r>
            <w:r w:rsidRPr="005067B4">
              <w:rPr>
                <w:rFonts w:asciiTheme="majorHAnsi" w:hAnsiTheme="majorHAnsi"/>
                <w:sz w:val="18"/>
                <w:szCs w:val="18"/>
                <w:lang w:val="nl-NL"/>
              </w:rPr>
              <w:t>Tegelijkertijd moet worden onderkend dat een grootschalige aanslag een aanzienlijke maatschappelijke impact kan hebben, los van de financiële schade</w:t>
            </w:r>
            <w:r>
              <w:rPr>
                <w:rFonts w:asciiTheme="majorHAnsi" w:hAnsiTheme="majorHAnsi"/>
                <w:sz w:val="18"/>
                <w:szCs w:val="18"/>
                <w:lang w:val="nl-NL"/>
              </w:rPr>
              <w:t>.</w:t>
            </w:r>
          </w:p>
          <w:p w:rsidRPr="00074400" w:rsidR="00074400" w:rsidP="00074400" w:rsidRDefault="00074400" w14:paraId="3F8104AB" w14:textId="35EDA189">
            <w:pPr>
              <w:spacing w:line="360" w:lineRule="auto"/>
              <w:jc w:val="both"/>
              <w:rPr>
                <w:rFonts w:asciiTheme="majorHAnsi" w:hAnsiTheme="majorHAnsi"/>
                <w:sz w:val="18"/>
                <w:szCs w:val="18"/>
                <w:lang w:val="nl-NL"/>
              </w:rPr>
            </w:pPr>
          </w:p>
          <w:p w:rsidR="00074400" w:rsidP="00074400" w:rsidRDefault="00074400" w14:paraId="6B9B08CC" w14:textId="433A8F6E">
            <w:pPr>
              <w:spacing w:line="360" w:lineRule="auto"/>
              <w:jc w:val="both"/>
              <w:rPr>
                <w:rFonts w:asciiTheme="majorHAnsi" w:hAnsiTheme="majorHAnsi"/>
                <w:sz w:val="18"/>
                <w:szCs w:val="18"/>
                <w:lang w:val="nl-NL"/>
              </w:rPr>
            </w:pPr>
            <w:r w:rsidRPr="00074400">
              <w:rPr>
                <w:rFonts w:asciiTheme="majorHAnsi" w:hAnsiTheme="majorHAnsi"/>
                <w:sz w:val="18"/>
                <w:szCs w:val="18"/>
                <w:lang w:val="nl-NL"/>
              </w:rPr>
              <w:t>Hoewel de kans dat de overheid</w:t>
            </w:r>
            <w:r w:rsidR="005067B4">
              <w:rPr>
                <w:rFonts w:asciiTheme="majorHAnsi" w:hAnsiTheme="majorHAnsi"/>
                <w:sz w:val="18"/>
                <w:szCs w:val="18"/>
                <w:lang w:val="nl-NL"/>
              </w:rPr>
              <w:t xml:space="preserve"> uiteindelijk</w:t>
            </w:r>
            <w:r w:rsidRPr="00074400">
              <w:rPr>
                <w:rFonts w:asciiTheme="majorHAnsi" w:hAnsiTheme="majorHAnsi"/>
                <w:sz w:val="18"/>
                <w:szCs w:val="18"/>
                <w:lang w:val="nl-NL"/>
              </w:rPr>
              <w:t xml:space="preserve"> moet uitkeren klein is, is het risico</w:t>
            </w:r>
            <w:r>
              <w:rPr>
                <w:rFonts w:asciiTheme="majorHAnsi" w:hAnsiTheme="majorHAnsi"/>
                <w:sz w:val="18"/>
                <w:szCs w:val="18"/>
                <w:lang w:val="nl-NL"/>
              </w:rPr>
              <w:t xml:space="preserve"> of de waarschijnlijkheid</w:t>
            </w:r>
            <w:r w:rsidRPr="00074400">
              <w:rPr>
                <w:rFonts w:asciiTheme="majorHAnsi" w:hAnsiTheme="majorHAnsi"/>
                <w:sz w:val="18"/>
                <w:szCs w:val="18"/>
                <w:lang w:val="nl-NL"/>
              </w:rPr>
              <w:t xml:space="preserve"> niet goed te kwantificeren. Terrorismerisico’s laten zich immers moeilijk voorspellen en zijn mede afhankelijk van politieke en maatschappelijke ontwikkelingen. </w:t>
            </w:r>
            <w:r w:rsidRPr="005067B4" w:rsidR="005067B4">
              <w:rPr>
                <w:rFonts w:asciiTheme="majorHAnsi" w:hAnsiTheme="majorHAnsi"/>
                <w:sz w:val="18"/>
                <w:szCs w:val="18"/>
                <w:lang w:val="nl-NL"/>
              </w:rPr>
              <w:t>Bij een extreem grote aanslag, waarbij de schade hoger is dan €1 miljard, kan de Staat besluiten extra middelen vrij te maken voor schadevergoeding.</w:t>
            </w:r>
          </w:p>
          <w:p w:rsidR="000440A8" w:rsidP="00074400" w:rsidRDefault="000440A8" w14:paraId="6AB9BB7C" w14:textId="77777777">
            <w:pPr>
              <w:spacing w:line="360" w:lineRule="auto"/>
              <w:jc w:val="both"/>
              <w:rPr>
                <w:rFonts w:asciiTheme="majorHAnsi" w:hAnsiTheme="majorHAnsi"/>
                <w:sz w:val="18"/>
                <w:szCs w:val="18"/>
                <w:lang w:val="nl-NL"/>
              </w:rPr>
            </w:pPr>
          </w:p>
          <w:p w:rsidRPr="00074400" w:rsidR="008508FB" w:rsidP="00074400" w:rsidRDefault="00074400" w14:paraId="6BADF266" w14:textId="5E91162D">
            <w:pPr>
              <w:spacing w:line="360" w:lineRule="auto"/>
              <w:jc w:val="both"/>
              <w:rPr>
                <w:rFonts w:asciiTheme="majorHAnsi" w:hAnsiTheme="majorHAnsi"/>
                <w:sz w:val="18"/>
                <w:szCs w:val="18"/>
                <w:lang w:val="nl-NL"/>
              </w:rPr>
            </w:pPr>
            <w:r w:rsidRPr="00074400">
              <w:rPr>
                <w:rFonts w:asciiTheme="majorHAnsi" w:hAnsiTheme="majorHAnsi"/>
                <w:sz w:val="18"/>
                <w:szCs w:val="18"/>
                <w:lang w:val="nl-NL"/>
              </w:rPr>
              <w:t xml:space="preserve">De blootstelling van de Staat aan dit risico is rechtstreeks gekoppeld aan de looptijd van de herverzekeringsovereenkomst. Tegelijkertijd wordt deze ook beïnvloed door het actuele dreigingsniveau, dat langdurig </w:t>
            </w:r>
            <w:r w:rsidR="000440A8">
              <w:rPr>
                <w:rFonts w:asciiTheme="majorHAnsi" w:hAnsiTheme="majorHAnsi"/>
                <w:sz w:val="18"/>
                <w:szCs w:val="18"/>
                <w:lang w:val="nl-NL"/>
              </w:rPr>
              <w:t>hoog</w:t>
            </w:r>
            <w:r w:rsidRPr="00074400" w:rsidR="000440A8">
              <w:rPr>
                <w:rFonts w:asciiTheme="majorHAnsi" w:hAnsiTheme="majorHAnsi"/>
                <w:sz w:val="18"/>
                <w:szCs w:val="18"/>
                <w:lang w:val="nl-NL"/>
              </w:rPr>
              <w:t xml:space="preserve"> </w:t>
            </w:r>
            <w:r w:rsidRPr="00074400">
              <w:rPr>
                <w:rFonts w:asciiTheme="majorHAnsi" w:hAnsiTheme="majorHAnsi"/>
                <w:sz w:val="18"/>
                <w:szCs w:val="18"/>
                <w:lang w:val="nl-NL"/>
              </w:rPr>
              <w:t>kan blijven.</w:t>
            </w:r>
          </w:p>
        </w:tc>
      </w:tr>
    </w:tbl>
    <w:p w:rsidRPr="0030376E" w:rsidR="00302242" w:rsidP="002D4724" w:rsidRDefault="00302242" w14:paraId="2890896B" w14:textId="77777777">
      <w:pPr>
        <w:pStyle w:val="Default"/>
        <w:spacing w:after="13" w:line="360" w:lineRule="auto"/>
        <w:jc w:val="both"/>
        <w:rPr>
          <w:rFonts w:asciiTheme="majorHAnsi" w:hAnsiTheme="majorHAnsi"/>
          <w:sz w:val="18"/>
          <w:szCs w:val="18"/>
          <w:lang w:val="nl"/>
        </w:rPr>
      </w:pPr>
    </w:p>
    <w:tbl>
      <w:tblPr>
        <w:tblStyle w:val="Tabelraster"/>
        <w:tblW w:w="0" w:type="auto"/>
        <w:tblLook w:val="04A0" w:firstRow="1" w:lastRow="0" w:firstColumn="1" w:lastColumn="0" w:noHBand="0" w:noVBand="1"/>
      </w:tblPr>
      <w:tblGrid>
        <w:gridCol w:w="9062"/>
      </w:tblGrid>
      <w:tr w:rsidR="00283292" w:rsidTr="00283292" w14:paraId="007189B8" w14:textId="77777777">
        <w:tc>
          <w:tcPr>
            <w:tcW w:w="9212" w:type="dxa"/>
          </w:tcPr>
          <w:p w:rsidRPr="0053231D" w:rsidR="00283292" w:rsidP="002D4724" w:rsidRDefault="0053231D" w14:paraId="4BF49128" w14:textId="35170652">
            <w:pPr>
              <w:pStyle w:val="Default"/>
              <w:numPr>
                <w:ilvl w:val="0"/>
                <w:numId w:val="1"/>
              </w:numPr>
              <w:spacing w:after="13" w:line="360" w:lineRule="auto"/>
              <w:jc w:val="both"/>
              <w:rPr>
                <w:rFonts w:cs="Arial" w:asciiTheme="majorHAnsi" w:hAnsiTheme="majorHAnsi"/>
                <w:i/>
                <w:sz w:val="18"/>
                <w:szCs w:val="18"/>
              </w:rPr>
            </w:pPr>
            <w:r w:rsidRPr="00163345">
              <w:rPr>
                <w:rFonts w:cs="Arial" w:asciiTheme="majorHAnsi" w:hAnsiTheme="majorHAnsi"/>
                <w:i/>
                <w:sz w:val="18"/>
                <w:szCs w:val="18"/>
              </w:rPr>
              <w:t>Welke risicobeheersende en risicomitigerende maatregelen worden getroffe</w:t>
            </w:r>
            <w:r w:rsidR="00B55C44">
              <w:rPr>
                <w:rFonts w:cs="Arial" w:asciiTheme="majorHAnsi" w:hAnsiTheme="majorHAnsi"/>
                <w:i/>
                <w:sz w:val="18"/>
                <w:szCs w:val="18"/>
              </w:rPr>
              <w:t xml:space="preserve">n </w:t>
            </w:r>
            <w:r w:rsidRPr="00B55C44" w:rsidR="00B55C44">
              <w:rPr>
                <w:rFonts w:cs="Arial" w:asciiTheme="majorHAnsi" w:hAnsiTheme="majorHAnsi"/>
                <w:i/>
                <w:sz w:val="18"/>
                <w:szCs w:val="18"/>
              </w:rPr>
              <w:t>om het risico voor het Rijk te minimaliseren</w:t>
            </w:r>
            <w:r w:rsidR="00074400">
              <w:rPr>
                <w:rFonts w:cs="Arial" w:asciiTheme="majorHAnsi" w:hAnsiTheme="majorHAnsi"/>
                <w:i/>
                <w:sz w:val="18"/>
                <w:szCs w:val="18"/>
              </w:rPr>
              <w:t>?</w:t>
            </w:r>
            <w:r w:rsidRPr="00B55C44" w:rsidR="00B55C44">
              <w:rPr>
                <w:rFonts w:cs="Arial" w:asciiTheme="majorHAnsi" w:hAnsiTheme="majorHAnsi"/>
                <w:i/>
                <w:sz w:val="18"/>
                <w:szCs w:val="18"/>
              </w:rPr>
              <w:t xml:space="preserve"> </w:t>
            </w:r>
            <w:r w:rsidRPr="00AC090F" w:rsidR="00B55C44">
              <w:rPr>
                <w:rFonts w:cs="Arial" w:asciiTheme="majorHAnsi" w:hAnsiTheme="majorHAnsi"/>
                <w:i/>
                <w:sz w:val="18"/>
                <w:szCs w:val="18"/>
              </w:rPr>
              <w:t>Heeft de budgettair verantwoordelijke minister voldoende mogelijkheden tot beheersing van de risico’s, ook als de regeling op afstand van het Rijk wordt uitgevoerd?</w:t>
            </w:r>
          </w:p>
        </w:tc>
      </w:tr>
      <w:tr w:rsidR="00283292" w:rsidTr="00283292" w14:paraId="5773A9BC" w14:textId="77777777">
        <w:tc>
          <w:tcPr>
            <w:tcW w:w="9212" w:type="dxa"/>
          </w:tcPr>
          <w:p w:rsidRPr="005067B4" w:rsidR="005067B4" w:rsidP="005067B4" w:rsidRDefault="005067B4" w14:paraId="1B0C17FC" w14:textId="6F8BD6D9">
            <w:pPr>
              <w:autoSpaceDE w:val="0"/>
              <w:autoSpaceDN w:val="0"/>
              <w:adjustRightInd w:val="0"/>
              <w:spacing w:line="360" w:lineRule="auto"/>
              <w:jc w:val="both"/>
              <w:rPr>
                <w:rFonts w:ascii="Verdana" w:hAnsi="Verdana" w:cs="Verdana" w:eastAsiaTheme="minorHAnsi"/>
                <w:color w:val="000000"/>
                <w:sz w:val="18"/>
                <w:szCs w:val="18"/>
                <w:lang w:val="nl-NL" w:eastAsia="en-US"/>
              </w:rPr>
            </w:pPr>
            <w:r w:rsidRPr="005067B4">
              <w:rPr>
                <w:rFonts w:ascii="Verdana" w:hAnsi="Verdana" w:cs="Verdana" w:eastAsiaTheme="minorHAnsi"/>
                <w:color w:val="000000"/>
                <w:sz w:val="18"/>
                <w:szCs w:val="18"/>
                <w:lang w:val="nl-NL" w:eastAsia="en-US"/>
              </w:rPr>
              <w:t xml:space="preserve">Hoewel de risico’s voor de Staat financieel gezien beperkt zijn, blijft het terrorismerisico, gezien het huidige dreigingsniveau, het onvoorspelbare karakter en de potentieel grote schade, een actueel en moeilijk beheersbaar risico. </w:t>
            </w:r>
          </w:p>
          <w:p w:rsidRPr="005067B4" w:rsidR="005067B4" w:rsidP="005067B4" w:rsidRDefault="005067B4" w14:paraId="3A00DE76"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p>
          <w:p w:rsidR="00074400" w:rsidP="005067B4" w:rsidRDefault="005067B4" w14:paraId="4EB533A3" w14:textId="4E632C62">
            <w:pPr>
              <w:autoSpaceDE w:val="0"/>
              <w:autoSpaceDN w:val="0"/>
              <w:adjustRightInd w:val="0"/>
              <w:spacing w:line="360" w:lineRule="auto"/>
              <w:jc w:val="both"/>
              <w:rPr>
                <w:rFonts w:ascii="Verdana" w:hAnsi="Verdana" w:cs="Verdana" w:eastAsiaTheme="minorHAnsi"/>
                <w:color w:val="000000"/>
                <w:sz w:val="18"/>
                <w:szCs w:val="18"/>
                <w:lang w:val="nl-NL" w:eastAsia="en-US"/>
              </w:rPr>
            </w:pPr>
            <w:r w:rsidRPr="005067B4">
              <w:rPr>
                <w:rFonts w:ascii="Verdana" w:hAnsi="Verdana" w:cs="Verdana" w:eastAsiaTheme="minorHAnsi"/>
                <w:color w:val="000000"/>
                <w:sz w:val="18"/>
                <w:szCs w:val="18"/>
                <w:lang w:val="nl-NL" w:eastAsia="en-US"/>
              </w:rPr>
              <w:t>Hoewel veiligheidsdiensten tegenwoordig beter in staat zijn grootschalige aanslagen vroegtijdig te signaleren, biedt dit geen garantie op het voorkomen ervan. Bovendien blijft het risico bestaan van kleinere, minder voorspelbare aanvallen door zogenoemde ‘lone wolves’, die eveneens maatschappelijke ontwrichting kunnen veroorzaken.</w:t>
            </w:r>
          </w:p>
          <w:p w:rsidR="005067B4" w:rsidP="005067B4" w:rsidRDefault="005067B4" w14:paraId="22B40761"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p>
          <w:p w:rsidR="005067B4" w:rsidP="002D4724" w:rsidRDefault="00074400" w14:paraId="351F0479"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r>
              <w:rPr>
                <w:rFonts w:ascii="Verdana" w:hAnsi="Verdana" w:cs="Verdana" w:eastAsiaTheme="minorHAnsi"/>
                <w:color w:val="000000"/>
                <w:sz w:val="18"/>
                <w:szCs w:val="18"/>
                <w:lang w:val="nl-NL" w:eastAsia="en-US"/>
              </w:rPr>
              <w:t>D</w:t>
            </w:r>
            <w:r w:rsidRPr="00074400">
              <w:rPr>
                <w:rFonts w:ascii="Verdana" w:hAnsi="Verdana" w:cs="Verdana" w:eastAsiaTheme="minorHAnsi"/>
                <w:color w:val="000000"/>
                <w:sz w:val="18"/>
                <w:szCs w:val="18"/>
                <w:lang w:val="nl-NL" w:eastAsia="en-US"/>
              </w:rPr>
              <w:t xml:space="preserve">e maatschappelijke verwachting </w:t>
            </w:r>
            <w:r>
              <w:rPr>
                <w:rFonts w:ascii="Verdana" w:hAnsi="Verdana" w:cs="Verdana" w:eastAsiaTheme="minorHAnsi"/>
                <w:color w:val="000000"/>
                <w:sz w:val="18"/>
                <w:szCs w:val="18"/>
                <w:lang w:val="nl-NL" w:eastAsia="en-US"/>
              </w:rPr>
              <w:t xml:space="preserve">is </w:t>
            </w:r>
            <w:r w:rsidRPr="00074400">
              <w:rPr>
                <w:rFonts w:ascii="Verdana" w:hAnsi="Verdana" w:cs="Verdana" w:eastAsiaTheme="minorHAnsi"/>
                <w:color w:val="000000"/>
                <w:sz w:val="18"/>
                <w:szCs w:val="18"/>
                <w:lang w:val="nl-NL" w:eastAsia="en-US"/>
              </w:rPr>
              <w:t>dat de Staat, ook zonder het bestaan of deelname aan de NHT, uiteindelijk een tegemoetkoming biedt als benadeelden van een terroristische aanslag niet schadeloos worden gesteld. In die zin houdt de NHT de Staat in zekere zin juist voor €950 miljoen uit de wind door het risico te beperken en te delen met de (her)verzekeringsmarkt.</w:t>
            </w:r>
          </w:p>
          <w:p w:rsidR="005067B4" w:rsidP="002D4724" w:rsidRDefault="005067B4" w14:paraId="6DE6800F"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p>
          <w:p w:rsidR="008508FB" w:rsidP="002D4724" w:rsidRDefault="005067B4" w14:paraId="06CBF193" w14:textId="77777777">
            <w:pPr>
              <w:spacing w:line="360" w:lineRule="auto"/>
              <w:jc w:val="both"/>
              <w:rPr>
                <w:rFonts w:ascii="Verdana" w:hAnsi="Verdana" w:cs="Verdana" w:eastAsiaTheme="minorHAnsi"/>
                <w:color w:val="000000"/>
                <w:sz w:val="18"/>
                <w:szCs w:val="18"/>
                <w:lang w:val="nl-NL" w:eastAsia="en-US"/>
              </w:rPr>
            </w:pPr>
            <w:r w:rsidRPr="005067B4">
              <w:rPr>
                <w:rFonts w:ascii="Verdana" w:hAnsi="Verdana" w:cs="Verdana" w:eastAsiaTheme="minorHAnsi"/>
                <w:color w:val="000000"/>
                <w:sz w:val="18"/>
                <w:szCs w:val="18"/>
                <w:lang w:val="nl-NL" w:eastAsia="en-US"/>
              </w:rPr>
              <w:t>De overheidsgarantie creëert in theorie tevens een stimulans voor het antiterrorismebeleid van de Staat, aangezien dit beleid direct van invloed is op het risico dat de Staat loopt onder de garantie van €50 miljoen.</w:t>
            </w:r>
          </w:p>
          <w:p w:rsidR="00B41A52" w:rsidP="002D4724" w:rsidRDefault="00B41A52" w14:paraId="5D4E1811" w14:textId="77777777">
            <w:pPr>
              <w:spacing w:line="360" w:lineRule="auto"/>
              <w:jc w:val="both"/>
              <w:rPr>
                <w:rFonts w:ascii="Verdana" w:hAnsi="Verdana" w:cs="Verdana" w:eastAsiaTheme="minorHAnsi"/>
                <w:color w:val="000000"/>
                <w:sz w:val="18"/>
                <w:szCs w:val="18"/>
                <w:lang w:val="nl-NL" w:eastAsia="en-US"/>
              </w:rPr>
            </w:pPr>
          </w:p>
          <w:p w:rsidRPr="00CE1921" w:rsidR="00B41A52" w:rsidP="00B41A52" w:rsidRDefault="00B41A52" w14:paraId="0AE5FD87"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r w:rsidRPr="00CE1921">
              <w:rPr>
                <w:rFonts w:ascii="Verdana" w:hAnsi="Verdana" w:cs="Verdana" w:eastAsiaTheme="minorHAnsi"/>
                <w:color w:val="000000"/>
                <w:sz w:val="18"/>
                <w:szCs w:val="18"/>
                <w:lang w:val="nl-NL" w:eastAsia="en-US"/>
              </w:rPr>
              <w:lastRenderedPageBreak/>
              <w:t>De NHT heeft de rechtsvorm van een naamloze vennootschap (N.V.), waarvan de enige aandeelhouder een door het Verbond van Verzekeraars opgerichte stichting is. De dagelijkse bedrijfsvoering, inclusief het personeelsbeheer, is uitbesteed aan De Vereende</w:t>
            </w:r>
            <w:r>
              <w:rPr>
                <w:rFonts w:ascii="Verdana" w:hAnsi="Verdana" w:cs="Verdana" w:eastAsiaTheme="minorHAnsi"/>
                <w:color w:val="000000"/>
                <w:sz w:val="18"/>
                <w:szCs w:val="18"/>
                <w:lang w:val="nl-NL" w:eastAsia="en-US"/>
              </w:rPr>
              <w:t>,</w:t>
            </w:r>
            <w:r w:rsidRPr="00CE1921">
              <w:rPr>
                <w:rFonts w:ascii="Verdana" w:hAnsi="Verdana" w:cs="Verdana" w:eastAsiaTheme="minorHAnsi"/>
                <w:color w:val="000000"/>
                <w:sz w:val="18"/>
                <w:szCs w:val="18"/>
                <w:lang w:val="nl-NL" w:eastAsia="en-US"/>
              </w:rPr>
              <w:t xml:space="preserve"> een verzekeraar gespecialiseerd in moeilijk verzekerbare risico’s.</w:t>
            </w:r>
          </w:p>
          <w:p w:rsidRPr="00CE1921" w:rsidR="00B41A52" w:rsidP="00B41A52" w:rsidRDefault="00B41A52" w14:paraId="343BEB27"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p>
          <w:p w:rsidRPr="00CE1921" w:rsidR="00B41A52" w:rsidP="00B41A52" w:rsidRDefault="00B41A52" w14:paraId="79B8F91A"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r w:rsidRPr="00CE1921">
              <w:rPr>
                <w:rFonts w:ascii="Verdana" w:hAnsi="Verdana" w:cs="Verdana" w:eastAsiaTheme="minorHAnsi"/>
                <w:color w:val="000000"/>
                <w:sz w:val="18"/>
                <w:szCs w:val="18"/>
                <w:lang w:val="nl-NL" w:eastAsia="en-US"/>
              </w:rPr>
              <w:t xml:space="preserve">De rechten en verplichtingen van individuele verzekeraars, herverzekeraars en de Staat ten opzichte van de NHT zijn contractueel vastgelegd. In dit kader sluit het ministerie van Financiën jaarlijks </w:t>
            </w:r>
            <w:r>
              <w:rPr>
                <w:rFonts w:ascii="Verdana" w:hAnsi="Verdana" w:cs="Verdana" w:eastAsiaTheme="minorHAnsi"/>
                <w:color w:val="000000"/>
                <w:sz w:val="18"/>
                <w:szCs w:val="18"/>
                <w:lang w:val="nl-NL" w:eastAsia="en-US"/>
              </w:rPr>
              <w:t>(</w:t>
            </w:r>
            <w:r w:rsidRPr="00CE1921">
              <w:rPr>
                <w:rFonts w:ascii="Verdana" w:hAnsi="Verdana" w:cs="Verdana" w:eastAsiaTheme="minorHAnsi"/>
                <w:color w:val="000000"/>
                <w:sz w:val="18"/>
                <w:szCs w:val="18"/>
                <w:lang w:val="nl-NL" w:eastAsia="en-US"/>
              </w:rPr>
              <w:t>sinds 2023 tweejaarlijks</w:t>
            </w:r>
            <w:r>
              <w:rPr>
                <w:rFonts w:ascii="Verdana" w:hAnsi="Verdana" w:cs="Verdana" w:eastAsiaTheme="minorHAnsi"/>
                <w:color w:val="000000"/>
                <w:sz w:val="18"/>
                <w:szCs w:val="18"/>
                <w:lang w:val="nl-NL" w:eastAsia="en-US"/>
              </w:rPr>
              <w:t xml:space="preserve">) </w:t>
            </w:r>
            <w:r w:rsidRPr="00CE1921">
              <w:rPr>
                <w:rFonts w:ascii="Verdana" w:hAnsi="Verdana" w:cs="Verdana" w:eastAsiaTheme="minorHAnsi"/>
                <w:color w:val="000000"/>
                <w:sz w:val="18"/>
                <w:szCs w:val="18"/>
                <w:lang w:val="nl-NL" w:eastAsia="en-US"/>
              </w:rPr>
              <w:t>een herverzekeringsovereenkomst met de NHT, ook wel aangeduid als een ‘retrocession agreement’. Deze overeenkomst, opgesteld volgens het gebruik in de herverzekeringssector in het Engels, bevat onder meer de vastlegging van de hoogte van de door de NHT te betalen premie voor het desbetreffende kalenderjaar.</w:t>
            </w:r>
          </w:p>
          <w:p w:rsidRPr="00CE1921" w:rsidR="00B41A52" w:rsidP="00B41A52" w:rsidRDefault="00B41A52" w14:paraId="483954A7"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p>
          <w:p w:rsidR="00B41A52" w:rsidP="00B41A52" w:rsidRDefault="00B41A52" w14:paraId="5A716E65" w14:textId="77777777">
            <w:pPr>
              <w:autoSpaceDE w:val="0"/>
              <w:autoSpaceDN w:val="0"/>
              <w:adjustRightInd w:val="0"/>
              <w:spacing w:line="360" w:lineRule="auto"/>
              <w:jc w:val="both"/>
              <w:rPr>
                <w:rFonts w:ascii="Verdana" w:hAnsi="Verdana" w:cs="Verdana" w:eastAsiaTheme="minorHAnsi"/>
                <w:color w:val="000000"/>
                <w:sz w:val="18"/>
                <w:szCs w:val="18"/>
                <w:lang w:val="nl-NL" w:eastAsia="en-US"/>
              </w:rPr>
            </w:pPr>
            <w:r>
              <w:rPr>
                <w:rFonts w:ascii="Verdana" w:hAnsi="Verdana" w:cs="Verdana" w:eastAsiaTheme="minorHAnsi"/>
                <w:color w:val="000000"/>
                <w:sz w:val="18"/>
                <w:szCs w:val="18"/>
                <w:lang w:val="nl-NL" w:eastAsia="en-US"/>
              </w:rPr>
              <w:t>De minister van Financier blijft</w:t>
            </w:r>
            <w:r w:rsidRPr="00CE1921">
              <w:rPr>
                <w:rFonts w:ascii="Verdana" w:hAnsi="Verdana" w:cs="Verdana" w:eastAsiaTheme="minorHAnsi"/>
                <w:color w:val="000000"/>
                <w:sz w:val="18"/>
                <w:szCs w:val="18"/>
                <w:lang w:val="nl-NL" w:eastAsia="en-US"/>
              </w:rPr>
              <w:t xml:space="preserve"> de mogelijkheid </w:t>
            </w:r>
            <w:r>
              <w:rPr>
                <w:rFonts w:ascii="Verdana" w:hAnsi="Verdana" w:cs="Verdana" w:eastAsiaTheme="minorHAnsi"/>
                <w:color w:val="000000"/>
                <w:sz w:val="18"/>
                <w:szCs w:val="18"/>
                <w:lang w:val="nl-NL" w:eastAsia="en-US"/>
              </w:rPr>
              <w:t xml:space="preserve">behouden </w:t>
            </w:r>
            <w:r w:rsidRPr="00CE1921">
              <w:rPr>
                <w:rFonts w:ascii="Verdana" w:hAnsi="Verdana" w:cs="Verdana" w:eastAsiaTheme="minorHAnsi"/>
                <w:color w:val="000000"/>
                <w:sz w:val="18"/>
                <w:szCs w:val="18"/>
                <w:lang w:val="nl-NL" w:eastAsia="en-US"/>
              </w:rPr>
              <w:t>om deelname aan de NHT te beëindigen door de retrocession agreement niet te ondertekenen. Hiermee beschikt de minister over voldoende instrumenten om de risico’s beheersbaar te houden.</w:t>
            </w:r>
          </w:p>
          <w:p w:rsidR="00B41A52" w:rsidP="00B41A52" w:rsidRDefault="00B41A52" w14:paraId="4CA50FD4" w14:textId="77777777">
            <w:pPr>
              <w:autoSpaceDE w:val="0"/>
              <w:autoSpaceDN w:val="0"/>
              <w:adjustRightInd w:val="0"/>
              <w:spacing w:line="360" w:lineRule="auto"/>
              <w:jc w:val="both"/>
              <w:rPr>
                <w:rFonts w:ascii="Verdana" w:hAnsi="Verdana" w:cs="Verdana"/>
                <w:b/>
                <w:color w:val="000000"/>
                <w:sz w:val="18"/>
                <w:szCs w:val="18"/>
                <w:lang w:val="nl-NL"/>
              </w:rPr>
            </w:pPr>
          </w:p>
          <w:p w:rsidR="00B41A52" w:rsidP="00B41A52" w:rsidRDefault="00B41A52" w14:paraId="735D0A82" w14:textId="77777777">
            <w:pPr>
              <w:autoSpaceDE w:val="0"/>
              <w:autoSpaceDN w:val="0"/>
              <w:adjustRightInd w:val="0"/>
              <w:spacing w:line="360" w:lineRule="auto"/>
              <w:jc w:val="both"/>
              <w:rPr>
                <w:rFonts w:ascii="Verdana" w:hAnsi="Verdana"/>
                <w:bCs/>
                <w:sz w:val="18"/>
                <w:szCs w:val="18"/>
                <w:lang w:val="nl-NL"/>
              </w:rPr>
            </w:pPr>
            <w:r w:rsidRPr="00691F49">
              <w:rPr>
                <w:rFonts w:ascii="Verdana" w:hAnsi="Verdana"/>
                <w:bCs/>
                <w:sz w:val="18"/>
                <w:szCs w:val="18"/>
                <w:lang w:val="nl-NL"/>
              </w:rPr>
              <w:t xml:space="preserve">Hoewel de schade extreem groot moet zijn voordat de totale capaciteit van de NHT wordt overschreden, is dit risico niet volledig uit te sluiten. Dat komt ook doordat sommige levens- en schadeverzekeringen, die vóór de oprichting van de NHT zijn afgesloten, het terrorismerisico nog steeds onvoorwaardelijk en volledig dekken en tussentijds niet kunnen worden aangepast. </w:t>
            </w:r>
          </w:p>
          <w:p w:rsidRPr="00691F49" w:rsidR="000440A8" w:rsidP="00B41A52" w:rsidRDefault="000440A8" w14:paraId="36F13B91" w14:textId="77777777">
            <w:pPr>
              <w:autoSpaceDE w:val="0"/>
              <w:autoSpaceDN w:val="0"/>
              <w:adjustRightInd w:val="0"/>
              <w:spacing w:line="360" w:lineRule="auto"/>
              <w:jc w:val="both"/>
              <w:rPr>
                <w:rFonts w:ascii="Verdana" w:hAnsi="Verdana"/>
                <w:bCs/>
                <w:sz w:val="18"/>
                <w:szCs w:val="18"/>
                <w:lang w:val="nl-NL"/>
              </w:rPr>
            </w:pPr>
          </w:p>
          <w:p w:rsidR="00B41A52" w:rsidP="00B41A52" w:rsidRDefault="00B41A52" w14:paraId="5A24B605" w14:textId="7F0CAC10">
            <w:pPr>
              <w:spacing w:line="360" w:lineRule="auto"/>
              <w:jc w:val="both"/>
              <w:rPr>
                <w:rFonts w:ascii="Verdana" w:hAnsi="Verdana"/>
                <w:sz w:val="18"/>
                <w:szCs w:val="18"/>
              </w:rPr>
            </w:pPr>
            <w:r w:rsidRPr="00691F49">
              <w:rPr>
                <w:rFonts w:ascii="Verdana" w:hAnsi="Verdana"/>
                <w:bCs/>
                <w:sz w:val="18"/>
                <w:szCs w:val="18"/>
                <w:lang w:val="nl-NL"/>
              </w:rPr>
              <w:t>Als de schade door een terroristische aanslag groter is dan wat de NHT kan vergoeden, kan dat het Nederlandse verzekeringsstelsel onder druk zetten. Dit vormt een risico voor de stabiliteit van de financiële sector.</w:t>
            </w:r>
            <w:r w:rsidRPr="00691F49">
              <w:rPr>
                <w:rFonts w:ascii="Verdana" w:hAnsi="Verdana"/>
                <w:bCs/>
                <w:sz w:val="18"/>
                <w:szCs w:val="18"/>
                <w:vertAlign w:val="superscript"/>
                <w:lang w:val="nl-NL"/>
              </w:rPr>
              <w:footnoteReference w:id="2"/>
            </w:r>
            <w:r w:rsidRPr="00691F49">
              <w:rPr>
                <w:rFonts w:ascii="Verdana" w:hAnsi="Verdana"/>
                <w:bCs/>
                <w:sz w:val="18"/>
                <w:szCs w:val="18"/>
                <w:lang w:val="nl-NL"/>
              </w:rPr>
              <w:t xml:space="preserve"> Om dat te voorkomen is in 2003 ten tijde van de oprichting van de NHT een wetswijziging doorgevoerd in de Noodwet financieel verkeer.</w:t>
            </w:r>
            <w:r w:rsidRPr="00691F49">
              <w:rPr>
                <w:rFonts w:ascii="Verdana" w:hAnsi="Verdana"/>
                <w:bCs/>
                <w:sz w:val="18"/>
                <w:szCs w:val="18"/>
                <w:vertAlign w:val="superscript"/>
                <w:lang w:val="nl-NL"/>
              </w:rPr>
              <w:footnoteReference w:id="3"/>
            </w:r>
            <w:r w:rsidRPr="00691F49">
              <w:rPr>
                <w:rFonts w:ascii="Verdana" w:hAnsi="Verdana"/>
                <w:bCs/>
                <w:sz w:val="18"/>
                <w:szCs w:val="18"/>
                <w:lang w:val="nl-NL"/>
              </w:rPr>
              <w:t xml:space="preserve"> Artikel 18b van de Noodwet financieel verkeer geeft de </w:t>
            </w:r>
            <w:r w:rsidR="000440A8">
              <w:rPr>
                <w:rFonts w:ascii="Verdana" w:hAnsi="Verdana"/>
                <w:bCs/>
                <w:sz w:val="18"/>
                <w:szCs w:val="18"/>
                <w:lang w:val="nl-NL"/>
              </w:rPr>
              <w:t>m</w:t>
            </w:r>
            <w:r w:rsidRPr="00691F49">
              <w:rPr>
                <w:rFonts w:ascii="Verdana" w:hAnsi="Verdana"/>
                <w:bCs/>
                <w:sz w:val="18"/>
                <w:szCs w:val="18"/>
                <w:lang w:val="nl-NL"/>
              </w:rPr>
              <w:t>inister van Financiën de bevoegdheid om, in het geval van een zeer grote terroristische aanslag, schade uitkeringen te verlagen</w:t>
            </w:r>
          </w:p>
          <w:p w:rsidRPr="00283292" w:rsidR="00B41A52" w:rsidP="002D4724" w:rsidRDefault="00B41A52" w14:paraId="705A68CE" w14:textId="206CBE16">
            <w:pPr>
              <w:spacing w:line="360" w:lineRule="auto"/>
              <w:jc w:val="both"/>
              <w:rPr>
                <w:rFonts w:ascii="Verdana" w:hAnsi="Verdana"/>
                <w:sz w:val="18"/>
                <w:szCs w:val="18"/>
              </w:rPr>
            </w:pPr>
          </w:p>
        </w:tc>
      </w:tr>
    </w:tbl>
    <w:p w:rsidR="00112A8A" w:rsidP="002D4724" w:rsidRDefault="00112A8A" w14:paraId="0B4377BA" w14:textId="77777777">
      <w:pPr>
        <w:pStyle w:val="Default"/>
        <w:spacing w:after="13" w:line="360" w:lineRule="auto"/>
        <w:jc w:val="both"/>
        <w:rPr>
          <w:rFonts w:cs="Arial" w:asciiTheme="majorHAnsi" w:hAnsiTheme="majorHAnsi"/>
          <w:sz w:val="18"/>
          <w:szCs w:val="18"/>
        </w:rPr>
      </w:pPr>
    </w:p>
    <w:tbl>
      <w:tblPr>
        <w:tblStyle w:val="Tabelraster"/>
        <w:tblW w:w="0" w:type="auto"/>
        <w:tblLook w:val="04A0" w:firstRow="1" w:lastRow="0" w:firstColumn="1" w:lastColumn="0" w:noHBand="0" w:noVBand="1"/>
      </w:tblPr>
      <w:tblGrid>
        <w:gridCol w:w="9062"/>
      </w:tblGrid>
      <w:tr w:rsidR="00026779" w:rsidTr="00026779" w14:paraId="702EFFFC" w14:textId="77777777">
        <w:tc>
          <w:tcPr>
            <w:tcW w:w="9212" w:type="dxa"/>
          </w:tcPr>
          <w:p w:rsidRPr="00026779" w:rsidR="00026779" w:rsidP="002D4724" w:rsidRDefault="003E2009" w14:paraId="3654D9A9" w14:textId="5DBF56B7">
            <w:pPr>
              <w:pStyle w:val="Default"/>
              <w:numPr>
                <w:ilvl w:val="0"/>
                <w:numId w:val="1"/>
              </w:numPr>
              <w:spacing w:line="360" w:lineRule="auto"/>
              <w:jc w:val="both"/>
              <w:rPr>
                <w:rFonts w:cs="Arial" w:asciiTheme="majorHAnsi" w:hAnsiTheme="majorHAnsi"/>
                <w:i/>
                <w:sz w:val="18"/>
                <w:szCs w:val="18"/>
              </w:rPr>
            </w:pPr>
            <w:r w:rsidRPr="003E2009">
              <w:rPr>
                <w:rFonts w:cs="Arial" w:asciiTheme="majorHAnsi" w:hAnsiTheme="majorHAnsi"/>
                <w:i/>
                <w:sz w:val="18"/>
                <w:szCs w:val="18"/>
              </w:rPr>
              <w:t>Bij complexe risico's</w:t>
            </w:r>
            <w:r w:rsidR="00B41A52">
              <w:rPr>
                <w:rFonts w:cs="Arial" w:asciiTheme="majorHAnsi" w:hAnsiTheme="majorHAnsi"/>
                <w:i/>
                <w:sz w:val="18"/>
                <w:szCs w:val="18"/>
              </w:rPr>
              <w:t>;</w:t>
            </w:r>
            <w:r w:rsidRPr="003E2009">
              <w:rPr>
                <w:rFonts w:cs="Arial" w:asciiTheme="majorHAnsi" w:hAnsiTheme="majorHAnsi"/>
                <w:i/>
                <w:sz w:val="18"/>
                <w:szCs w:val="18"/>
              </w:rPr>
              <w:t xml:space="preserve"> hoe beoordeelt een onafhankelijke expert het risico van het voorstel en de risicobeheersende en risicomitigerende maatregelen van Rijk?</w:t>
            </w:r>
          </w:p>
        </w:tc>
      </w:tr>
      <w:tr w:rsidR="00026779" w:rsidTr="00026779" w14:paraId="5EF87B78" w14:textId="77777777">
        <w:tc>
          <w:tcPr>
            <w:tcW w:w="9212" w:type="dxa"/>
          </w:tcPr>
          <w:p w:rsidRPr="00691F49" w:rsidR="00691F49" w:rsidP="00CE1921" w:rsidRDefault="00B41A52" w14:paraId="03513F5D" w14:textId="4E496E2E">
            <w:pPr>
              <w:autoSpaceDE w:val="0"/>
              <w:autoSpaceDN w:val="0"/>
              <w:adjustRightInd w:val="0"/>
              <w:spacing w:line="360" w:lineRule="auto"/>
              <w:jc w:val="both"/>
              <w:rPr>
                <w:rFonts w:ascii="Verdana" w:hAnsi="Verdana"/>
                <w:bCs/>
                <w:sz w:val="18"/>
                <w:szCs w:val="18"/>
                <w:lang w:val="nl-NL"/>
              </w:rPr>
            </w:pPr>
            <w:r>
              <w:rPr>
                <w:rFonts w:ascii="Verdana" w:hAnsi="Verdana" w:cs="Verdana" w:eastAsiaTheme="minorHAnsi"/>
                <w:color w:val="000000"/>
                <w:sz w:val="18"/>
                <w:szCs w:val="18"/>
                <w:lang w:eastAsia="en-US"/>
              </w:rPr>
              <w:t>N.v.t.</w:t>
            </w:r>
          </w:p>
        </w:tc>
      </w:tr>
    </w:tbl>
    <w:p w:rsidRPr="0009328E" w:rsidR="00224B49" w:rsidP="002D4724" w:rsidRDefault="00224B49" w14:paraId="7DA59CA2" w14:textId="77777777">
      <w:pPr>
        <w:pStyle w:val="Default"/>
        <w:spacing w:line="360" w:lineRule="auto"/>
        <w:jc w:val="both"/>
        <w:rPr>
          <w:rFonts w:cs="Arial" w:asciiTheme="majorHAnsi" w:hAnsiTheme="majorHAnsi"/>
          <w:b/>
          <w:sz w:val="18"/>
          <w:szCs w:val="18"/>
        </w:rPr>
      </w:pPr>
    </w:p>
    <w:p w:rsidRPr="0009328E" w:rsidR="002D6B1E" w:rsidP="002D4724" w:rsidRDefault="00163345" w14:paraId="5576F53A" w14:textId="77777777">
      <w:pPr>
        <w:pStyle w:val="Default"/>
        <w:spacing w:line="360" w:lineRule="auto"/>
        <w:jc w:val="both"/>
        <w:rPr>
          <w:rFonts w:cs="Arial" w:asciiTheme="majorHAnsi" w:hAnsiTheme="majorHAnsi"/>
          <w:b/>
          <w:sz w:val="18"/>
          <w:szCs w:val="18"/>
        </w:rPr>
      </w:pPr>
      <w:r w:rsidRPr="00163345">
        <w:rPr>
          <w:rFonts w:cs="Arial" w:asciiTheme="majorHAnsi" w:hAnsiTheme="majorHAnsi"/>
          <w:b/>
          <w:sz w:val="18"/>
          <w:szCs w:val="18"/>
        </w:rPr>
        <w:t xml:space="preserve">Vormgeving: </w:t>
      </w:r>
    </w:p>
    <w:p w:rsidRPr="0009328E" w:rsidR="002D6B1E" w:rsidP="002D4724" w:rsidRDefault="002D6B1E" w14:paraId="4FAA8E02" w14:textId="77777777">
      <w:pPr>
        <w:pStyle w:val="Default"/>
        <w:spacing w:after="13" w:line="360" w:lineRule="auto"/>
        <w:jc w:val="both"/>
        <w:rPr>
          <w:rFonts w:cs="Arial" w:asciiTheme="majorHAnsi" w:hAnsiTheme="majorHAnsi"/>
          <w:i/>
          <w:sz w:val="18"/>
          <w:szCs w:val="18"/>
        </w:rPr>
      </w:pPr>
    </w:p>
    <w:tbl>
      <w:tblPr>
        <w:tblStyle w:val="Tabelraster"/>
        <w:tblW w:w="0" w:type="auto"/>
        <w:tblLook w:val="04A0" w:firstRow="1" w:lastRow="0" w:firstColumn="1" w:lastColumn="0" w:noHBand="0" w:noVBand="1"/>
      </w:tblPr>
      <w:tblGrid>
        <w:gridCol w:w="9062"/>
      </w:tblGrid>
      <w:tr w:rsidR="00026779" w:rsidTr="00026779" w14:paraId="4B9200C1" w14:textId="77777777">
        <w:tc>
          <w:tcPr>
            <w:tcW w:w="9212" w:type="dxa"/>
          </w:tcPr>
          <w:p w:rsidRPr="00026779" w:rsidR="00026779" w:rsidP="002D4724" w:rsidRDefault="003E2009" w14:paraId="5D16B7B2" w14:textId="3904DB31">
            <w:pPr>
              <w:pStyle w:val="Default"/>
              <w:numPr>
                <w:ilvl w:val="0"/>
                <w:numId w:val="1"/>
              </w:numPr>
              <w:spacing w:after="13" w:line="360" w:lineRule="auto"/>
              <w:jc w:val="both"/>
              <w:rPr>
                <w:rFonts w:cs="Arial" w:asciiTheme="majorHAnsi" w:hAnsiTheme="majorHAnsi"/>
                <w:i/>
                <w:sz w:val="18"/>
                <w:szCs w:val="18"/>
              </w:rPr>
            </w:pPr>
            <w:r w:rsidRPr="003E2009">
              <w:rPr>
                <w:rFonts w:cs="Arial" w:asciiTheme="majorHAnsi" w:hAnsiTheme="majorHAnsi"/>
                <w:i/>
                <w:sz w:val="18"/>
                <w:szCs w:val="18"/>
              </w:rPr>
              <w:t>Welke premie wordt voorgesteld en hoeveel wordt doorberekend aan de eindgebruiker</w:t>
            </w:r>
            <w:r w:rsidR="00C628C4">
              <w:rPr>
                <w:rFonts w:cs="Arial" w:asciiTheme="majorHAnsi" w:hAnsiTheme="majorHAnsi"/>
                <w:i/>
                <w:sz w:val="18"/>
                <w:szCs w:val="18"/>
              </w:rPr>
              <w:t>?</w:t>
            </w:r>
            <w:r w:rsidRPr="003E2009">
              <w:rPr>
                <w:rFonts w:cs="Arial" w:asciiTheme="majorHAnsi" w:hAnsiTheme="majorHAnsi"/>
                <w:i/>
                <w:sz w:val="18"/>
                <w:szCs w:val="18"/>
              </w:rPr>
              <w:t xml:space="preserve"> Is deze premie kostendekkend en marktconform</w:t>
            </w:r>
            <w:r w:rsidR="00C628C4">
              <w:rPr>
                <w:rFonts w:cs="Arial" w:asciiTheme="majorHAnsi" w:hAnsiTheme="majorHAnsi"/>
                <w:i/>
                <w:sz w:val="18"/>
                <w:szCs w:val="18"/>
              </w:rPr>
              <w:t>?</w:t>
            </w:r>
            <w:r w:rsidRPr="003E2009">
              <w:rPr>
                <w:rFonts w:cs="Arial" w:asciiTheme="majorHAnsi" w:hAnsiTheme="majorHAnsi"/>
                <w:i/>
                <w:sz w:val="18"/>
                <w:szCs w:val="18"/>
              </w:rPr>
              <w:t xml:space="preserve"> Zo nee, hoeveel budgettaire ruimte wordt het door het vakdepartement specifiek ingezet?</w:t>
            </w:r>
            <w:r>
              <w:rPr>
                <w:rFonts w:cs="Arial" w:asciiTheme="majorHAnsi" w:hAnsiTheme="majorHAnsi"/>
                <w:i/>
                <w:sz w:val="18"/>
                <w:szCs w:val="18"/>
              </w:rPr>
              <w:t xml:space="preserve"> </w:t>
            </w:r>
          </w:p>
        </w:tc>
      </w:tr>
      <w:tr w:rsidR="00026779" w:rsidTr="00026779" w14:paraId="4C12D540" w14:textId="77777777">
        <w:tc>
          <w:tcPr>
            <w:tcW w:w="9212" w:type="dxa"/>
          </w:tcPr>
          <w:p w:rsidR="00026779" w:rsidP="002D4724" w:rsidRDefault="00CE1921" w14:paraId="313EF746" w14:textId="0F2230B7">
            <w:pPr>
              <w:spacing w:line="360" w:lineRule="auto"/>
              <w:jc w:val="both"/>
              <w:rPr>
                <w:rFonts w:asciiTheme="majorHAnsi" w:hAnsiTheme="majorHAnsi"/>
                <w:sz w:val="18"/>
                <w:szCs w:val="18"/>
              </w:rPr>
            </w:pPr>
            <w:r w:rsidRPr="00CE1921">
              <w:rPr>
                <w:rFonts w:asciiTheme="majorHAnsi" w:hAnsiTheme="majorHAnsi"/>
                <w:sz w:val="18"/>
                <w:szCs w:val="18"/>
              </w:rPr>
              <w:t xml:space="preserve">De Staat ontvangt voor haar risicodeel een marktconforme premie, gelijk aan die van internationale herverzekeraars. </w:t>
            </w:r>
            <w:r w:rsidR="00A0556E">
              <w:rPr>
                <w:rFonts w:asciiTheme="majorHAnsi" w:hAnsiTheme="majorHAnsi"/>
                <w:sz w:val="18"/>
                <w:szCs w:val="18"/>
              </w:rPr>
              <w:t xml:space="preserve">De hoogte van de premie wordt bepaald in de </w:t>
            </w:r>
            <w:r w:rsidR="00A0556E">
              <w:rPr>
                <w:rFonts w:asciiTheme="majorHAnsi" w:hAnsiTheme="majorHAnsi"/>
                <w:sz w:val="18"/>
                <w:szCs w:val="18"/>
              </w:rPr>
              <w:lastRenderedPageBreak/>
              <w:t xml:space="preserve">herverzekeringsovereenkomst met de NHT. </w:t>
            </w:r>
            <w:r w:rsidRPr="00CE1921">
              <w:rPr>
                <w:rFonts w:asciiTheme="majorHAnsi" w:hAnsiTheme="majorHAnsi"/>
                <w:sz w:val="18"/>
                <w:szCs w:val="18"/>
              </w:rPr>
              <w:t xml:space="preserve">Anders dan </w:t>
            </w:r>
            <w:r w:rsidR="00A0556E">
              <w:rPr>
                <w:rFonts w:asciiTheme="majorHAnsi" w:hAnsiTheme="majorHAnsi"/>
                <w:sz w:val="18"/>
                <w:szCs w:val="18"/>
              </w:rPr>
              <w:t>de andere</w:t>
            </w:r>
            <w:r w:rsidRPr="00CE1921">
              <w:rPr>
                <w:rFonts w:asciiTheme="majorHAnsi" w:hAnsiTheme="majorHAnsi"/>
                <w:sz w:val="18"/>
                <w:szCs w:val="18"/>
              </w:rPr>
              <w:t xml:space="preserve"> herverzekeraars hoeft de Staat echter geen 10% retourcommissie te betalen. Hierdoor valt de effectieve premie voor de Staat iets hoger uit, terwijl zij uitsluitend het meest senior risicodeel draagt en dus relatief minder risico loopt.</w:t>
            </w:r>
          </w:p>
          <w:p w:rsidR="00A0556E" w:rsidP="002D4724" w:rsidRDefault="00A0556E" w14:paraId="5871FC4F" w14:textId="77777777">
            <w:pPr>
              <w:spacing w:line="360" w:lineRule="auto"/>
              <w:jc w:val="both"/>
              <w:rPr>
                <w:rFonts w:asciiTheme="majorHAnsi" w:hAnsiTheme="majorHAnsi"/>
                <w:sz w:val="18"/>
                <w:szCs w:val="18"/>
              </w:rPr>
            </w:pPr>
          </w:p>
          <w:p w:rsidRPr="00CE1921" w:rsidR="00A0556E" w:rsidP="002D4724" w:rsidRDefault="00A0556E" w14:paraId="3B33C4D4" w14:textId="2DB382D8">
            <w:pPr>
              <w:spacing w:line="360" w:lineRule="auto"/>
              <w:jc w:val="both"/>
              <w:rPr>
                <w:rFonts w:asciiTheme="majorHAnsi" w:hAnsiTheme="majorHAnsi"/>
                <w:sz w:val="18"/>
                <w:szCs w:val="18"/>
              </w:rPr>
            </w:pPr>
            <w:r w:rsidRPr="00CE1921">
              <w:rPr>
                <w:rFonts w:asciiTheme="majorHAnsi" w:hAnsiTheme="majorHAnsi"/>
                <w:sz w:val="18"/>
                <w:szCs w:val="18"/>
              </w:rPr>
              <w:t xml:space="preserve">De premie </w:t>
            </w:r>
            <w:r>
              <w:rPr>
                <w:rFonts w:asciiTheme="majorHAnsi" w:hAnsiTheme="majorHAnsi"/>
                <w:sz w:val="18"/>
                <w:szCs w:val="18"/>
              </w:rPr>
              <w:t>die de verzekeraars betalen aan</w:t>
            </w:r>
            <w:r w:rsidRPr="00CE1921">
              <w:rPr>
                <w:rFonts w:asciiTheme="majorHAnsi" w:hAnsiTheme="majorHAnsi"/>
                <w:sz w:val="18"/>
                <w:szCs w:val="18"/>
              </w:rPr>
              <w:t xml:space="preserve"> de NHT wordt uiteindelijk opgebracht door individuele verzekeringsnemers van</w:t>
            </w:r>
            <w:r>
              <w:rPr>
                <w:rFonts w:asciiTheme="majorHAnsi" w:hAnsiTheme="majorHAnsi"/>
                <w:sz w:val="18"/>
                <w:szCs w:val="18"/>
              </w:rPr>
              <w:t xml:space="preserve"> de verzekeringen</w:t>
            </w:r>
            <w:r w:rsidRPr="00CE1921">
              <w:rPr>
                <w:rFonts w:asciiTheme="majorHAnsi" w:hAnsiTheme="majorHAnsi"/>
                <w:sz w:val="18"/>
                <w:szCs w:val="18"/>
              </w:rPr>
              <w:t>. Het NHT-deel van de premie is verwerkt in de totale premie die zij betalen voor hun verzekering met terrorisme-dekking. De bijdrage die een verzekeraar moet leveren aan de totale premieafdracht aan herverzekeraars en de Staat, wordt bepaald op basis van diens aandeel in de gezamenlijke bruto premie-inkomsten van alle bij de NHT aangesloten verzekeraars</w:t>
            </w:r>
            <w:r>
              <w:rPr>
                <w:rFonts w:asciiTheme="majorHAnsi" w:hAnsiTheme="majorHAnsi"/>
                <w:sz w:val="18"/>
                <w:szCs w:val="18"/>
              </w:rPr>
              <w:t>.</w:t>
            </w:r>
          </w:p>
        </w:tc>
      </w:tr>
    </w:tbl>
    <w:p w:rsidR="002D6B1E" w:rsidP="002D4724" w:rsidRDefault="002D6B1E" w14:paraId="577A0653" w14:textId="77777777">
      <w:pPr>
        <w:spacing w:line="360" w:lineRule="auto"/>
        <w:jc w:val="both"/>
        <w:rPr>
          <w:rFonts w:asciiTheme="majorHAnsi" w:hAnsiTheme="majorHAnsi"/>
          <w:i/>
          <w:sz w:val="18"/>
        </w:rPr>
      </w:pPr>
    </w:p>
    <w:tbl>
      <w:tblPr>
        <w:tblStyle w:val="Tabelraster"/>
        <w:tblW w:w="0" w:type="auto"/>
        <w:tblLook w:val="04A0" w:firstRow="1" w:lastRow="0" w:firstColumn="1" w:lastColumn="0" w:noHBand="0" w:noVBand="1"/>
      </w:tblPr>
      <w:tblGrid>
        <w:gridCol w:w="9062"/>
      </w:tblGrid>
      <w:tr w:rsidR="00026779" w:rsidTr="00026779" w14:paraId="73837C4C" w14:textId="77777777">
        <w:tc>
          <w:tcPr>
            <w:tcW w:w="9212" w:type="dxa"/>
          </w:tcPr>
          <w:p w:rsidRPr="00AC090F" w:rsidR="00026779" w:rsidP="002D4724" w:rsidRDefault="003E2009" w14:paraId="7F51785D" w14:textId="5D137B1B">
            <w:pPr>
              <w:pStyle w:val="Default"/>
              <w:numPr>
                <w:ilvl w:val="0"/>
                <w:numId w:val="1"/>
              </w:numPr>
              <w:spacing w:after="13" w:line="360" w:lineRule="auto"/>
              <w:jc w:val="both"/>
              <w:rPr>
                <w:rFonts w:cs="Arial" w:asciiTheme="majorHAnsi" w:hAnsiTheme="majorHAnsi"/>
                <w:i/>
                <w:sz w:val="18"/>
                <w:szCs w:val="18"/>
              </w:rPr>
            </w:pPr>
            <w:r w:rsidRPr="00AC090F">
              <w:rPr>
                <w:rFonts w:cs="Arial" w:asciiTheme="majorHAnsi" w:hAnsiTheme="majorHAnsi"/>
                <w:i/>
                <w:sz w:val="18"/>
                <w:szCs w:val="18"/>
              </w:rPr>
              <w:t xml:space="preserve">Hoe wordt de risicovoorziening vormgegeven? </w:t>
            </w:r>
          </w:p>
        </w:tc>
      </w:tr>
      <w:tr w:rsidR="00026779" w:rsidTr="00026779" w14:paraId="507755CF" w14:textId="77777777">
        <w:tc>
          <w:tcPr>
            <w:tcW w:w="9212" w:type="dxa"/>
          </w:tcPr>
          <w:p w:rsidRPr="00020CE1" w:rsidR="009A0A56" w:rsidP="002D4724" w:rsidRDefault="00021161" w14:paraId="66010706" w14:textId="40CE40DF">
            <w:pPr>
              <w:autoSpaceDE w:val="0"/>
              <w:autoSpaceDN w:val="0"/>
              <w:adjustRightInd w:val="0"/>
              <w:spacing w:line="360" w:lineRule="auto"/>
              <w:jc w:val="both"/>
              <w:rPr>
                <w:rFonts w:ascii="Verdana" w:hAnsi="Verdana" w:cs="Verdana" w:eastAsiaTheme="minorHAnsi"/>
                <w:color w:val="000000"/>
                <w:sz w:val="18"/>
                <w:szCs w:val="18"/>
                <w:lang w:val="nl-NL" w:eastAsia="en-US"/>
              </w:rPr>
            </w:pPr>
            <w:r>
              <w:rPr>
                <w:rFonts w:ascii="Verdana" w:hAnsi="Verdana" w:cs="Verdana" w:eastAsiaTheme="minorHAnsi"/>
                <w:color w:val="000000"/>
                <w:sz w:val="18"/>
                <w:szCs w:val="18"/>
                <w:lang w:val="nl-NL" w:eastAsia="en-US"/>
              </w:rPr>
              <w:t>Het Rijk heft een jaarlijkse premie over het afgegeven garantiebedrag. De ontvangen middelen worden in een risicovoorziening</w:t>
            </w:r>
            <w:r w:rsidR="00A0556E">
              <w:rPr>
                <w:rFonts w:ascii="Verdana" w:hAnsi="Verdana" w:cs="Verdana" w:eastAsiaTheme="minorHAnsi"/>
                <w:color w:val="000000"/>
                <w:sz w:val="18"/>
                <w:szCs w:val="18"/>
                <w:lang w:val="nl-NL" w:eastAsia="en-US"/>
              </w:rPr>
              <w:t>, in de vorm van een begrotingsreserve,</w:t>
            </w:r>
            <w:r>
              <w:rPr>
                <w:rFonts w:ascii="Verdana" w:hAnsi="Verdana" w:cs="Verdana" w:eastAsiaTheme="minorHAnsi"/>
                <w:color w:val="000000"/>
                <w:sz w:val="18"/>
                <w:szCs w:val="18"/>
                <w:lang w:val="nl-NL" w:eastAsia="en-US"/>
              </w:rPr>
              <w:t xml:space="preserve"> gestort. </w:t>
            </w:r>
            <w:r w:rsidR="00EF2D56">
              <w:rPr>
                <w:rFonts w:ascii="Verdana" w:hAnsi="Verdana" w:cs="Verdana" w:eastAsiaTheme="minorHAnsi"/>
                <w:color w:val="000000"/>
                <w:sz w:val="18"/>
                <w:szCs w:val="18"/>
                <w:lang w:val="nl-NL" w:eastAsia="en-US"/>
              </w:rPr>
              <w:t>Schadebetalingen die voortkomen uit de NHT worden uit de risicovoorziening onttrokken zolang deze toereikend is.</w:t>
            </w:r>
          </w:p>
        </w:tc>
      </w:tr>
    </w:tbl>
    <w:p w:rsidR="00026779" w:rsidP="002D4724" w:rsidRDefault="00026779" w14:paraId="0D23BDDE" w14:textId="77777777">
      <w:pPr>
        <w:spacing w:line="360" w:lineRule="auto"/>
        <w:jc w:val="both"/>
        <w:rPr>
          <w:rFonts w:asciiTheme="majorHAnsi" w:hAnsiTheme="majorHAnsi"/>
          <w:sz w:val="18"/>
        </w:rPr>
      </w:pPr>
    </w:p>
    <w:tbl>
      <w:tblPr>
        <w:tblStyle w:val="Tabelraster"/>
        <w:tblW w:w="0" w:type="auto"/>
        <w:tblLook w:val="04A0" w:firstRow="1" w:lastRow="0" w:firstColumn="1" w:lastColumn="0" w:noHBand="0" w:noVBand="1"/>
      </w:tblPr>
      <w:tblGrid>
        <w:gridCol w:w="9062"/>
      </w:tblGrid>
      <w:tr w:rsidR="0053231D" w:rsidTr="0053231D" w14:paraId="0729B7E6" w14:textId="77777777">
        <w:tc>
          <w:tcPr>
            <w:tcW w:w="9212" w:type="dxa"/>
          </w:tcPr>
          <w:p w:rsidRPr="0053231D" w:rsidR="0053231D" w:rsidP="002D4724" w:rsidRDefault="003E2009" w14:paraId="2F37B50E" w14:textId="7BB81B68">
            <w:pPr>
              <w:pStyle w:val="Default"/>
              <w:numPr>
                <w:ilvl w:val="0"/>
                <w:numId w:val="1"/>
              </w:numPr>
              <w:spacing w:after="13" w:line="360" w:lineRule="auto"/>
              <w:jc w:val="both"/>
              <w:rPr>
                <w:rFonts w:cs="Arial" w:asciiTheme="majorHAnsi" w:hAnsiTheme="majorHAnsi"/>
                <w:i/>
                <w:sz w:val="18"/>
                <w:szCs w:val="18"/>
              </w:rPr>
            </w:pPr>
            <w:r w:rsidRPr="003E2009">
              <w:rPr>
                <w:rFonts w:cs="Arial" w:asciiTheme="majorHAnsi" w:hAnsiTheme="majorHAnsi"/>
                <w:i/>
                <w:sz w:val="18"/>
                <w:szCs w:val="18"/>
              </w:rPr>
              <w:t>Welke horizonbepaling wordt gehanteerd (standaardtermijn is maximaal 5 jaar)?</w:t>
            </w:r>
          </w:p>
        </w:tc>
      </w:tr>
      <w:tr w:rsidR="0053231D" w:rsidTr="006B1EE7" w14:paraId="72CFB729" w14:textId="77777777">
        <w:trPr>
          <w:trHeight w:val="506"/>
        </w:trPr>
        <w:tc>
          <w:tcPr>
            <w:tcW w:w="9212" w:type="dxa"/>
          </w:tcPr>
          <w:p w:rsidRPr="00020CE1" w:rsidR="006959B1" w:rsidP="002D4724" w:rsidRDefault="006959B1" w14:paraId="6680B5EA" w14:textId="2B0C8D49">
            <w:pPr>
              <w:spacing w:line="360" w:lineRule="auto"/>
              <w:jc w:val="both"/>
              <w:rPr>
                <w:rFonts w:asciiTheme="majorHAnsi" w:hAnsiTheme="majorHAnsi"/>
                <w:sz w:val="18"/>
              </w:rPr>
            </w:pPr>
            <w:r w:rsidRPr="006959B1">
              <w:rPr>
                <w:rFonts w:asciiTheme="majorHAnsi" w:hAnsiTheme="majorHAnsi"/>
                <w:sz w:val="18"/>
              </w:rPr>
              <w:t>De huidige herverzekeringsovereenkomst met de NHT loopt af op 1 januari 2026</w:t>
            </w:r>
            <w:r>
              <w:rPr>
                <w:rFonts w:asciiTheme="majorHAnsi" w:hAnsiTheme="majorHAnsi"/>
                <w:sz w:val="18"/>
              </w:rPr>
              <w:t xml:space="preserve">. </w:t>
            </w:r>
            <w:r w:rsidR="00C628C4">
              <w:rPr>
                <w:rFonts w:asciiTheme="majorHAnsi" w:hAnsiTheme="majorHAnsi"/>
                <w:sz w:val="18"/>
              </w:rPr>
              <w:t>Bij voortzetting van de garantie</w:t>
            </w:r>
            <w:r>
              <w:rPr>
                <w:rFonts w:asciiTheme="majorHAnsi" w:hAnsiTheme="majorHAnsi"/>
                <w:sz w:val="18"/>
              </w:rPr>
              <w:t xml:space="preserve"> wordt de herverzekeringsovereenkomst </w:t>
            </w:r>
            <w:r w:rsidR="00073C50">
              <w:rPr>
                <w:rFonts w:asciiTheme="majorHAnsi" w:hAnsiTheme="majorHAnsi"/>
                <w:sz w:val="18"/>
              </w:rPr>
              <w:t xml:space="preserve">in eerste instantie </w:t>
            </w:r>
            <w:r>
              <w:rPr>
                <w:rFonts w:asciiTheme="majorHAnsi" w:hAnsiTheme="majorHAnsi"/>
                <w:sz w:val="18"/>
              </w:rPr>
              <w:t>voor</w:t>
            </w:r>
            <w:r w:rsidRPr="006959B1">
              <w:rPr>
                <w:rFonts w:asciiTheme="majorHAnsi" w:hAnsiTheme="majorHAnsi"/>
                <w:sz w:val="18"/>
              </w:rPr>
              <w:t xml:space="preserve"> twee jaar verlengd. Bij de </w:t>
            </w:r>
            <w:r>
              <w:rPr>
                <w:rFonts w:asciiTheme="majorHAnsi" w:hAnsiTheme="majorHAnsi"/>
                <w:sz w:val="18"/>
              </w:rPr>
              <w:t>voortzetting van de garantie</w:t>
            </w:r>
            <w:r w:rsidRPr="006959B1">
              <w:rPr>
                <w:rFonts w:asciiTheme="majorHAnsi" w:hAnsiTheme="majorHAnsi"/>
                <w:sz w:val="18"/>
              </w:rPr>
              <w:t xml:space="preserve"> word</w:t>
            </w:r>
            <w:r w:rsidR="00073C50">
              <w:rPr>
                <w:rFonts w:asciiTheme="majorHAnsi" w:hAnsiTheme="majorHAnsi"/>
                <w:sz w:val="18"/>
              </w:rPr>
              <w:t>t</w:t>
            </w:r>
            <w:r w:rsidRPr="006959B1">
              <w:rPr>
                <w:rFonts w:asciiTheme="majorHAnsi" w:hAnsiTheme="majorHAnsi"/>
                <w:sz w:val="18"/>
              </w:rPr>
              <w:t xml:space="preserve"> afgesproken dat de participatie van de Staat bij de NHT over een periode van vijf jaar opnieuw wordt geëvalueerd, waarbij dan ook de mogelijkheid bestaat om deze participatie te beëindigen.</w:t>
            </w:r>
            <w:r w:rsidR="00073C50">
              <w:rPr>
                <w:rFonts w:asciiTheme="majorHAnsi" w:hAnsiTheme="majorHAnsi"/>
                <w:sz w:val="18"/>
              </w:rPr>
              <w:t xml:space="preserve"> Via dit toetsingskader wordt de garantie met 5 jaar verlengd, tot 1 januari 2031.</w:t>
            </w:r>
          </w:p>
        </w:tc>
      </w:tr>
    </w:tbl>
    <w:p w:rsidR="006061CF" w:rsidP="002D4724" w:rsidRDefault="006061CF" w14:paraId="25B281FA" w14:textId="77777777">
      <w:pPr>
        <w:spacing w:line="360" w:lineRule="auto"/>
        <w:jc w:val="both"/>
        <w:rPr>
          <w:rFonts w:asciiTheme="majorHAnsi" w:hAnsiTheme="majorHAnsi"/>
          <w:sz w:val="18"/>
          <w:szCs w:val="18"/>
          <w:lang w:val="nl-NL"/>
        </w:rPr>
      </w:pPr>
    </w:p>
    <w:tbl>
      <w:tblPr>
        <w:tblStyle w:val="Tabelraster"/>
        <w:tblW w:w="0" w:type="auto"/>
        <w:tblLook w:val="04A0" w:firstRow="1" w:lastRow="0" w:firstColumn="1" w:lastColumn="0" w:noHBand="0" w:noVBand="1"/>
      </w:tblPr>
      <w:tblGrid>
        <w:gridCol w:w="9062"/>
      </w:tblGrid>
      <w:tr w:rsidR="006E31E3" w:rsidTr="006E31E3" w14:paraId="145E4D54" w14:textId="77777777">
        <w:tc>
          <w:tcPr>
            <w:tcW w:w="9212" w:type="dxa"/>
          </w:tcPr>
          <w:p w:rsidRPr="00AC24B6" w:rsidR="006E31E3" w:rsidP="002D4724" w:rsidRDefault="003E2009" w14:paraId="4C3124D1" w14:textId="3AF7B995">
            <w:pPr>
              <w:pStyle w:val="Default"/>
              <w:numPr>
                <w:ilvl w:val="0"/>
                <w:numId w:val="1"/>
              </w:numPr>
              <w:spacing w:after="13" w:line="360" w:lineRule="auto"/>
              <w:jc w:val="both"/>
              <w:rPr>
                <w:rFonts w:asciiTheme="majorHAnsi" w:hAnsiTheme="majorHAnsi"/>
                <w:i/>
                <w:sz w:val="18"/>
                <w:szCs w:val="18"/>
              </w:rPr>
            </w:pPr>
            <w:r w:rsidRPr="003E2009">
              <w:rPr>
                <w:rFonts w:cs="Arial" w:asciiTheme="majorHAnsi" w:hAnsiTheme="majorHAnsi"/>
                <w:i/>
                <w:sz w:val="18"/>
                <w:szCs w:val="18"/>
              </w:rPr>
              <w:t>Wie voert de risicoregeling uit en wat zijn de uitvoeringskosten van de regeling?</w:t>
            </w:r>
            <w:r>
              <w:rPr>
                <w:rFonts w:cs="Arial" w:asciiTheme="majorHAnsi" w:hAnsiTheme="majorHAnsi"/>
                <w:i/>
                <w:sz w:val="18"/>
                <w:szCs w:val="18"/>
              </w:rPr>
              <w:t xml:space="preserve"> </w:t>
            </w:r>
          </w:p>
        </w:tc>
      </w:tr>
      <w:tr w:rsidR="006E31E3" w:rsidTr="006E31E3" w14:paraId="47ED2FF9" w14:textId="77777777">
        <w:tc>
          <w:tcPr>
            <w:tcW w:w="9212" w:type="dxa"/>
          </w:tcPr>
          <w:p w:rsidRPr="006959B1" w:rsidR="006959B1" w:rsidP="006959B1" w:rsidRDefault="006959B1" w14:paraId="69A839EF" w14:textId="4847D484">
            <w:pPr>
              <w:spacing w:line="360" w:lineRule="auto"/>
              <w:jc w:val="both"/>
              <w:rPr>
                <w:rFonts w:ascii="Verdana" w:hAnsi="Verdana"/>
                <w:sz w:val="18"/>
                <w:szCs w:val="18"/>
                <w:lang w:val="nl-NL"/>
              </w:rPr>
            </w:pPr>
            <w:r w:rsidRPr="006959B1">
              <w:rPr>
                <w:rFonts w:ascii="Verdana" w:hAnsi="Verdana"/>
                <w:sz w:val="18"/>
                <w:szCs w:val="18"/>
                <w:lang w:val="nl-NL"/>
              </w:rPr>
              <w:t xml:space="preserve">De NHT neemt een coördinerende en toezichthoudende rol in bij de afhandeling van terrorismeclaims </w:t>
            </w:r>
            <w:r>
              <w:rPr>
                <w:rFonts w:ascii="Verdana" w:hAnsi="Verdana"/>
                <w:sz w:val="18"/>
                <w:szCs w:val="18"/>
                <w:lang w:val="nl-NL"/>
              </w:rPr>
              <w:t>voor</w:t>
            </w:r>
            <w:r w:rsidRPr="006959B1">
              <w:rPr>
                <w:rFonts w:ascii="Verdana" w:hAnsi="Verdana"/>
                <w:sz w:val="18"/>
                <w:szCs w:val="18"/>
                <w:lang w:val="nl-NL"/>
              </w:rPr>
              <w:t xml:space="preserve"> verzekeraars. De operationele uitvoering, inclusief directie- en managementtaken, is uitbesteed aan Vereende N.V. Hiervan is circa 1 fte toe te rekenen aan de NHT. De daarmee gepaard gaande kosten worden doorbelast aan de deelnemende verzekeraars.</w:t>
            </w:r>
          </w:p>
          <w:p w:rsidRPr="006E31E3" w:rsidR="006E31E3" w:rsidP="006959B1" w:rsidRDefault="006959B1" w14:paraId="00C95C79" w14:textId="48876F32">
            <w:pPr>
              <w:spacing w:line="360" w:lineRule="auto"/>
              <w:jc w:val="both"/>
              <w:rPr>
                <w:rFonts w:ascii="Verdana" w:hAnsi="Verdana"/>
                <w:sz w:val="18"/>
                <w:szCs w:val="18"/>
                <w:lang w:val="nl-NL"/>
              </w:rPr>
            </w:pPr>
            <w:r>
              <w:rPr>
                <w:rFonts w:ascii="Verdana" w:hAnsi="Verdana"/>
                <w:sz w:val="18"/>
                <w:szCs w:val="18"/>
                <w:lang w:val="nl-NL"/>
              </w:rPr>
              <w:t>De NHT</w:t>
            </w:r>
            <w:r w:rsidRPr="006959B1">
              <w:rPr>
                <w:rFonts w:ascii="Verdana" w:hAnsi="Verdana"/>
                <w:sz w:val="18"/>
                <w:szCs w:val="18"/>
                <w:lang w:val="nl-NL"/>
              </w:rPr>
              <w:t xml:space="preserve"> stelt elke twee jaar het retrocession agreement voor de overheid op. </w:t>
            </w:r>
          </w:p>
        </w:tc>
      </w:tr>
    </w:tbl>
    <w:p w:rsidR="006E31E3" w:rsidP="002D4724" w:rsidRDefault="006E31E3" w14:paraId="71564F21" w14:textId="77777777">
      <w:pPr>
        <w:pStyle w:val="Default"/>
        <w:spacing w:line="360" w:lineRule="auto"/>
        <w:jc w:val="both"/>
        <w:rPr>
          <w:rFonts w:cs="Arial" w:asciiTheme="majorHAnsi" w:hAnsiTheme="majorHAnsi"/>
          <w:i/>
          <w:sz w:val="18"/>
          <w:szCs w:val="18"/>
        </w:rPr>
      </w:pPr>
    </w:p>
    <w:tbl>
      <w:tblPr>
        <w:tblStyle w:val="Tabelraster"/>
        <w:tblW w:w="0" w:type="auto"/>
        <w:tblLook w:val="04A0" w:firstRow="1" w:lastRow="0" w:firstColumn="1" w:lastColumn="0" w:noHBand="0" w:noVBand="1"/>
      </w:tblPr>
      <w:tblGrid>
        <w:gridCol w:w="9062"/>
      </w:tblGrid>
      <w:tr w:rsidR="006E31E3" w:rsidTr="006E31E3" w14:paraId="3CAE07D0" w14:textId="77777777">
        <w:tc>
          <w:tcPr>
            <w:tcW w:w="9212" w:type="dxa"/>
          </w:tcPr>
          <w:p w:rsidRPr="006E31E3" w:rsidR="006E31E3" w:rsidP="002D4724" w:rsidRDefault="003E2009" w14:paraId="17268AF8" w14:textId="4A36BC9B">
            <w:pPr>
              <w:pStyle w:val="Default"/>
              <w:numPr>
                <w:ilvl w:val="0"/>
                <w:numId w:val="1"/>
              </w:numPr>
              <w:spacing w:line="360" w:lineRule="auto"/>
              <w:jc w:val="both"/>
              <w:rPr>
                <w:rFonts w:cs="Arial" w:asciiTheme="majorHAnsi" w:hAnsiTheme="majorHAnsi"/>
                <w:i/>
                <w:sz w:val="18"/>
                <w:szCs w:val="18"/>
              </w:rPr>
            </w:pPr>
            <w:r w:rsidRPr="003E2009">
              <w:rPr>
                <w:rFonts w:cs="Arial" w:asciiTheme="majorHAnsi" w:hAnsiTheme="majorHAnsi"/>
                <w:i/>
                <w:sz w:val="18"/>
                <w:szCs w:val="18"/>
              </w:rPr>
              <w:t>Hoe wordt de regeling geëvalueerd, welke informatie is daarvoor relevant en hoe wordt een deugdelijke evaluatie geborgd?</w:t>
            </w:r>
            <w:r>
              <w:rPr>
                <w:rFonts w:cs="Arial" w:asciiTheme="majorHAnsi" w:hAnsiTheme="majorHAnsi"/>
                <w:i/>
                <w:sz w:val="18"/>
                <w:szCs w:val="18"/>
              </w:rPr>
              <w:t xml:space="preserve"> </w:t>
            </w:r>
          </w:p>
        </w:tc>
      </w:tr>
      <w:tr w:rsidR="006E31E3" w:rsidTr="006E31E3" w14:paraId="7D887EC5" w14:textId="77777777">
        <w:tc>
          <w:tcPr>
            <w:tcW w:w="9212" w:type="dxa"/>
          </w:tcPr>
          <w:p w:rsidRPr="00020CE1" w:rsidR="00841D1A" w:rsidP="002D4724" w:rsidRDefault="006959B1" w14:paraId="2393F0C5" w14:textId="019D383A">
            <w:pPr>
              <w:pStyle w:val="Default"/>
              <w:spacing w:line="360" w:lineRule="auto"/>
              <w:jc w:val="both"/>
              <w:rPr>
                <w:rFonts w:ascii="Verdana" w:hAnsi="Verdana" w:cs="Times New Roman"/>
                <w:iCs/>
                <w:sz w:val="18"/>
                <w:szCs w:val="18"/>
              </w:rPr>
            </w:pPr>
            <w:r w:rsidRPr="006959B1">
              <w:rPr>
                <w:rFonts w:ascii="Verdana" w:hAnsi="Verdana" w:cs="Times New Roman"/>
                <w:iCs/>
                <w:sz w:val="18"/>
                <w:szCs w:val="18"/>
              </w:rPr>
              <w:t xml:space="preserve">De regeling wordt geëvalueerd volgens de criteria die zijn vastgelegd in de regeling periodieke evaluatie. </w:t>
            </w:r>
            <w:r>
              <w:rPr>
                <w:rFonts w:ascii="Verdana" w:hAnsi="Verdana" w:cs="Times New Roman"/>
                <w:iCs/>
                <w:sz w:val="18"/>
                <w:szCs w:val="18"/>
              </w:rPr>
              <w:t xml:space="preserve">Dit garantiekader maakt deel uit van een grotere evaluatie waarbij gebruik is gemaakt van een verklarende onderzoeksvraag. De kwaliteit van de </w:t>
            </w:r>
            <w:r w:rsidRPr="006959B1">
              <w:rPr>
                <w:rFonts w:ascii="Verdana" w:hAnsi="Verdana" w:cs="Times New Roman"/>
                <w:iCs/>
                <w:sz w:val="18"/>
                <w:szCs w:val="18"/>
              </w:rPr>
              <w:t>evaluatie wordt gegarandeerd door gesprekken te voeren met betrokken partijen en stakeholders, door vergelijkend onderzoek te doen naar soortgelijke garantiestellingen en terrorismepools in andere lidstaten, en door de vragen uit de eerdere evaluatie opnieuw te beantwoorden.</w:t>
            </w:r>
            <w:r w:rsidR="009E5D06">
              <w:rPr>
                <w:rFonts w:ascii="Verdana" w:hAnsi="Verdana" w:cs="Times New Roman"/>
                <w:iCs/>
                <w:sz w:val="18"/>
                <w:szCs w:val="18"/>
              </w:rPr>
              <w:t xml:space="preserve"> Verder is gebruik gemaakt van literatuur, jaarverslagen en Kamerstukken. </w:t>
            </w:r>
          </w:p>
        </w:tc>
      </w:tr>
    </w:tbl>
    <w:p w:rsidRPr="006E31E3" w:rsidR="006E31E3" w:rsidP="002D4724" w:rsidRDefault="006E31E3" w14:paraId="78743729" w14:textId="36D51C47">
      <w:pPr>
        <w:pStyle w:val="Default"/>
        <w:spacing w:line="360" w:lineRule="auto"/>
        <w:jc w:val="both"/>
        <w:rPr>
          <w:rFonts w:cs="Arial" w:asciiTheme="majorHAnsi" w:hAnsiTheme="majorHAnsi"/>
          <w:sz w:val="18"/>
          <w:szCs w:val="18"/>
        </w:rPr>
      </w:pPr>
    </w:p>
    <w:sectPr w:rsidRPr="006E31E3" w:rsidR="006E31E3"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BFE6" w14:textId="77777777" w:rsidR="0006506D" w:rsidRDefault="0006506D" w:rsidP="005B47C3">
      <w:r>
        <w:separator/>
      </w:r>
    </w:p>
  </w:endnote>
  <w:endnote w:type="continuationSeparator" w:id="0">
    <w:p w14:paraId="56CA237C" w14:textId="77777777" w:rsidR="0006506D" w:rsidRDefault="0006506D" w:rsidP="005B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OBLM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D70A" w14:textId="77777777" w:rsidR="0006506D" w:rsidRDefault="0006506D" w:rsidP="005B47C3">
      <w:r>
        <w:separator/>
      </w:r>
    </w:p>
  </w:footnote>
  <w:footnote w:type="continuationSeparator" w:id="0">
    <w:p w14:paraId="0F54C6B5" w14:textId="77777777" w:rsidR="0006506D" w:rsidRDefault="0006506D" w:rsidP="005B47C3">
      <w:r>
        <w:continuationSeparator/>
      </w:r>
    </w:p>
  </w:footnote>
  <w:footnote w:id="1">
    <w:p w14:paraId="3AE97980" w14:textId="531FCCEF" w:rsidR="00A57DC5" w:rsidRPr="00A57DC5" w:rsidRDefault="00A57DC5">
      <w:pPr>
        <w:pStyle w:val="Voetnoottekst"/>
        <w:rPr>
          <w:lang w:val="nl-NL"/>
        </w:rPr>
      </w:pPr>
      <w:r>
        <w:rPr>
          <w:rStyle w:val="Voetnootmarkering"/>
        </w:rPr>
        <w:footnoteRef/>
      </w:r>
      <w:r>
        <w:t xml:space="preserve"> </w:t>
      </w:r>
      <w:r w:rsidRPr="003734FF">
        <w:rPr>
          <w:i/>
          <w:iCs/>
          <w:sz w:val="16"/>
          <w:szCs w:val="16"/>
        </w:rPr>
        <w:t>Kamerstukken II</w:t>
      </w:r>
      <w:r w:rsidRPr="003734FF">
        <w:rPr>
          <w:sz w:val="16"/>
          <w:szCs w:val="16"/>
        </w:rPr>
        <w:t xml:space="preserve"> 2002-2003, 28668, n</w:t>
      </w:r>
      <w:r>
        <w:rPr>
          <w:sz w:val="16"/>
          <w:szCs w:val="16"/>
        </w:rPr>
        <w:t>r</w:t>
      </w:r>
      <w:r w:rsidRPr="003734FF">
        <w:rPr>
          <w:sz w:val="16"/>
          <w:szCs w:val="16"/>
        </w:rPr>
        <w:t xml:space="preserve">. </w:t>
      </w:r>
      <w:r>
        <w:rPr>
          <w:sz w:val="16"/>
          <w:szCs w:val="16"/>
        </w:rPr>
        <w:t>1, p. 6.</w:t>
      </w:r>
    </w:p>
  </w:footnote>
  <w:footnote w:id="2">
    <w:p w14:paraId="0286B78B" w14:textId="77777777" w:rsidR="00B41A52" w:rsidRDefault="00B41A52" w:rsidP="00B41A52">
      <w:pPr>
        <w:pStyle w:val="Voetnoottekst"/>
      </w:pPr>
      <w:r>
        <w:rPr>
          <w:rStyle w:val="Voetnootmarkering"/>
        </w:rPr>
        <w:footnoteRef/>
      </w:r>
      <w:r>
        <w:t xml:space="preserve"> </w:t>
      </w:r>
      <w:r w:rsidRPr="00ED3600">
        <w:rPr>
          <w:i/>
          <w:iCs/>
          <w:sz w:val="16"/>
          <w:szCs w:val="16"/>
        </w:rPr>
        <w:t>Kamerstukken II</w:t>
      </w:r>
      <w:r w:rsidRPr="00ED3600">
        <w:rPr>
          <w:sz w:val="16"/>
          <w:szCs w:val="16"/>
        </w:rPr>
        <w:t> 200</w:t>
      </w:r>
      <w:r>
        <w:rPr>
          <w:sz w:val="16"/>
          <w:szCs w:val="16"/>
        </w:rPr>
        <w:t>8</w:t>
      </w:r>
      <w:r w:rsidRPr="00ED3600">
        <w:rPr>
          <w:sz w:val="16"/>
          <w:szCs w:val="16"/>
        </w:rPr>
        <w:t>/0</w:t>
      </w:r>
      <w:r>
        <w:rPr>
          <w:sz w:val="16"/>
          <w:szCs w:val="16"/>
        </w:rPr>
        <w:t>9</w:t>
      </w:r>
      <w:r w:rsidRPr="00ED3600">
        <w:rPr>
          <w:sz w:val="16"/>
          <w:szCs w:val="16"/>
        </w:rPr>
        <w:t xml:space="preserve">, </w:t>
      </w:r>
      <w:r w:rsidRPr="0050107E">
        <w:rPr>
          <w:sz w:val="16"/>
          <w:szCs w:val="16"/>
        </w:rPr>
        <w:t>29754</w:t>
      </w:r>
      <w:r w:rsidRPr="00ED3600">
        <w:rPr>
          <w:sz w:val="16"/>
          <w:szCs w:val="16"/>
        </w:rPr>
        <w:t xml:space="preserve">, nr. </w:t>
      </w:r>
      <w:r>
        <w:rPr>
          <w:sz w:val="16"/>
          <w:szCs w:val="16"/>
        </w:rPr>
        <w:t>136</w:t>
      </w:r>
      <w:r w:rsidRPr="00ED3600">
        <w:rPr>
          <w:sz w:val="16"/>
          <w:szCs w:val="16"/>
        </w:rPr>
        <w:t xml:space="preserve">, p. </w:t>
      </w:r>
      <w:r>
        <w:rPr>
          <w:sz w:val="16"/>
          <w:szCs w:val="16"/>
        </w:rPr>
        <w:t>2</w:t>
      </w:r>
      <w:r w:rsidRPr="00ED3600">
        <w:rPr>
          <w:sz w:val="16"/>
          <w:szCs w:val="16"/>
        </w:rPr>
        <w:t>.</w:t>
      </w:r>
    </w:p>
  </w:footnote>
  <w:footnote w:id="3">
    <w:p w14:paraId="053BF903" w14:textId="4409182B" w:rsidR="00B41A52" w:rsidRDefault="00B41A52" w:rsidP="00AC090F">
      <w:pPr>
        <w:pStyle w:val="Voetnoottekst"/>
        <w:tabs>
          <w:tab w:val="left" w:pos="3945"/>
        </w:tabs>
      </w:pPr>
      <w:r>
        <w:rPr>
          <w:rStyle w:val="Voetnootmarkering"/>
        </w:rPr>
        <w:footnoteRef/>
      </w:r>
      <w:r>
        <w:t xml:space="preserve"> </w:t>
      </w:r>
      <w:r w:rsidRPr="007B5944">
        <w:rPr>
          <w:sz w:val="16"/>
          <w:szCs w:val="16"/>
        </w:rPr>
        <w:t>Stb. 2003, 465</w:t>
      </w:r>
      <w:r>
        <w:t>.</w:t>
      </w:r>
      <w:r w:rsidR="00FF5AF6">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54393"/>
    <w:multiLevelType w:val="hybridMultilevel"/>
    <w:tmpl w:val="42540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C3814"/>
    <w:multiLevelType w:val="hybridMultilevel"/>
    <w:tmpl w:val="30CC676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15F80585"/>
    <w:multiLevelType w:val="hybridMultilevel"/>
    <w:tmpl w:val="C76ABE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AB57B1"/>
    <w:multiLevelType w:val="hybridMultilevel"/>
    <w:tmpl w:val="B47436D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179D0F47"/>
    <w:multiLevelType w:val="hybridMultilevel"/>
    <w:tmpl w:val="2848D450"/>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A696C31"/>
    <w:multiLevelType w:val="hybridMultilevel"/>
    <w:tmpl w:val="34646C8C"/>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7" w15:restartNumberingAfterBreak="0">
    <w:nsid w:val="1FA1211C"/>
    <w:multiLevelType w:val="hybridMultilevel"/>
    <w:tmpl w:val="EF2AA586"/>
    <w:lvl w:ilvl="0" w:tplc="E228A11A">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1FA41D36"/>
    <w:multiLevelType w:val="hybridMultilevel"/>
    <w:tmpl w:val="8A02EFA0"/>
    <w:lvl w:ilvl="0" w:tplc="5ECE579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6C21407"/>
    <w:multiLevelType w:val="hybridMultilevel"/>
    <w:tmpl w:val="4A34FB7A"/>
    <w:lvl w:ilvl="0" w:tplc="21AE96C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1F24259"/>
    <w:multiLevelType w:val="hybridMultilevel"/>
    <w:tmpl w:val="1A6CFA70"/>
    <w:lvl w:ilvl="0" w:tplc="1B86690A">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72B3847"/>
    <w:multiLevelType w:val="hybridMultilevel"/>
    <w:tmpl w:val="B2F04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745335"/>
    <w:multiLevelType w:val="hybridMultilevel"/>
    <w:tmpl w:val="9CD8A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E7369"/>
    <w:multiLevelType w:val="hybridMultilevel"/>
    <w:tmpl w:val="21F283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5D42AD3"/>
    <w:multiLevelType w:val="hybridMultilevel"/>
    <w:tmpl w:val="3AC85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DA7299"/>
    <w:multiLevelType w:val="hybridMultilevel"/>
    <w:tmpl w:val="199485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84459C"/>
    <w:multiLevelType w:val="hybridMultilevel"/>
    <w:tmpl w:val="4A8C5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220B31"/>
    <w:multiLevelType w:val="singleLevel"/>
    <w:tmpl w:val="04130001"/>
    <w:lvl w:ilvl="0">
      <w:start w:val="1"/>
      <w:numFmt w:val="bullet"/>
      <w:lvlText w:val=""/>
      <w:lvlJc w:val="left"/>
      <w:pPr>
        <w:ind w:left="720" w:hanging="360"/>
      </w:pPr>
      <w:rPr>
        <w:rFonts w:ascii="Symbol" w:hAnsi="Symbol" w:hint="default"/>
      </w:rPr>
    </w:lvl>
  </w:abstractNum>
  <w:abstractNum w:abstractNumId="18" w15:restartNumberingAfterBreak="0">
    <w:nsid w:val="4CFF1808"/>
    <w:multiLevelType w:val="hybridMultilevel"/>
    <w:tmpl w:val="2CECCFF6"/>
    <w:lvl w:ilvl="0" w:tplc="123026E2">
      <w:start w:val="10"/>
      <w:numFmt w:val="bullet"/>
      <w:lvlText w:val="-"/>
      <w:lvlJc w:val="left"/>
      <w:pPr>
        <w:ind w:left="720" w:hanging="360"/>
      </w:pPr>
      <w:rPr>
        <w:rFonts w:ascii="Verdana" w:eastAsia="Times New Roman" w:hAnsi="Verdana"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0771FB"/>
    <w:multiLevelType w:val="hybridMultilevel"/>
    <w:tmpl w:val="D4A42CF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0" w15:restartNumberingAfterBreak="0">
    <w:nsid w:val="50AE5766"/>
    <w:multiLevelType w:val="hybridMultilevel"/>
    <w:tmpl w:val="6E2AA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1A5BD7"/>
    <w:multiLevelType w:val="hybridMultilevel"/>
    <w:tmpl w:val="9DE01D0A"/>
    <w:lvl w:ilvl="0" w:tplc="1D7214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E34502"/>
    <w:multiLevelType w:val="hybridMultilevel"/>
    <w:tmpl w:val="6A84EA0E"/>
    <w:lvl w:ilvl="0" w:tplc="DC58C29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F67D1A"/>
    <w:multiLevelType w:val="hybridMultilevel"/>
    <w:tmpl w:val="40208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3D73BE"/>
    <w:multiLevelType w:val="hybridMultilevel"/>
    <w:tmpl w:val="7624D8E8"/>
    <w:lvl w:ilvl="0" w:tplc="BC2213E8">
      <w:start w:val="1"/>
      <w:numFmt w:val="decimal"/>
      <w:lvlText w:val="%1."/>
      <w:lvlJc w:val="left"/>
      <w:pPr>
        <w:ind w:left="360" w:hanging="360"/>
      </w:pPr>
      <w:rPr>
        <w:b w:val="0"/>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AEB0E24"/>
    <w:multiLevelType w:val="hybridMultilevel"/>
    <w:tmpl w:val="2848D450"/>
    <w:lvl w:ilvl="0" w:tplc="0409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87E5D89"/>
    <w:multiLevelType w:val="hybridMultilevel"/>
    <w:tmpl w:val="5746A0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9921B35"/>
    <w:multiLevelType w:val="hybridMultilevel"/>
    <w:tmpl w:val="29809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841019">
    <w:abstractNumId w:val="24"/>
  </w:num>
  <w:num w:numId="2" w16cid:durableId="379599364">
    <w:abstractNumId w:val="27"/>
  </w:num>
  <w:num w:numId="3" w16cid:durableId="1923448455">
    <w:abstractNumId w:val="3"/>
  </w:num>
  <w:num w:numId="4" w16cid:durableId="459953394">
    <w:abstractNumId w:val="21"/>
  </w:num>
  <w:num w:numId="5" w16cid:durableId="1933125044">
    <w:abstractNumId w:val="6"/>
  </w:num>
  <w:num w:numId="6" w16cid:durableId="1297250811">
    <w:abstractNumId w:val="9"/>
  </w:num>
  <w:num w:numId="7" w16cid:durableId="1391225475">
    <w:abstractNumId w:val="10"/>
  </w:num>
  <w:num w:numId="8" w16cid:durableId="1583755515">
    <w:abstractNumId w:val="8"/>
  </w:num>
  <w:num w:numId="9" w16cid:durableId="2075737731">
    <w:abstractNumId w:val="19"/>
  </w:num>
  <w:num w:numId="10" w16cid:durableId="1840383131">
    <w:abstractNumId w:val="13"/>
  </w:num>
  <w:num w:numId="11" w16cid:durableId="748190972">
    <w:abstractNumId w:val="25"/>
  </w:num>
  <w:num w:numId="12" w16cid:durableId="532039354">
    <w:abstractNumId w:val="26"/>
  </w:num>
  <w:num w:numId="13" w16cid:durableId="11741478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8191770">
    <w:abstractNumId w:val="20"/>
  </w:num>
  <w:num w:numId="15" w16cid:durableId="15508479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745620">
    <w:abstractNumId w:val="0"/>
  </w:num>
  <w:num w:numId="17" w16cid:durableId="194315290">
    <w:abstractNumId w:val="23"/>
  </w:num>
  <w:num w:numId="18" w16cid:durableId="1009452010">
    <w:abstractNumId w:val="11"/>
  </w:num>
  <w:num w:numId="19" w16cid:durableId="9296966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453924">
    <w:abstractNumId w:val="12"/>
  </w:num>
  <w:num w:numId="21" w16cid:durableId="850223345">
    <w:abstractNumId w:val="15"/>
  </w:num>
  <w:num w:numId="22" w16cid:durableId="1921597012">
    <w:abstractNumId w:val="17"/>
  </w:num>
  <w:num w:numId="23" w16cid:durableId="271787657">
    <w:abstractNumId w:val="1"/>
  </w:num>
  <w:num w:numId="24" w16cid:durableId="57556666">
    <w:abstractNumId w:val="5"/>
  </w:num>
  <w:num w:numId="25" w16cid:durableId="971834090">
    <w:abstractNumId w:val="16"/>
  </w:num>
  <w:num w:numId="26" w16cid:durableId="1488399289">
    <w:abstractNumId w:val="18"/>
  </w:num>
  <w:num w:numId="27" w16cid:durableId="395711811">
    <w:abstractNumId w:val="22"/>
  </w:num>
  <w:num w:numId="28" w16cid:durableId="412358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1E"/>
    <w:rsid w:val="000014C9"/>
    <w:rsid w:val="000045C0"/>
    <w:rsid w:val="000072CB"/>
    <w:rsid w:val="00017106"/>
    <w:rsid w:val="00020CE1"/>
    <w:rsid w:val="00021161"/>
    <w:rsid w:val="00022387"/>
    <w:rsid w:val="00026779"/>
    <w:rsid w:val="0003031F"/>
    <w:rsid w:val="000331EE"/>
    <w:rsid w:val="00036BF3"/>
    <w:rsid w:val="00037EC8"/>
    <w:rsid w:val="000440A8"/>
    <w:rsid w:val="00060C3D"/>
    <w:rsid w:val="00062504"/>
    <w:rsid w:val="0006506D"/>
    <w:rsid w:val="0006524A"/>
    <w:rsid w:val="0007358B"/>
    <w:rsid w:val="00073C50"/>
    <w:rsid w:val="00074400"/>
    <w:rsid w:val="00085D6A"/>
    <w:rsid w:val="0009328E"/>
    <w:rsid w:val="00094FCE"/>
    <w:rsid w:val="00095DE1"/>
    <w:rsid w:val="000A66DF"/>
    <w:rsid w:val="000C47F8"/>
    <w:rsid w:val="000D258D"/>
    <w:rsid w:val="000D78FC"/>
    <w:rsid w:val="000E39A3"/>
    <w:rsid w:val="000E5106"/>
    <w:rsid w:val="000F6FDE"/>
    <w:rsid w:val="00101958"/>
    <w:rsid w:val="001114F3"/>
    <w:rsid w:val="001129D8"/>
    <w:rsid w:val="00112A8A"/>
    <w:rsid w:val="00134736"/>
    <w:rsid w:val="00137D13"/>
    <w:rsid w:val="00147C96"/>
    <w:rsid w:val="00150D1D"/>
    <w:rsid w:val="00163345"/>
    <w:rsid w:val="00165E29"/>
    <w:rsid w:val="00190B30"/>
    <w:rsid w:val="00191499"/>
    <w:rsid w:val="001A5375"/>
    <w:rsid w:val="001A7B6B"/>
    <w:rsid w:val="001C0864"/>
    <w:rsid w:val="001C48DC"/>
    <w:rsid w:val="001D0C2C"/>
    <w:rsid w:val="001D6DC4"/>
    <w:rsid w:val="001E67BA"/>
    <w:rsid w:val="001E7A1C"/>
    <w:rsid w:val="001F1AB0"/>
    <w:rsid w:val="001F3E0A"/>
    <w:rsid w:val="00203DCE"/>
    <w:rsid w:val="002128DB"/>
    <w:rsid w:val="00222693"/>
    <w:rsid w:val="00224110"/>
    <w:rsid w:val="00224B49"/>
    <w:rsid w:val="00226549"/>
    <w:rsid w:val="00230910"/>
    <w:rsid w:val="00236577"/>
    <w:rsid w:val="00244B53"/>
    <w:rsid w:val="00254180"/>
    <w:rsid w:val="0027191B"/>
    <w:rsid w:val="00275724"/>
    <w:rsid w:val="002827AE"/>
    <w:rsid w:val="00283292"/>
    <w:rsid w:val="002872EE"/>
    <w:rsid w:val="00291D12"/>
    <w:rsid w:val="0029409A"/>
    <w:rsid w:val="002A3455"/>
    <w:rsid w:val="002B628A"/>
    <w:rsid w:val="002D0B8C"/>
    <w:rsid w:val="002D4724"/>
    <w:rsid w:val="002D6B1E"/>
    <w:rsid w:val="002E13B2"/>
    <w:rsid w:val="002E6EEE"/>
    <w:rsid w:val="002E79E1"/>
    <w:rsid w:val="002F261C"/>
    <w:rsid w:val="00300DC3"/>
    <w:rsid w:val="00302242"/>
    <w:rsid w:val="0030376E"/>
    <w:rsid w:val="00304A80"/>
    <w:rsid w:val="00310577"/>
    <w:rsid w:val="00310600"/>
    <w:rsid w:val="00310F6C"/>
    <w:rsid w:val="00314B52"/>
    <w:rsid w:val="003208A8"/>
    <w:rsid w:val="003314C4"/>
    <w:rsid w:val="0033209B"/>
    <w:rsid w:val="0034271B"/>
    <w:rsid w:val="00352287"/>
    <w:rsid w:val="003561A1"/>
    <w:rsid w:val="003574FD"/>
    <w:rsid w:val="0036497C"/>
    <w:rsid w:val="00364D57"/>
    <w:rsid w:val="003778EE"/>
    <w:rsid w:val="00391FF1"/>
    <w:rsid w:val="00397736"/>
    <w:rsid w:val="003B4263"/>
    <w:rsid w:val="003B6BD2"/>
    <w:rsid w:val="003D185C"/>
    <w:rsid w:val="003D3F5B"/>
    <w:rsid w:val="003D61FD"/>
    <w:rsid w:val="003D6503"/>
    <w:rsid w:val="003E2009"/>
    <w:rsid w:val="00401C7A"/>
    <w:rsid w:val="00403A99"/>
    <w:rsid w:val="00405E73"/>
    <w:rsid w:val="00406BF1"/>
    <w:rsid w:val="00410B9F"/>
    <w:rsid w:val="0041392D"/>
    <w:rsid w:val="004259B0"/>
    <w:rsid w:val="00434372"/>
    <w:rsid w:val="00440B69"/>
    <w:rsid w:val="0044298F"/>
    <w:rsid w:val="00442E95"/>
    <w:rsid w:val="00446A0A"/>
    <w:rsid w:val="00451536"/>
    <w:rsid w:val="004530F6"/>
    <w:rsid w:val="00467465"/>
    <w:rsid w:val="00477A65"/>
    <w:rsid w:val="00490913"/>
    <w:rsid w:val="00494C1A"/>
    <w:rsid w:val="0049708E"/>
    <w:rsid w:val="004A3316"/>
    <w:rsid w:val="004A58D3"/>
    <w:rsid w:val="004A7D0F"/>
    <w:rsid w:val="004B1F06"/>
    <w:rsid w:val="004C4844"/>
    <w:rsid w:val="004C5592"/>
    <w:rsid w:val="004C5722"/>
    <w:rsid w:val="004C5C16"/>
    <w:rsid w:val="004E186C"/>
    <w:rsid w:val="004E7FB1"/>
    <w:rsid w:val="004F1C60"/>
    <w:rsid w:val="004F32DD"/>
    <w:rsid w:val="004F3E5F"/>
    <w:rsid w:val="004F5E09"/>
    <w:rsid w:val="00503FA6"/>
    <w:rsid w:val="005067B4"/>
    <w:rsid w:val="00524F2D"/>
    <w:rsid w:val="0053231D"/>
    <w:rsid w:val="0054349F"/>
    <w:rsid w:val="00544E4E"/>
    <w:rsid w:val="00545B50"/>
    <w:rsid w:val="00547887"/>
    <w:rsid w:val="00551CAB"/>
    <w:rsid w:val="005525FC"/>
    <w:rsid w:val="0058411F"/>
    <w:rsid w:val="005933F1"/>
    <w:rsid w:val="00596C71"/>
    <w:rsid w:val="005A7F8A"/>
    <w:rsid w:val="005B1C98"/>
    <w:rsid w:val="005B47C3"/>
    <w:rsid w:val="005C0C0F"/>
    <w:rsid w:val="005C17CC"/>
    <w:rsid w:val="005C1E96"/>
    <w:rsid w:val="005C71BC"/>
    <w:rsid w:val="005D5272"/>
    <w:rsid w:val="005F02EB"/>
    <w:rsid w:val="005F56E6"/>
    <w:rsid w:val="006055C1"/>
    <w:rsid w:val="006061CF"/>
    <w:rsid w:val="00607251"/>
    <w:rsid w:val="0060748E"/>
    <w:rsid w:val="006120B5"/>
    <w:rsid w:val="006150E0"/>
    <w:rsid w:val="006202FA"/>
    <w:rsid w:val="00624D50"/>
    <w:rsid w:val="006416DF"/>
    <w:rsid w:val="00645622"/>
    <w:rsid w:val="00646AE8"/>
    <w:rsid w:val="00652FC3"/>
    <w:rsid w:val="006537BB"/>
    <w:rsid w:val="00655E3C"/>
    <w:rsid w:val="00656A5C"/>
    <w:rsid w:val="00665B50"/>
    <w:rsid w:val="00665FD5"/>
    <w:rsid w:val="006710FD"/>
    <w:rsid w:val="006879CB"/>
    <w:rsid w:val="00691F49"/>
    <w:rsid w:val="006959B1"/>
    <w:rsid w:val="006A125E"/>
    <w:rsid w:val="006A59FE"/>
    <w:rsid w:val="006A6F7C"/>
    <w:rsid w:val="006B1EE7"/>
    <w:rsid w:val="006B5866"/>
    <w:rsid w:val="006B6E02"/>
    <w:rsid w:val="006C3C0A"/>
    <w:rsid w:val="006C592B"/>
    <w:rsid w:val="006C6488"/>
    <w:rsid w:val="006C67F3"/>
    <w:rsid w:val="006D5E45"/>
    <w:rsid w:val="006E1604"/>
    <w:rsid w:val="006E31E3"/>
    <w:rsid w:val="006F3401"/>
    <w:rsid w:val="00700D5A"/>
    <w:rsid w:val="00706229"/>
    <w:rsid w:val="00711495"/>
    <w:rsid w:val="00715B31"/>
    <w:rsid w:val="00722F8C"/>
    <w:rsid w:val="007257E8"/>
    <w:rsid w:val="00727658"/>
    <w:rsid w:val="00741D4C"/>
    <w:rsid w:val="0074413E"/>
    <w:rsid w:val="00747A30"/>
    <w:rsid w:val="00747D0D"/>
    <w:rsid w:val="00755D7C"/>
    <w:rsid w:val="00755DF0"/>
    <w:rsid w:val="00756389"/>
    <w:rsid w:val="0076544A"/>
    <w:rsid w:val="00780564"/>
    <w:rsid w:val="0078739A"/>
    <w:rsid w:val="007A09F9"/>
    <w:rsid w:val="007A3731"/>
    <w:rsid w:val="007A5CBA"/>
    <w:rsid w:val="007B7601"/>
    <w:rsid w:val="007C05BA"/>
    <w:rsid w:val="007D2055"/>
    <w:rsid w:val="007D4074"/>
    <w:rsid w:val="007E02D5"/>
    <w:rsid w:val="007E6930"/>
    <w:rsid w:val="007E6BED"/>
    <w:rsid w:val="007F04E0"/>
    <w:rsid w:val="007F0EE8"/>
    <w:rsid w:val="007F2A66"/>
    <w:rsid w:val="00803F92"/>
    <w:rsid w:val="00814102"/>
    <w:rsid w:val="008154E1"/>
    <w:rsid w:val="0081568D"/>
    <w:rsid w:val="00815D3A"/>
    <w:rsid w:val="0084038F"/>
    <w:rsid w:val="00841D1A"/>
    <w:rsid w:val="008465AA"/>
    <w:rsid w:val="0084776C"/>
    <w:rsid w:val="008508FB"/>
    <w:rsid w:val="008509D3"/>
    <w:rsid w:val="008561CE"/>
    <w:rsid w:val="008570B3"/>
    <w:rsid w:val="00857C8C"/>
    <w:rsid w:val="008602A1"/>
    <w:rsid w:val="0086125C"/>
    <w:rsid w:val="008621C7"/>
    <w:rsid w:val="008654EB"/>
    <w:rsid w:val="008743C2"/>
    <w:rsid w:val="0088635D"/>
    <w:rsid w:val="00894CF0"/>
    <w:rsid w:val="008970F7"/>
    <w:rsid w:val="008A345A"/>
    <w:rsid w:val="008A44D6"/>
    <w:rsid w:val="008A75F9"/>
    <w:rsid w:val="008B12B1"/>
    <w:rsid w:val="008B2377"/>
    <w:rsid w:val="008B2DCA"/>
    <w:rsid w:val="008B42C7"/>
    <w:rsid w:val="008B47F1"/>
    <w:rsid w:val="008C205C"/>
    <w:rsid w:val="008C61FA"/>
    <w:rsid w:val="008D7D78"/>
    <w:rsid w:val="008E32A7"/>
    <w:rsid w:val="008F7A2D"/>
    <w:rsid w:val="00900A14"/>
    <w:rsid w:val="0090227E"/>
    <w:rsid w:val="009029F4"/>
    <w:rsid w:val="0090300E"/>
    <w:rsid w:val="00905545"/>
    <w:rsid w:val="009110F6"/>
    <w:rsid w:val="009117C0"/>
    <w:rsid w:val="00911BA1"/>
    <w:rsid w:val="00921A39"/>
    <w:rsid w:val="00943C66"/>
    <w:rsid w:val="00944A35"/>
    <w:rsid w:val="00945AEA"/>
    <w:rsid w:val="00954187"/>
    <w:rsid w:val="00963106"/>
    <w:rsid w:val="00963BF4"/>
    <w:rsid w:val="00970840"/>
    <w:rsid w:val="00972E6B"/>
    <w:rsid w:val="00975840"/>
    <w:rsid w:val="00986AC6"/>
    <w:rsid w:val="009929FC"/>
    <w:rsid w:val="00993D0E"/>
    <w:rsid w:val="00996680"/>
    <w:rsid w:val="009A0A56"/>
    <w:rsid w:val="009A3624"/>
    <w:rsid w:val="009A590E"/>
    <w:rsid w:val="009B4429"/>
    <w:rsid w:val="009C0C7B"/>
    <w:rsid w:val="009D29D0"/>
    <w:rsid w:val="009E18E3"/>
    <w:rsid w:val="009E1CE5"/>
    <w:rsid w:val="009E475B"/>
    <w:rsid w:val="009E5D06"/>
    <w:rsid w:val="00A050F7"/>
    <w:rsid w:val="00A0556E"/>
    <w:rsid w:val="00A17C6E"/>
    <w:rsid w:val="00A21C2A"/>
    <w:rsid w:val="00A426A8"/>
    <w:rsid w:val="00A450A7"/>
    <w:rsid w:val="00A47482"/>
    <w:rsid w:val="00A524D0"/>
    <w:rsid w:val="00A55F04"/>
    <w:rsid w:val="00A56443"/>
    <w:rsid w:val="00A57DC5"/>
    <w:rsid w:val="00A60D2D"/>
    <w:rsid w:val="00A70E80"/>
    <w:rsid w:val="00A73417"/>
    <w:rsid w:val="00A73ADE"/>
    <w:rsid w:val="00A75629"/>
    <w:rsid w:val="00AA161F"/>
    <w:rsid w:val="00AB5A86"/>
    <w:rsid w:val="00AB5D58"/>
    <w:rsid w:val="00AC090F"/>
    <w:rsid w:val="00AC13B4"/>
    <w:rsid w:val="00AC24B6"/>
    <w:rsid w:val="00AC3066"/>
    <w:rsid w:val="00AC4CE3"/>
    <w:rsid w:val="00AD2426"/>
    <w:rsid w:val="00B16869"/>
    <w:rsid w:val="00B220EC"/>
    <w:rsid w:val="00B26FBD"/>
    <w:rsid w:val="00B272AC"/>
    <w:rsid w:val="00B34529"/>
    <w:rsid w:val="00B41A52"/>
    <w:rsid w:val="00B44383"/>
    <w:rsid w:val="00B55C44"/>
    <w:rsid w:val="00B62B0E"/>
    <w:rsid w:val="00B666FD"/>
    <w:rsid w:val="00B66732"/>
    <w:rsid w:val="00B80B20"/>
    <w:rsid w:val="00B8300C"/>
    <w:rsid w:val="00B92450"/>
    <w:rsid w:val="00B94AFD"/>
    <w:rsid w:val="00B969BA"/>
    <w:rsid w:val="00BB0449"/>
    <w:rsid w:val="00BD0826"/>
    <w:rsid w:val="00BD6CF3"/>
    <w:rsid w:val="00BF0944"/>
    <w:rsid w:val="00BF3220"/>
    <w:rsid w:val="00BF37A5"/>
    <w:rsid w:val="00C00AD2"/>
    <w:rsid w:val="00C074F8"/>
    <w:rsid w:val="00C079DE"/>
    <w:rsid w:val="00C134CA"/>
    <w:rsid w:val="00C160FF"/>
    <w:rsid w:val="00C2115A"/>
    <w:rsid w:val="00C27501"/>
    <w:rsid w:val="00C31D69"/>
    <w:rsid w:val="00C34D4E"/>
    <w:rsid w:val="00C36E9D"/>
    <w:rsid w:val="00C400E3"/>
    <w:rsid w:val="00C523EF"/>
    <w:rsid w:val="00C566CE"/>
    <w:rsid w:val="00C614BC"/>
    <w:rsid w:val="00C628C4"/>
    <w:rsid w:val="00C81451"/>
    <w:rsid w:val="00C84B48"/>
    <w:rsid w:val="00C90E7C"/>
    <w:rsid w:val="00C96FD2"/>
    <w:rsid w:val="00CA0937"/>
    <w:rsid w:val="00CA1652"/>
    <w:rsid w:val="00CA3082"/>
    <w:rsid w:val="00CB751E"/>
    <w:rsid w:val="00CC3658"/>
    <w:rsid w:val="00CC64F0"/>
    <w:rsid w:val="00CD0690"/>
    <w:rsid w:val="00CD1E45"/>
    <w:rsid w:val="00CE1921"/>
    <w:rsid w:val="00CE7DEE"/>
    <w:rsid w:val="00CF23BC"/>
    <w:rsid w:val="00CF3125"/>
    <w:rsid w:val="00CF57EA"/>
    <w:rsid w:val="00D00185"/>
    <w:rsid w:val="00D00DD9"/>
    <w:rsid w:val="00D04546"/>
    <w:rsid w:val="00D14814"/>
    <w:rsid w:val="00D443BE"/>
    <w:rsid w:val="00D472D1"/>
    <w:rsid w:val="00D47B25"/>
    <w:rsid w:val="00D54228"/>
    <w:rsid w:val="00D6225D"/>
    <w:rsid w:val="00D64896"/>
    <w:rsid w:val="00D71665"/>
    <w:rsid w:val="00D75FF0"/>
    <w:rsid w:val="00D76BA9"/>
    <w:rsid w:val="00D77952"/>
    <w:rsid w:val="00D83BA3"/>
    <w:rsid w:val="00D92D5C"/>
    <w:rsid w:val="00DA327C"/>
    <w:rsid w:val="00DA5295"/>
    <w:rsid w:val="00DB2B50"/>
    <w:rsid w:val="00DC38A4"/>
    <w:rsid w:val="00DC690B"/>
    <w:rsid w:val="00DD36B0"/>
    <w:rsid w:val="00DD3E65"/>
    <w:rsid w:val="00DE1EE3"/>
    <w:rsid w:val="00DE2C18"/>
    <w:rsid w:val="00DE3000"/>
    <w:rsid w:val="00DE61A4"/>
    <w:rsid w:val="00E00DD8"/>
    <w:rsid w:val="00E05E53"/>
    <w:rsid w:val="00E173A2"/>
    <w:rsid w:val="00E60CBC"/>
    <w:rsid w:val="00E75BAE"/>
    <w:rsid w:val="00E804DE"/>
    <w:rsid w:val="00E8117B"/>
    <w:rsid w:val="00E90E5D"/>
    <w:rsid w:val="00E937EC"/>
    <w:rsid w:val="00EA3EA6"/>
    <w:rsid w:val="00EA4FB3"/>
    <w:rsid w:val="00EB30F1"/>
    <w:rsid w:val="00EB4505"/>
    <w:rsid w:val="00EB45D2"/>
    <w:rsid w:val="00EC308D"/>
    <w:rsid w:val="00EC3F1A"/>
    <w:rsid w:val="00ED3B5E"/>
    <w:rsid w:val="00ED3FCB"/>
    <w:rsid w:val="00EF0C6F"/>
    <w:rsid w:val="00EF2D56"/>
    <w:rsid w:val="00EF4235"/>
    <w:rsid w:val="00EF50A5"/>
    <w:rsid w:val="00EF6686"/>
    <w:rsid w:val="00EF6973"/>
    <w:rsid w:val="00F05BD4"/>
    <w:rsid w:val="00F133D8"/>
    <w:rsid w:val="00F22CDC"/>
    <w:rsid w:val="00F24A78"/>
    <w:rsid w:val="00F26542"/>
    <w:rsid w:val="00F34FEC"/>
    <w:rsid w:val="00F52F55"/>
    <w:rsid w:val="00F8131D"/>
    <w:rsid w:val="00F85945"/>
    <w:rsid w:val="00F87E16"/>
    <w:rsid w:val="00F946F5"/>
    <w:rsid w:val="00FA4206"/>
    <w:rsid w:val="00FB1B60"/>
    <w:rsid w:val="00FC454F"/>
    <w:rsid w:val="00FC7DFB"/>
    <w:rsid w:val="00FE5BDD"/>
    <w:rsid w:val="00FF0812"/>
    <w:rsid w:val="00FF29AD"/>
    <w:rsid w:val="00FF2D21"/>
    <w:rsid w:val="00FF5AF6"/>
    <w:rsid w:val="00FF7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2F45"/>
  <w15:docId w15:val="{C49A5823-367C-4440-B417-F170D5A7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6B1E"/>
    <w:pPr>
      <w:spacing w:after="0" w:line="240" w:lineRule="auto"/>
    </w:pPr>
    <w:rPr>
      <w:rFonts w:ascii="Arial" w:eastAsia="Times New Roman" w:hAnsi="Arial" w:cs="Arial"/>
      <w:sz w:val="20"/>
      <w:szCs w:val="20"/>
      <w:lang w:val="nl"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D6B1E"/>
    <w:pPr>
      <w:autoSpaceDE w:val="0"/>
      <w:autoSpaceDN w:val="0"/>
      <w:adjustRightInd w:val="0"/>
      <w:spacing w:after="0" w:line="240" w:lineRule="auto"/>
    </w:pPr>
    <w:rPr>
      <w:rFonts w:ascii="OOBLM P+ Univers" w:eastAsia="Times New Roman" w:hAnsi="OOBLM P+ Univers" w:cs="OOBLM P+ Univers"/>
      <w:color w:val="000000"/>
      <w:sz w:val="24"/>
      <w:szCs w:val="24"/>
      <w:lang w:eastAsia="nl-NL"/>
    </w:rPr>
  </w:style>
  <w:style w:type="paragraph" w:styleId="Lijstalinea">
    <w:name w:val="List Paragraph"/>
    <w:basedOn w:val="Standaard"/>
    <w:uiPriority w:val="34"/>
    <w:qFormat/>
    <w:rsid w:val="002D6B1E"/>
    <w:pPr>
      <w:ind w:left="720"/>
      <w:contextualSpacing/>
    </w:pPr>
  </w:style>
  <w:style w:type="paragraph" w:styleId="Voetnoottekst">
    <w:name w:val="footnote text"/>
    <w:basedOn w:val="Standaard"/>
    <w:link w:val="VoetnoottekstChar"/>
    <w:uiPriority w:val="99"/>
    <w:unhideWhenUsed/>
    <w:rsid w:val="005B47C3"/>
  </w:style>
  <w:style w:type="character" w:customStyle="1" w:styleId="VoetnoottekstChar">
    <w:name w:val="Voetnoottekst Char"/>
    <w:basedOn w:val="Standaardalinea-lettertype"/>
    <w:link w:val="Voetnoottekst"/>
    <w:uiPriority w:val="99"/>
    <w:rsid w:val="005B47C3"/>
    <w:rPr>
      <w:rFonts w:ascii="Arial" w:eastAsia="Times New Roman" w:hAnsi="Arial" w:cs="Arial"/>
      <w:sz w:val="20"/>
      <w:szCs w:val="20"/>
      <w:lang w:val="nl" w:eastAsia="nl-NL"/>
    </w:rPr>
  </w:style>
  <w:style w:type="character" w:styleId="Voetnootmarkering">
    <w:name w:val="footnote reference"/>
    <w:basedOn w:val="Standaardalinea-lettertype"/>
    <w:uiPriority w:val="99"/>
    <w:semiHidden/>
    <w:unhideWhenUsed/>
    <w:rsid w:val="005B47C3"/>
    <w:rPr>
      <w:vertAlign w:val="superscript"/>
    </w:rPr>
  </w:style>
  <w:style w:type="paragraph" w:styleId="Koptekst">
    <w:name w:val="header"/>
    <w:basedOn w:val="Standaard"/>
    <w:link w:val="KoptekstChar"/>
    <w:uiPriority w:val="99"/>
    <w:semiHidden/>
    <w:unhideWhenUsed/>
    <w:rsid w:val="00CC64F0"/>
    <w:pPr>
      <w:tabs>
        <w:tab w:val="center" w:pos="4536"/>
        <w:tab w:val="right" w:pos="9072"/>
      </w:tabs>
    </w:pPr>
  </w:style>
  <w:style w:type="character" w:customStyle="1" w:styleId="KoptekstChar">
    <w:name w:val="Koptekst Char"/>
    <w:basedOn w:val="Standaardalinea-lettertype"/>
    <w:link w:val="Koptekst"/>
    <w:uiPriority w:val="99"/>
    <w:semiHidden/>
    <w:rsid w:val="00CC64F0"/>
    <w:rPr>
      <w:rFonts w:ascii="Arial" w:eastAsia="Times New Roman" w:hAnsi="Arial" w:cs="Arial"/>
      <w:sz w:val="20"/>
      <w:szCs w:val="20"/>
      <w:lang w:val="nl" w:eastAsia="nl-NL"/>
    </w:rPr>
  </w:style>
  <w:style w:type="paragraph" w:styleId="Voettekst">
    <w:name w:val="footer"/>
    <w:basedOn w:val="Standaard"/>
    <w:link w:val="VoettekstChar"/>
    <w:uiPriority w:val="99"/>
    <w:semiHidden/>
    <w:unhideWhenUsed/>
    <w:rsid w:val="00CC64F0"/>
    <w:pPr>
      <w:tabs>
        <w:tab w:val="center" w:pos="4536"/>
        <w:tab w:val="right" w:pos="9072"/>
      </w:tabs>
    </w:pPr>
  </w:style>
  <w:style w:type="character" w:customStyle="1" w:styleId="VoettekstChar">
    <w:name w:val="Voettekst Char"/>
    <w:basedOn w:val="Standaardalinea-lettertype"/>
    <w:link w:val="Voettekst"/>
    <w:uiPriority w:val="99"/>
    <w:semiHidden/>
    <w:rsid w:val="00CC64F0"/>
    <w:rPr>
      <w:rFonts w:ascii="Arial" w:eastAsia="Times New Roman" w:hAnsi="Arial" w:cs="Arial"/>
      <w:sz w:val="20"/>
      <w:szCs w:val="20"/>
      <w:lang w:val="nl" w:eastAsia="nl-NL"/>
    </w:rPr>
  </w:style>
  <w:style w:type="paragraph" w:styleId="Tekstzonderopmaak">
    <w:name w:val="Plain Text"/>
    <w:basedOn w:val="Standaard"/>
    <w:link w:val="TekstzonderopmaakChar"/>
    <w:uiPriority w:val="99"/>
    <w:unhideWhenUsed/>
    <w:rsid w:val="006061CF"/>
    <w:rPr>
      <w:rFonts w:ascii="Verdana" w:eastAsiaTheme="minorHAnsi" w:hAnsi="Verdana" w:cstheme="minorBidi"/>
      <w:sz w:val="18"/>
      <w:szCs w:val="21"/>
      <w:lang w:val="nl-NL" w:eastAsia="en-US"/>
    </w:rPr>
  </w:style>
  <w:style w:type="character" w:customStyle="1" w:styleId="TekstzonderopmaakChar">
    <w:name w:val="Tekst zonder opmaak Char"/>
    <w:basedOn w:val="Standaardalinea-lettertype"/>
    <w:link w:val="Tekstzonderopmaak"/>
    <w:uiPriority w:val="99"/>
    <w:rsid w:val="006061CF"/>
    <w:rPr>
      <w:rFonts w:ascii="Verdana" w:hAnsi="Verdana"/>
      <w:sz w:val="18"/>
      <w:szCs w:val="21"/>
    </w:rPr>
  </w:style>
  <w:style w:type="character" w:styleId="Intensievebenadrukking">
    <w:name w:val="Intense Emphasis"/>
    <w:basedOn w:val="Standaardalinea-lettertype"/>
    <w:uiPriority w:val="21"/>
    <w:qFormat/>
    <w:rsid w:val="006A59FE"/>
    <w:rPr>
      <w:b/>
      <w:bCs/>
      <w:i/>
      <w:iCs/>
      <w:color w:val="4F81BD" w:themeColor="accent1"/>
    </w:rPr>
  </w:style>
  <w:style w:type="paragraph" w:styleId="Ballontekst">
    <w:name w:val="Balloon Text"/>
    <w:basedOn w:val="Standaard"/>
    <w:link w:val="BallontekstChar"/>
    <w:uiPriority w:val="99"/>
    <w:semiHidden/>
    <w:unhideWhenUsed/>
    <w:rsid w:val="007F0EE8"/>
    <w:rPr>
      <w:rFonts w:ascii="Tahoma" w:hAnsi="Tahoma" w:cs="Tahoma"/>
      <w:sz w:val="16"/>
      <w:szCs w:val="16"/>
    </w:rPr>
  </w:style>
  <w:style w:type="character" w:customStyle="1" w:styleId="BallontekstChar">
    <w:name w:val="Ballontekst Char"/>
    <w:basedOn w:val="Standaardalinea-lettertype"/>
    <w:link w:val="Ballontekst"/>
    <w:uiPriority w:val="99"/>
    <w:semiHidden/>
    <w:rsid w:val="007F0EE8"/>
    <w:rPr>
      <w:rFonts w:ascii="Tahoma" w:eastAsia="Times New Roman" w:hAnsi="Tahoma" w:cs="Tahoma"/>
      <w:sz w:val="16"/>
      <w:szCs w:val="16"/>
      <w:lang w:val="nl" w:eastAsia="nl-NL"/>
    </w:rPr>
  </w:style>
  <w:style w:type="character" w:styleId="Verwijzingopmerking">
    <w:name w:val="annotation reference"/>
    <w:basedOn w:val="Standaardalinea-lettertype"/>
    <w:uiPriority w:val="99"/>
    <w:semiHidden/>
    <w:unhideWhenUsed/>
    <w:rsid w:val="00DA327C"/>
    <w:rPr>
      <w:sz w:val="16"/>
      <w:szCs w:val="16"/>
    </w:rPr>
  </w:style>
  <w:style w:type="paragraph" w:styleId="Tekstopmerking">
    <w:name w:val="annotation text"/>
    <w:basedOn w:val="Standaard"/>
    <w:link w:val="TekstopmerkingChar"/>
    <w:uiPriority w:val="99"/>
    <w:unhideWhenUsed/>
    <w:rsid w:val="00DA327C"/>
  </w:style>
  <w:style w:type="character" w:customStyle="1" w:styleId="TekstopmerkingChar">
    <w:name w:val="Tekst opmerking Char"/>
    <w:basedOn w:val="Standaardalinea-lettertype"/>
    <w:link w:val="Tekstopmerking"/>
    <w:uiPriority w:val="99"/>
    <w:rsid w:val="00DA327C"/>
    <w:rPr>
      <w:rFonts w:ascii="Arial" w:eastAsia="Times New Roman" w:hAnsi="Arial" w:cs="Arial"/>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DA327C"/>
    <w:rPr>
      <w:b/>
      <w:bCs/>
    </w:rPr>
  </w:style>
  <w:style w:type="character" w:customStyle="1" w:styleId="OnderwerpvanopmerkingChar">
    <w:name w:val="Onderwerp van opmerking Char"/>
    <w:basedOn w:val="TekstopmerkingChar"/>
    <w:link w:val="Onderwerpvanopmerking"/>
    <w:uiPriority w:val="99"/>
    <w:semiHidden/>
    <w:rsid w:val="00DA327C"/>
    <w:rPr>
      <w:rFonts w:ascii="Arial" w:eastAsia="Times New Roman" w:hAnsi="Arial" w:cs="Arial"/>
      <w:b/>
      <w:bCs/>
      <w:sz w:val="20"/>
      <w:szCs w:val="20"/>
      <w:lang w:val="nl" w:eastAsia="nl-NL"/>
    </w:rPr>
  </w:style>
  <w:style w:type="paragraph" w:styleId="Revisie">
    <w:name w:val="Revision"/>
    <w:hidden/>
    <w:uiPriority w:val="99"/>
    <w:semiHidden/>
    <w:rsid w:val="00C90E7C"/>
    <w:pPr>
      <w:spacing w:after="0" w:line="240" w:lineRule="auto"/>
    </w:pPr>
    <w:rPr>
      <w:rFonts w:ascii="Arial" w:eastAsia="Times New Roman" w:hAnsi="Arial" w:cs="Arial"/>
      <w:sz w:val="20"/>
      <w:szCs w:val="20"/>
      <w:lang w:val="nl" w:eastAsia="nl-NL"/>
    </w:rPr>
  </w:style>
  <w:style w:type="table" w:styleId="Tabelraster">
    <w:name w:val="Table Grid"/>
    <w:basedOn w:val="Standaardtabel"/>
    <w:uiPriority w:val="59"/>
    <w:rsid w:val="004B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314C4"/>
    <w:pPr>
      <w:numPr>
        <w:numId w:val="16"/>
      </w:numPr>
      <w:spacing w:line="240" w:lineRule="atLeast"/>
    </w:pPr>
    <w:rPr>
      <w:rFonts w:ascii="Verdana" w:hAnsi="Verdana" w:cs="Times New Roman"/>
      <w:noProof/>
      <w:sz w:val="18"/>
      <w:szCs w:val="24"/>
      <w:lang w:val="nl-NL"/>
    </w:rPr>
  </w:style>
  <w:style w:type="character" w:styleId="Hyperlink">
    <w:name w:val="Hyperlink"/>
    <w:basedOn w:val="Standaardalinea-lettertype"/>
    <w:uiPriority w:val="99"/>
    <w:unhideWhenUsed/>
    <w:rsid w:val="00085D6A"/>
    <w:rPr>
      <w:color w:val="0000FF"/>
      <w:u w:val="single"/>
    </w:rPr>
  </w:style>
  <w:style w:type="character" w:styleId="Onopgelostemelding">
    <w:name w:val="Unresolved Mention"/>
    <w:basedOn w:val="Standaardalinea-lettertype"/>
    <w:uiPriority w:val="99"/>
    <w:semiHidden/>
    <w:unhideWhenUsed/>
    <w:rsid w:val="0034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022">
      <w:bodyDiv w:val="1"/>
      <w:marLeft w:val="0"/>
      <w:marRight w:val="0"/>
      <w:marTop w:val="0"/>
      <w:marBottom w:val="0"/>
      <w:divBdr>
        <w:top w:val="none" w:sz="0" w:space="0" w:color="auto"/>
        <w:left w:val="none" w:sz="0" w:space="0" w:color="auto"/>
        <w:bottom w:val="none" w:sz="0" w:space="0" w:color="auto"/>
        <w:right w:val="none" w:sz="0" w:space="0" w:color="auto"/>
      </w:divBdr>
    </w:div>
    <w:div w:id="208104470">
      <w:bodyDiv w:val="1"/>
      <w:marLeft w:val="0"/>
      <w:marRight w:val="0"/>
      <w:marTop w:val="0"/>
      <w:marBottom w:val="0"/>
      <w:divBdr>
        <w:top w:val="none" w:sz="0" w:space="0" w:color="auto"/>
        <w:left w:val="none" w:sz="0" w:space="0" w:color="auto"/>
        <w:bottom w:val="none" w:sz="0" w:space="0" w:color="auto"/>
        <w:right w:val="none" w:sz="0" w:space="0" w:color="auto"/>
      </w:divBdr>
    </w:div>
    <w:div w:id="241719359">
      <w:bodyDiv w:val="1"/>
      <w:marLeft w:val="0"/>
      <w:marRight w:val="0"/>
      <w:marTop w:val="0"/>
      <w:marBottom w:val="0"/>
      <w:divBdr>
        <w:top w:val="none" w:sz="0" w:space="0" w:color="auto"/>
        <w:left w:val="none" w:sz="0" w:space="0" w:color="auto"/>
        <w:bottom w:val="none" w:sz="0" w:space="0" w:color="auto"/>
        <w:right w:val="none" w:sz="0" w:space="0" w:color="auto"/>
      </w:divBdr>
    </w:div>
    <w:div w:id="354232321">
      <w:bodyDiv w:val="1"/>
      <w:marLeft w:val="0"/>
      <w:marRight w:val="0"/>
      <w:marTop w:val="0"/>
      <w:marBottom w:val="0"/>
      <w:divBdr>
        <w:top w:val="none" w:sz="0" w:space="0" w:color="auto"/>
        <w:left w:val="none" w:sz="0" w:space="0" w:color="auto"/>
        <w:bottom w:val="none" w:sz="0" w:space="0" w:color="auto"/>
        <w:right w:val="none" w:sz="0" w:space="0" w:color="auto"/>
      </w:divBdr>
    </w:div>
    <w:div w:id="532042561">
      <w:bodyDiv w:val="1"/>
      <w:marLeft w:val="0"/>
      <w:marRight w:val="0"/>
      <w:marTop w:val="0"/>
      <w:marBottom w:val="0"/>
      <w:divBdr>
        <w:top w:val="none" w:sz="0" w:space="0" w:color="auto"/>
        <w:left w:val="none" w:sz="0" w:space="0" w:color="auto"/>
        <w:bottom w:val="none" w:sz="0" w:space="0" w:color="auto"/>
        <w:right w:val="none" w:sz="0" w:space="0" w:color="auto"/>
      </w:divBdr>
    </w:div>
    <w:div w:id="604576740">
      <w:bodyDiv w:val="1"/>
      <w:marLeft w:val="0"/>
      <w:marRight w:val="0"/>
      <w:marTop w:val="0"/>
      <w:marBottom w:val="0"/>
      <w:divBdr>
        <w:top w:val="none" w:sz="0" w:space="0" w:color="auto"/>
        <w:left w:val="none" w:sz="0" w:space="0" w:color="auto"/>
        <w:bottom w:val="none" w:sz="0" w:space="0" w:color="auto"/>
        <w:right w:val="none" w:sz="0" w:space="0" w:color="auto"/>
      </w:divBdr>
    </w:div>
    <w:div w:id="634916950">
      <w:bodyDiv w:val="1"/>
      <w:marLeft w:val="0"/>
      <w:marRight w:val="0"/>
      <w:marTop w:val="0"/>
      <w:marBottom w:val="0"/>
      <w:divBdr>
        <w:top w:val="none" w:sz="0" w:space="0" w:color="auto"/>
        <w:left w:val="none" w:sz="0" w:space="0" w:color="auto"/>
        <w:bottom w:val="none" w:sz="0" w:space="0" w:color="auto"/>
        <w:right w:val="none" w:sz="0" w:space="0" w:color="auto"/>
      </w:divBdr>
    </w:div>
    <w:div w:id="642464528">
      <w:bodyDiv w:val="1"/>
      <w:marLeft w:val="0"/>
      <w:marRight w:val="0"/>
      <w:marTop w:val="0"/>
      <w:marBottom w:val="0"/>
      <w:divBdr>
        <w:top w:val="none" w:sz="0" w:space="0" w:color="auto"/>
        <w:left w:val="none" w:sz="0" w:space="0" w:color="auto"/>
        <w:bottom w:val="none" w:sz="0" w:space="0" w:color="auto"/>
        <w:right w:val="none" w:sz="0" w:space="0" w:color="auto"/>
      </w:divBdr>
    </w:div>
    <w:div w:id="733308904">
      <w:bodyDiv w:val="1"/>
      <w:marLeft w:val="0"/>
      <w:marRight w:val="0"/>
      <w:marTop w:val="0"/>
      <w:marBottom w:val="0"/>
      <w:divBdr>
        <w:top w:val="none" w:sz="0" w:space="0" w:color="auto"/>
        <w:left w:val="none" w:sz="0" w:space="0" w:color="auto"/>
        <w:bottom w:val="none" w:sz="0" w:space="0" w:color="auto"/>
        <w:right w:val="none" w:sz="0" w:space="0" w:color="auto"/>
      </w:divBdr>
    </w:div>
    <w:div w:id="920797269">
      <w:bodyDiv w:val="1"/>
      <w:marLeft w:val="0"/>
      <w:marRight w:val="0"/>
      <w:marTop w:val="0"/>
      <w:marBottom w:val="0"/>
      <w:divBdr>
        <w:top w:val="none" w:sz="0" w:space="0" w:color="auto"/>
        <w:left w:val="none" w:sz="0" w:space="0" w:color="auto"/>
        <w:bottom w:val="none" w:sz="0" w:space="0" w:color="auto"/>
        <w:right w:val="none" w:sz="0" w:space="0" w:color="auto"/>
      </w:divBdr>
    </w:div>
    <w:div w:id="1021054827">
      <w:bodyDiv w:val="1"/>
      <w:marLeft w:val="0"/>
      <w:marRight w:val="0"/>
      <w:marTop w:val="0"/>
      <w:marBottom w:val="0"/>
      <w:divBdr>
        <w:top w:val="none" w:sz="0" w:space="0" w:color="auto"/>
        <w:left w:val="none" w:sz="0" w:space="0" w:color="auto"/>
        <w:bottom w:val="none" w:sz="0" w:space="0" w:color="auto"/>
        <w:right w:val="none" w:sz="0" w:space="0" w:color="auto"/>
      </w:divBdr>
    </w:div>
    <w:div w:id="1038167001">
      <w:bodyDiv w:val="1"/>
      <w:marLeft w:val="0"/>
      <w:marRight w:val="0"/>
      <w:marTop w:val="0"/>
      <w:marBottom w:val="0"/>
      <w:divBdr>
        <w:top w:val="none" w:sz="0" w:space="0" w:color="auto"/>
        <w:left w:val="none" w:sz="0" w:space="0" w:color="auto"/>
        <w:bottom w:val="none" w:sz="0" w:space="0" w:color="auto"/>
        <w:right w:val="none" w:sz="0" w:space="0" w:color="auto"/>
      </w:divBdr>
    </w:div>
    <w:div w:id="1187258344">
      <w:bodyDiv w:val="1"/>
      <w:marLeft w:val="0"/>
      <w:marRight w:val="0"/>
      <w:marTop w:val="0"/>
      <w:marBottom w:val="0"/>
      <w:divBdr>
        <w:top w:val="none" w:sz="0" w:space="0" w:color="auto"/>
        <w:left w:val="none" w:sz="0" w:space="0" w:color="auto"/>
        <w:bottom w:val="none" w:sz="0" w:space="0" w:color="auto"/>
        <w:right w:val="none" w:sz="0" w:space="0" w:color="auto"/>
      </w:divBdr>
    </w:div>
    <w:div w:id="1194920910">
      <w:bodyDiv w:val="1"/>
      <w:marLeft w:val="0"/>
      <w:marRight w:val="0"/>
      <w:marTop w:val="0"/>
      <w:marBottom w:val="0"/>
      <w:divBdr>
        <w:top w:val="none" w:sz="0" w:space="0" w:color="auto"/>
        <w:left w:val="none" w:sz="0" w:space="0" w:color="auto"/>
        <w:bottom w:val="none" w:sz="0" w:space="0" w:color="auto"/>
        <w:right w:val="none" w:sz="0" w:space="0" w:color="auto"/>
      </w:divBdr>
      <w:divsChild>
        <w:div w:id="1728213902">
          <w:marLeft w:val="0"/>
          <w:marRight w:val="0"/>
          <w:marTop w:val="0"/>
          <w:marBottom w:val="0"/>
          <w:divBdr>
            <w:top w:val="none" w:sz="0" w:space="0" w:color="auto"/>
            <w:left w:val="none" w:sz="0" w:space="0" w:color="auto"/>
            <w:bottom w:val="none" w:sz="0" w:space="0" w:color="auto"/>
            <w:right w:val="none" w:sz="0" w:space="0" w:color="auto"/>
          </w:divBdr>
          <w:divsChild>
            <w:div w:id="750002514">
              <w:marLeft w:val="0"/>
              <w:marRight w:val="0"/>
              <w:marTop w:val="0"/>
              <w:marBottom w:val="0"/>
              <w:divBdr>
                <w:top w:val="none" w:sz="0" w:space="0" w:color="auto"/>
                <w:left w:val="none" w:sz="0" w:space="0" w:color="auto"/>
                <w:bottom w:val="none" w:sz="0" w:space="0" w:color="auto"/>
                <w:right w:val="none" w:sz="0" w:space="0" w:color="auto"/>
              </w:divBdr>
              <w:divsChild>
                <w:div w:id="845898687">
                  <w:marLeft w:val="0"/>
                  <w:marRight w:val="0"/>
                  <w:marTop w:val="0"/>
                  <w:marBottom w:val="0"/>
                  <w:divBdr>
                    <w:top w:val="none" w:sz="0" w:space="0" w:color="auto"/>
                    <w:left w:val="none" w:sz="0" w:space="0" w:color="auto"/>
                    <w:bottom w:val="none" w:sz="0" w:space="0" w:color="auto"/>
                    <w:right w:val="none" w:sz="0" w:space="0" w:color="auto"/>
                  </w:divBdr>
                  <w:divsChild>
                    <w:div w:id="53509654">
                      <w:marLeft w:val="0"/>
                      <w:marRight w:val="0"/>
                      <w:marTop w:val="0"/>
                      <w:marBottom w:val="0"/>
                      <w:divBdr>
                        <w:top w:val="none" w:sz="0" w:space="0" w:color="auto"/>
                        <w:left w:val="none" w:sz="0" w:space="0" w:color="auto"/>
                        <w:bottom w:val="none" w:sz="0" w:space="0" w:color="auto"/>
                        <w:right w:val="none" w:sz="0" w:space="0" w:color="auto"/>
                      </w:divBdr>
                      <w:divsChild>
                        <w:div w:id="1580090046">
                          <w:marLeft w:val="0"/>
                          <w:marRight w:val="0"/>
                          <w:marTop w:val="0"/>
                          <w:marBottom w:val="0"/>
                          <w:divBdr>
                            <w:top w:val="none" w:sz="0" w:space="0" w:color="auto"/>
                            <w:left w:val="none" w:sz="0" w:space="0" w:color="auto"/>
                            <w:bottom w:val="none" w:sz="0" w:space="0" w:color="auto"/>
                            <w:right w:val="none" w:sz="0" w:space="0" w:color="auto"/>
                          </w:divBdr>
                          <w:divsChild>
                            <w:div w:id="839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86498">
      <w:bodyDiv w:val="1"/>
      <w:marLeft w:val="0"/>
      <w:marRight w:val="0"/>
      <w:marTop w:val="0"/>
      <w:marBottom w:val="0"/>
      <w:divBdr>
        <w:top w:val="none" w:sz="0" w:space="0" w:color="auto"/>
        <w:left w:val="none" w:sz="0" w:space="0" w:color="auto"/>
        <w:bottom w:val="none" w:sz="0" w:space="0" w:color="auto"/>
        <w:right w:val="none" w:sz="0" w:space="0" w:color="auto"/>
      </w:divBdr>
    </w:div>
    <w:div w:id="1271932224">
      <w:bodyDiv w:val="1"/>
      <w:marLeft w:val="0"/>
      <w:marRight w:val="0"/>
      <w:marTop w:val="0"/>
      <w:marBottom w:val="0"/>
      <w:divBdr>
        <w:top w:val="none" w:sz="0" w:space="0" w:color="auto"/>
        <w:left w:val="none" w:sz="0" w:space="0" w:color="auto"/>
        <w:bottom w:val="none" w:sz="0" w:space="0" w:color="auto"/>
        <w:right w:val="none" w:sz="0" w:space="0" w:color="auto"/>
      </w:divBdr>
    </w:div>
    <w:div w:id="1305621380">
      <w:bodyDiv w:val="1"/>
      <w:marLeft w:val="0"/>
      <w:marRight w:val="0"/>
      <w:marTop w:val="0"/>
      <w:marBottom w:val="0"/>
      <w:divBdr>
        <w:top w:val="none" w:sz="0" w:space="0" w:color="auto"/>
        <w:left w:val="none" w:sz="0" w:space="0" w:color="auto"/>
        <w:bottom w:val="none" w:sz="0" w:space="0" w:color="auto"/>
        <w:right w:val="none" w:sz="0" w:space="0" w:color="auto"/>
      </w:divBdr>
    </w:div>
    <w:div w:id="1314093433">
      <w:bodyDiv w:val="1"/>
      <w:marLeft w:val="0"/>
      <w:marRight w:val="0"/>
      <w:marTop w:val="0"/>
      <w:marBottom w:val="0"/>
      <w:divBdr>
        <w:top w:val="none" w:sz="0" w:space="0" w:color="auto"/>
        <w:left w:val="none" w:sz="0" w:space="0" w:color="auto"/>
        <w:bottom w:val="none" w:sz="0" w:space="0" w:color="auto"/>
        <w:right w:val="none" w:sz="0" w:space="0" w:color="auto"/>
      </w:divBdr>
    </w:div>
    <w:div w:id="1324816936">
      <w:bodyDiv w:val="1"/>
      <w:marLeft w:val="0"/>
      <w:marRight w:val="0"/>
      <w:marTop w:val="0"/>
      <w:marBottom w:val="0"/>
      <w:divBdr>
        <w:top w:val="none" w:sz="0" w:space="0" w:color="auto"/>
        <w:left w:val="none" w:sz="0" w:space="0" w:color="auto"/>
        <w:bottom w:val="none" w:sz="0" w:space="0" w:color="auto"/>
        <w:right w:val="none" w:sz="0" w:space="0" w:color="auto"/>
      </w:divBdr>
    </w:div>
    <w:div w:id="1344745834">
      <w:bodyDiv w:val="1"/>
      <w:marLeft w:val="0"/>
      <w:marRight w:val="0"/>
      <w:marTop w:val="0"/>
      <w:marBottom w:val="0"/>
      <w:divBdr>
        <w:top w:val="none" w:sz="0" w:space="0" w:color="auto"/>
        <w:left w:val="none" w:sz="0" w:space="0" w:color="auto"/>
        <w:bottom w:val="none" w:sz="0" w:space="0" w:color="auto"/>
        <w:right w:val="none" w:sz="0" w:space="0" w:color="auto"/>
      </w:divBdr>
    </w:div>
    <w:div w:id="1396851349">
      <w:bodyDiv w:val="1"/>
      <w:marLeft w:val="0"/>
      <w:marRight w:val="0"/>
      <w:marTop w:val="0"/>
      <w:marBottom w:val="0"/>
      <w:divBdr>
        <w:top w:val="none" w:sz="0" w:space="0" w:color="auto"/>
        <w:left w:val="none" w:sz="0" w:space="0" w:color="auto"/>
        <w:bottom w:val="none" w:sz="0" w:space="0" w:color="auto"/>
        <w:right w:val="none" w:sz="0" w:space="0" w:color="auto"/>
      </w:divBdr>
    </w:div>
    <w:div w:id="1407848998">
      <w:bodyDiv w:val="1"/>
      <w:marLeft w:val="0"/>
      <w:marRight w:val="0"/>
      <w:marTop w:val="0"/>
      <w:marBottom w:val="0"/>
      <w:divBdr>
        <w:top w:val="none" w:sz="0" w:space="0" w:color="auto"/>
        <w:left w:val="none" w:sz="0" w:space="0" w:color="auto"/>
        <w:bottom w:val="none" w:sz="0" w:space="0" w:color="auto"/>
        <w:right w:val="none" w:sz="0" w:space="0" w:color="auto"/>
      </w:divBdr>
    </w:div>
    <w:div w:id="1528330150">
      <w:bodyDiv w:val="1"/>
      <w:marLeft w:val="0"/>
      <w:marRight w:val="0"/>
      <w:marTop w:val="0"/>
      <w:marBottom w:val="0"/>
      <w:divBdr>
        <w:top w:val="none" w:sz="0" w:space="0" w:color="auto"/>
        <w:left w:val="none" w:sz="0" w:space="0" w:color="auto"/>
        <w:bottom w:val="none" w:sz="0" w:space="0" w:color="auto"/>
        <w:right w:val="none" w:sz="0" w:space="0" w:color="auto"/>
      </w:divBdr>
    </w:div>
    <w:div w:id="1533883626">
      <w:bodyDiv w:val="1"/>
      <w:marLeft w:val="0"/>
      <w:marRight w:val="0"/>
      <w:marTop w:val="0"/>
      <w:marBottom w:val="0"/>
      <w:divBdr>
        <w:top w:val="none" w:sz="0" w:space="0" w:color="auto"/>
        <w:left w:val="none" w:sz="0" w:space="0" w:color="auto"/>
        <w:bottom w:val="none" w:sz="0" w:space="0" w:color="auto"/>
        <w:right w:val="none" w:sz="0" w:space="0" w:color="auto"/>
      </w:divBdr>
    </w:div>
    <w:div w:id="1544901230">
      <w:bodyDiv w:val="1"/>
      <w:marLeft w:val="0"/>
      <w:marRight w:val="0"/>
      <w:marTop w:val="0"/>
      <w:marBottom w:val="0"/>
      <w:divBdr>
        <w:top w:val="none" w:sz="0" w:space="0" w:color="auto"/>
        <w:left w:val="none" w:sz="0" w:space="0" w:color="auto"/>
        <w:bottom w:val="none" w:sz="0" w:space="0" w:color="auto"/>
        <w:right w:val="none" w:sz="0" w:space="0" w:color="auto"/>
      </w:divBdr>
    </w:div>
    <w:div w:id="1603025748">
      <w:bodyDiv w:val="1"/>
      <w:marLeft w:val="0"/>
      <w:marRight w:val="0"/>
      <w:marTop w:val="0"/>
      <w:marBottom w:val="0"/>
      <w:divBdr>
        <w:top w:val="none" w:sz="0" w:space="0" w:color="auto"/>
        <w:left w:val="none" w:sz="0" w:space="0" w:color="auto"/>
        <w:bottom w:val="none" w:sz="0" w:space="0" w:color="auto"/>
        <w:right w:val="none" w:sz="0" w:space="0" w:color="auto"/>
      </w:divBdr>
    </w:div>
    <w:div w:id="1653564613">
      <w:bodyDiv w:val="1"/>
      <w:marLeft w:val="0"/>
      <w:marRight w:val="0"/>
      <w:marTop w:val="0"/>
      <w:marBottom w:val="0"/>
      <w:divBdr>
        <w:top w:val="none" w:sz="0" w:space="0" w:color="auto"/>
        <w:left w:val="none" w:sz="0" w:space="0" w:color="auto"/>
        <w:bottom w:val="none" w:sz="0" w:space="0" w:color="auto"/>
        <w:right w:val="none" w:sz="0" w:space="0" w:color="auto"/>
      </w:divBdr>
    </w:div>
    <w:div w:id="1687321996">
      <w:bodyDiv w:val="1"/>
      <w:marLeft w:val="0"/>
      <w:marRight w:val="0"/>
      <w:marTop w:val="0"/>
      <w:marBottom w:val="0"/>
      <w:divBdr>
        <w:top w:val="none" w:sz="0" w:space="0" w:color="auto"/>
        <w:left w:val="none" w:sz="0" w:space="0" w:color="auto"/>
        <w:bottom w:val="none" w:sz="0" w:space="0" w:color="auto"/>
        <w:right w:val="none" w:sz="0" w:space="0" w:color="auto"/>
      </w:divBdr>
    </w:div>
    <w:div w:id="1767188109">
      <w:bodyDiv w:val="1"/>
      <w:marLeft w:val="0"/>
      <w:marRight w:val="0"/>
      <w:marTop w:val="0"/>
      <w:marBottom w:val="0"/>
      <w:divBdr>
        <w:top w:val="none" w:sz="0" w:space="0" w:color="auto"/>
        <w:left w:val="none" w:sz="0" w:space="0" w:color="auto"/>
        <w:bottom w:val="none" w:sz="0" w:space="0" w:color="auto"/>
        <w:right w:val="none" w:sz="0" w:space="0" w:color="auto"/>
      </w:divBdr>
    </w:div>
    <w:div w:id="1770930317">
      <w:bodyDiv w:val="1"/>
      <w:marLeft w:val="0"/>
      <w:marRight w:val="0"/>
      <w:marTop w:val="0"/>
      <w:marBottom w:val="0"/>
      <w:divBdr>
        <w:top w:val="none" w:sz="0" w:space="0" w:color="auto"/>
        <w:left w:val="none" w:sz="0" w:space="0" w:color="auto"/>
        <w:bottom w:val="none" w:sz="0" w:space="0" w:color="auto"/>
        <w:right w:val="none" w:sz="0" w:space="0" w:color="auto"/>
      </w:divBdr>
      <w:divsChild>
        <w:div w:id="337511620">
          <w:marLeft w:val="0"/>
          <w:marRight w:val="0"/>
          <w:marTop w:val="0"/>
          <w:marBottom w:val="0"/>
          <w:divBdr>
            <w:top w:val="none" w:sz="0" w:space="0" w:color="auto"/>
            <w:left w:val="none" w:sz="0" w:space="0" w:color="auto"/>
            <w:bottom w:val="none" w:sz="0" w:space="0" w:color="auto"/>
            <w:right w:val="none" w:sz="0" w:space="0" w:color="auto"/>
          </w:divBdr>
          <w:divsChild>
            <w:div w:id="778644540">
              <w:marLeft w:val="0"/>
              <w:marRight w:val="0"/>
              <w:marTop w:val="0"/>
              <w:marBottom w:val="0"/>
              <w:divBdr>
                <w:top w:val="none" w:sz="0" w:space="0" w:color="auto"/>
                <w:left w:val="none" w:sz="0" w:space="0" w:color="auto"/>
                <w:bottom w:val="none" w:sz="0" w:space="0" w:color="auto"/>
                <w:right w:val="none" w:sz="0" w:space="0" w:color="auto"/>
              </w:divBdr>
              <w:divsChild>
                <w:div w:id="1383209366">
                  <w:marLeft w:val="0"/>
                  <w:marRight w:val="0"/>
                  <w:marTop w:val="0"/>
                  <w:marBottom w:val="0"/>
                  <w:divBdr>
                    <w:top w:val="none" w:sz="0" w:space="0" w:color="auto"/>
                    <w:left w:val="none" w:sz="0" w:space="0" w:color="auto"/>
                    <w:bottom w:val="none" w:sz="0" w:space="0" w:color="auto"/>
                    <w:right w:val="none" w:sz="0" w:space="0" w:color="auto"/>
                  </w:divBdr>
                  <w:divsChild>
                    <w:div w:id="323969800">
                      <w:marLeft w:val="0"/>
                      <w:marRight w:val="0"/>
                      <w:marTop w:val="0"/>
                      <w:marBottom w:val="0"/>
                      <w:divBdr>
                        <w:top w:val="none" w:sz="0" w:space="0" w:color="auto"/>
                        <w:left w:val="none" w:sz="0" w:space="0" w:color="auto"/>
                        <w:bottom w:val="none" w:sz="0" w:space="0" w:color="auto"/>
                        <w:right w:val="none" w:sz="0" w:space="0" w:color="auto"/>
                      </w:divBdr>
                      <w:divsChild>
                        <w:div w:id="2009675990">
                          <w:marLeft w:val="0"/>
                          <w:marRight w:val="0"/>
                          <w:marTop w:val="0"/>
                          <w:marBottom w:val="0"/>
                          <w:divBdr>
                            <w:top w:val="none" w:sz="0" w:space="0" w:color="auto"/>
                            <w:left w:val="none" w:sz="0" w:space="0" w:color="auto"/>
                            <w:bottom w:val="none" w:sz="0" w:space="0" w:color="auto"/>
                            <w:right w:val="none" w:sz="0" w:space="0" w:color="auto"/>
                          </w:divBdr>
                          <w:divsChild>
                            <w:div w:id="13719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5269">
      <w:bodyDiv w:val="1"/>
      <w:marLeft w:val="0"/>
      <w:marRight w:val="0"/>
      <w:marTop w:val="0"/>
      <w:marBottom w:val="0"/>
      <w:divBdr>
        <w:top w:val="none" w:sz="0" w:space="0" w:color="auto"/>
        <w:left w:val="none" w:sz="0" w:space="0" w:color="auto"/>
        <w:bottom w:val="none" w:sz="0" w:space="0" w:color="auto"/>
        <w:right w:val="none" w:sz="0" w:space="0" w:color="auto"/>
      </w:divBdr>
    </w:div>
    <w:div w:id="2021001674">
      <w:bodyDiv w:val="1"/>
      <w:marLeft w:val="0"/>
      <w:marRight w:val="0"/>
      <w:marTop w:val="0"/>
      <w:marBottom w:val="0"/>
      <w:divBdr>
        <w:top w:val="none" w:sz="0" w:space="0" w:color="auto"/>
        <w:left w:val="none" w:sz="0" w:space="0" w:color="auto"/>
        <w:bottom w:val="none" w:sz="0" w:space="0" w:color="auto"/>
        <w:right w:val="none" w:sz="0" w:space="0" w:color="auto"/>
      </w:divBdr>
    </w:div>
    <w:div w:id="21211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3026</ap:Words>
  <ap:Characters>16646</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2025-08-19T10:41:00.0000000Z</dcterms:created>
  <dcterms:modified xsi:type="dcterms:W3CDTF">2025-08-19T10:41:00.0000000Z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2025-02-04T11:27:40Z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aaf383c4-6bf7-45a9-8598-54fca5809212</vt:lpwstr>
  </property>
  <property fmtid="{D5CDD505-2E9C-101B-9397-08002B2CF9AE}" pid="8" name="MSIP_Label_6800fede-0e59-47ad-af95-4e63bbdb932d_ContentBits">
    <vt:lpwstr>0</vt:lpwstr>
  </property>
</Properties>
</file>