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2025Z14662</w:t>
        <w:br/>
      </w:r>
      <w:proofErr w:type="spellEnd"/>
    </w:p>
    <w:p>
      <w:pPr>
        <w:pStyle w:val="Normal"/>
        <w:rPr>
          <w:b w:val="1"/>
          <w:bCs w:val="1"/>
        </w:rPr>
      </w:pPr>
      <w:r w:rsidR="250AE766">
        <w:rPr>
          <w:b w:val="0"/>
          <w:bCs w:val="0"/>
        </w:rPr>
        <w:t>(ingezonden 14 juli 2025)</w:t>
        <w:br/>
      </w:r>
    </w:p>
    <w:p>
      <w:r>
        <w:t xml:space="preserve">Vragen van het lid Becker (VVD) aan de staatssecretaris van Sociale Zaken en Werkgelegenheid over het bericht “Vluchtelingen die niet op tijd inburgeren mogen geen boete krijgen, zegt Raad van State”.</w:t>
      </w:r>
      <w:r>
        <w:br/>
      </w:r>
    </w:p>
    <w:p>
      <w:r>
        <w:t xml:space="preserve"> </w:t>
      </w:r>
      <w:r>
        <w:br/>
      </w:r>
    </w:p>
    <w:p>
      <w:r>
        <w:t xml:space="preserve">1. Bent u bekend met het bericht “Vluchtelingen die niet op tijd inburgeren mogen geen boete krijgen, zegt Raad van State”? 1)</w:t>
      </w:r>
      <w:r>
        <w:br/>
      </w:r>
    </w:p>
    <w:p>
      <w:r>
        <w:t xml:space="preserve">2. Hoe beoordeelt u de uitspraak van de Raad van State dat financiële prikkels voor inburgeraars in strijd zijn met het Europees recht?</w:t>
      </w:r>
      <w:r>
        <w:br/>
      </w:r>
    </w:p>
    <w:p>
      <w:r>
        <w:t xml:space="preserve">3. Kunt u een beeld schetsen welke gevolgen deze uitspraak specifiek heeft voor de uitvoering van de Wet inburgering 2021?</w:t>
      </w:r>
      <w:r>
        <w:br/>
      </w:r>
    </w:p>
    <w:p>
      <w:r>
        <w:t xml:space="preserve">4. De VVD heeft bij de totstandkoming van de Wet inburgering 2021 expliciet gepleit voor het hanteren van prikkels en sancties als ‘stok achter de deur’, welke van deze maatregelen zijn na de uitspraak van de Raad van State juridisch nog houdbaar? Hoe gaat u binnen de beschikbare wettelijke ruimte, zowel binnen als buiten het inburgeringsstelsel (bijvoorbeeld op het gebied van participatie), maximaal gebruikmaken van de mogelijkheden om ervoor te zorgen dat inburgeraars tijdig inburgeren?</w:t>
      </w:r>
      <w:r>
        <w:br/>
      </w:r>
    </w:p>
    <w:p>
      <w:r>
        <w:t xml:space="preserve">5. Welke alternatieven voor het huidige boetesysteem worden op dit moment door u uitgewerkt? Wordt hierbij ook gekeken naar het aanpassen van de grondslag op basis waarvan boetes worden uitgedeeld? Wanneer kan de Kamer hier een brief over verwachten?</w:t>
      </w:r>
      <w:r>
        <w:br/>
      </w:r>
    </w:p>
    <w:p>
      <w:r>
        <w:t xml:space="preserve">6. Hoe zorgt u ervoor dat gemeenten voldoende mogelijkheden behouden om inburgeraars te stimuleren en waar nodig aan te spreken op onvoldoende inzet?</w:t>
      </w:r>
      <w:r>
        <w:br/>
      </w:r>
    </w:p>
    <w:p>
      <w:r>
        <w:t xml:space="preserve">7. Ziet u aanleiding om de huidige wet- en regelgeving rondom inburgering opnieuw te herzien naar aanleiding van deze uitspraak?</w:t>
      </w:r>
      <w:r>
        <w:br/>
      </w:r>
    </w:p>
    <w:p>
      <w:r>
        <w:t xml:space="preserve"> </w:t>
      </w:r>
      <w:r>
        <w:br/>
      </w:r>
    </w:p>
    <w:p>
      <w:r>
        <w:t xml:space="preserve">1) NRC, 9 juli 2025, “Vluchtelingen die niet op tijd inburgeren mogen geen boete krijgen, zegt Raad van State” (https://www.nrc.nl/nieuws/2025/07/09/vluchtelingen-die-niet-op-tijd-inburgeren-mogen-geen-boete-krijgen-zegt-raad-van-state-a4899813).</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30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3080">
    <w:abstractNumId w:val="1004830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