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791E" w:rsidR="00A505E2" w:rsidP="00A505E2" w:rsidRDefault="00A505E2" w14:paraId="7DAF0111" w14:textId="486A78EF">
      <w:pPr>
        <w:spacing w:line="276" w:lineRule="auto"/>
        <w:rPr>
          <w:color w:val="auto"/>
        </w:rPr>
      </w:pPr>
      <w:r w:rsidRPr="0099791E">
        <w:rPr>
          <w:color w:val="auto"/>
        </w:rPr>
        <w:t xml:space="preserve">Hierbij bied ik u het rapport «Incidenten en misdrijven door </w:t>
      </w:r>
      <w:r>
        <w:rPr>
          <w:color w:val="auto"/>
        </w:rPr>
        <w:t xml:space="preserve">bewoners van </w:t>
      </w:r>
      <w:r w:rsidRPr="0099791E">
        <w:rPr>
          <w:color w:val="auto"/>
        </w:rPr>
        <w:t>COA-</w:t>
      </w:r>
      <w:r>
        <w:rPr>
          <w:color w:val="auto"/>
        </w:rPr>
        <w:t xml:space="preserve"> en </w:t>
      </w:r>
      <w:proofErr w:type="spellStart"/>
      <w:r>
        <w:rPr>
          <w:color w:val="auto"/>
        </w:rPr>
        <w:t>tgo</w:t>
      </w:r>
      <w:proofErr w:type="spellEnd"/>
      <w:r>
        <w:rPr>
          <w:color w:val="auto"/>
        </w:rPr>
        <w:t xml:space="preserve">-locaties </w:t>
      </w:r>
      <w:r w:rsidRPr="0099791E">
        <w:rPr>
          <w:color w:val="auto"/>
        </w:rPr>
        <w:t>2017–2024»</w:t>
      </w:r>
      <w:r>
        <w:rPr>
          <w:color w:val="auto"/>
        </w:rPr>
        <w:t xml:space="preserve"> </w:t>
      </w:r>
      <w:r w:rsidRPr="0099791E">
        <w:rPr>
          <w:color w:val="auto"/>
        </w:rPr>
        <w:t>aan. Dit rapport heeft als doel om overlast en criminaliteit door</w:t>
      </w:r>
      <w:r w:rsidR="00381159">
        <w:rPr>
          <w:color w:val="auto"/>
        </w:rPr>
        <w:t xml:space="preserve"> asielzoekers in beeld te brengen, waarbij de doelgroep bestaat uit bewoners van </w:t>
      </w:r>
      <w:r w:rsidRPr="0099791E" w:rsidR="00381159">
        <w:rPr>
          <w:color w:val="auto"/>
        </w:rPr>
        <w:t>COA-</w:t>
      </w:r>
      <w:r w:rsidR="00381159">
        <w:rPr>
          <w:color w:val="auto"/>
        </w:rPr>
        <w:t xml:space="preserve">locaties en </w:t>
      </w:r>
      <w:r w:rsidRPr="00AA3F0C" w:rsidR="00381159">
        <w:rPr>
          <w:color w:val="auto"/>
        </w:rPr>
        <w:t>tijdelijke gemeentelijke opvanglocatie</w:t>
      </w:r>
      <w:r w:rsidR="00381159">
        <w:rPr>
          <w:color w:val="auto"/>
        </w:rPr>
        <w:t>s</w:t>
      </w:r>
      <w:r>
        <w:rPr>
          <w:rStyle w:val="Voetnootmarkering"/>
          <w:color w:val="auto"/>
        </w:rPr>
        <w:footnoteReference w:id="1"/>
      </w:r>
      <w:r w:rsidRPr="0099791E">
        <w:rPr>
          <w:color w:val="auto"/>
        </w:rPr>
        <w:t xml:space="preserve">. De zogeheten Incidentenmonitor wordt jaarlijks verzorgd door het Wetenschappelijk Onderzoek- en </w:t>
      </w:r>
      <w:r>
        <w:rPr>
          <w:color w:val="auto"/>
        </w:rPr>
        <w:t xml:space="preserve">Datacentrum </w:t>
      </w:r>
      <w:r w:rsidRPr="0099791E">
        <w:rPr>
          <w:color w:val="auto"/>
        </w:rPr>
        <w:t>(WODC).</w:t>
      </w:r>
    </w:p>
    <w:p w:rsidR="00A505E2" w:rsidP="00A505E2" w:rsidRDefault="00A505E2" w14:paraId="3DC8EEEC" w14:textId="77777777">
      <w:pPr>
        <w:spacing w:line="276" w:lineRule="auto"/>
        <w:rPr>
          <w:b/>
          <w:bCs/>
          <w:color w:val="auto"/>
        </w:rPr>
      </w:pPr>
    </w:p>
    <w:p w:rsidRPr="006D4228" w:rsidR="00A505E2" w:rsidP="00A505E2" w:rsidRDefault="00A505E2" w14:paraId="6082B66A" w14:textId="77777777">
      <w:pPr>
        <w:spacing w:line="276" w:lineRule="auto"/>
        <w:rPr>
          <w:b/>
          <w:bCs/>
          <w:color w:val="auto"/>
        </w:rPr>
      </w:pPr>
      <w:r w:rsidRPr="006D4228">
        <w:rPr>
          <w:b/>
          <w:bCs/>
          <w:color w:val="auto"/>
        </w:rPr>
        <w:t>Bevindingen WODC-rapport</w:t>
      </w:r>
    </w:p>
    <w:p w:rsidR="00A505E2" w:rsidP="00A505E2" w:rsidRDefault="00A505E2" w14:paraId="119CE2D1" w14:textId="5FD602BA">
      <w:pPr>
        <w:spacing w:line="276" w:lineRule="auto"/>
      </w:pPr>
      <w:r w:rsidRPr="006D4228">
        <w:rPr>
          <w:color w:val="auto"/>
        </w:rPr>
        <w:t>In 2024 waren er 106.065 unieke vreemdelingen die verbleven op een COA-locatie</w:t>
      </w:r>
      <w:r>
        <w:rPr>
          <w:color w:val="auto"/>
        </w:rPr>
        <w:t>, noodopvanglocatie of een tijdelijke gemeentelijke opvanglocatie (</w:t>
      </w:r>
      <w:proofErr w:type="spellStart"/>
      <w:r>
        <w:rPr>
          <w:color w:val="auto"/>
        </w:rPr>
        <w:t>tgo</w:t>
      </w:r>
      <w:proofErr w:type="spellEnd"/>
      <w:r>
        <w:rPr>
          <w:color w:val="auto"/>
        </w:rPr>
        <w:t>).</w:t>
      </w:r>
      <w:bookmarkStart w:name="_Hlk165883987" w:id="0"/>
      <w:r>
        <w:rPr>
          <w:color w:val="auto"/>
        </w:rPr>
        <w:t xml:space="preserve"> Het rapport richt zich enerzijds op incidenten geregistreerd door het COA en anderzijds op misdrijven geregistreerd door politie, Openbaar Ministerie en Rechtspraak. </w:t>
      </w:r>
      <w:r w:rsidRPr="006D4228">
        <w:rPr>
          <w:color w:val="auto"/>
        </w:rPr>
        <w:t>Het aandeel unieke vreemdelingen dat betrokken is geweest bij een</w:t>
      </w:r>
      <w:r>
        <w:rPr>
          <w:color w:val="auto"/>
        </w:rPr>
        <w:t xml:space="preserve"> agressie- of geweldsincident is toegenomen</w:t>
      </w:r>
      <w:r w:rsidR="00B213A0">
        <w:rPr>
          <w:rStyle w:val="Voetnootmarkering"/>
          <w:color w:val="auto"/>
        </w:rPr>
        <w:footnoteReference w:id="2"/>
      </w:r>
      <w:r>
        <w:rPr>
          <w:color w:val="auto"/>
        </w:rPr>
        <w:t xml:space="preserve">. Het aandeel in 2024 was 11% ten opzichte van 9% in 2023. </w:t>
      </w:r>
      <w:r w:rsidRPr="006D4228">
        <w:rPr>
          <w:color w:val="auto"/>
        </w:rPr>
        <w:t xml:space="preserve">Het aandeel unieke vreemdelingen </w:t>
      </w:r>
      <w:r>
        <w:rPr>
          <w:color w:val="auto"/>
        </w:rPr>
        <w:t xml:space="preserve">dat door de politie is geregistreerd </w:t>
      </w:r>
      <w:proofErr w:type="gramStart"/>
      <w:r>
        <w:rPr>
          <w:color w:val="auto"/>
        </w:rPr>
        <w:t>en</w:t>
      </w:r>
      <w:proofErr w:type="gramEnd"/>
      <w:r>
        <w:rPr>
          <w:color w:val="auto"/>
        </w:rPr>
        <w:t xml:space="preserve"> </w:t>
      </w:r>
      <w:r w:rsidRPr="006D4228">
        <w:rPr>
          <w:color w:val="auto"/>
        </w:rPr>
        <w:t xml:space="preserve">dat </w:t>
      </w:r>
      <w:r>
        <w:rPr>
          <w:color w:val="auto"/>
        </w:rPr>
        <w:t xml:space="preserve">verdacht werd van een misdrijf </w:t>
      </w:r>
      <w:r w:rsidRPr="006D4228">
        <w:rPr>
          <w:color w:val="auto"/>
        </w:rPr>
        <w:t xml:space="preserve">is ten opzichte van 2023 </w:t>
      </w:r>
      <w:r>
        <w:rPr>
          <w:color w:val="auto"/>
        </w:rPr>
        <w:t>gelijk gebleven (3%).</w:t>
      </w:r>
    </w:p>
    <w:p w:rsidR="00A505E2" w:rsidP="00A505E2" w:rsidRDefault="00A505E2" w14:paraId="4AB62B64" w14:textId="77777777">
      <w:pPr>
        <w:spacing w:line="276" w:lineRule="auto"/>
      </w:pPr>
    </w:p>
    <w:p w:rsidRPr="001A0BB6" w:rsidR="00A505E2" w:rsidP="00A505E2" w:rsidRDefault="00A505E2" w14:paraId="49AB6F66" w14:textId="77777777">
      <w:pPr>
        <w:spacing w:line="276" w:lineRule="auto"/>
        <w:rPr>
          <w:i/>
          <w:iCs/>
        </w:rPr>
      </w:pPr>
      <w:r>
        <w:rPr>
          <w:i/>
          <w:iCs/>
        </w:rPr>
        <w:t>Incidenten</w:t>
      </w:r>
    </w:p>
    <w:p w:rsidR="00A505E2" w:rsidP="00A505E2" w:rsidRDefault="00A505E2" w14:paraId="50DD6E40" w14:textId="77777777">
      <w:pPr>
        <w:spacing w:line="276" w:lineRule="auto"/>
      </w:pPr>
      <w:r w:rsidRPr="001B5E26">
        <w:t xml:space="preserve">In </w:t>
      </w:r>
      <w:r>
        <w:t xml:space="preserve">2024 </w:t>
      </w:r>
      <w:r w:rsidRPr="001B5E26">
        <w:t xml:space="preserve">registreerde COA </w:t>
      </w:r>
      <w:r>
        <w:t xml:space="preserve">16.200 </w:t>
      </w:r>
      <w:r w:rsidRPr="001B5E26">
        <w:t xml:space="preserve">incidenten van verbale suïcidedreiging, zelfdestructieve acties en fysieke, verbale en non-verbale agressie en geweld. Dit is een toename </w:t>
      </w:r>
      <w:r>
        <w:t xml:space="preserve">van 21% </w:t>
      </w:r>
      <w:r w:rsidRPr="001B5E26">
        <w:t xml:space="preserve">ten opzichte van een jaar eerder, toen er </w:t>
      </w:r>
      <w:r>
        <w:t xml:space="preserve">13.380 </w:t>
      </w:r>
      <w:r w:rsidRPr="001B5E26">
        <w:t>incidenten werden geregistreerd.</w:t>
      </w:r>
      <w:r>
        <w:t xml:space="preserve"> </w:t>
      </w:r>
      <w:r w:rsidRPr="006D4228">
        <w:rPr>
          <w:color w:val="auto"/>
        </w:rPr>
        <w:t xml:space="preserve">De stijging in het aantal incidenten lijkt </w:t>
      </w:r>
      <w:r>
        <w:rPr>
          <w:color w:val="auto"/>
        </w:rPr>
        <w:t xml:space="preserve">volgens het WODC </w:t>
      </w:r>
      <w:r w:rsidRPr="006D4228">
        <w:rPr>
          <w:color w:val="auto"/>
        </w:rPr>
        <w:t xml:space="preserve">voor een groot deel samen te hangen met de stijging </w:t>
      </w:r>
      <w:r>
        <w:rPr>
          <w:color w:val="auto"/>
        </w:rPr>
        <w:t>van</w:t>
      </w:r>
      <w:r w:rsidRPr="006D4228">
        <w:rPr>
          <w:color w:val="auto"/>
        </w:rPr>
        <w:t xml:space="preserve"> de gemiddelde </w:t>
      </w:r>
      <w:r>
        <w:rPr>
          <w:color w:val="auto"/>
        </w:rPr>
        <w:t xml:space="preserve">dagelijkse </w:t>
      </w:r>
      <w:r w:rsidRPr="006D4228">
        <w:rPr>
          <w:color w:val="auto"/>
        </w:rPr>
        <w:t>bezetting</w:t>
      </w:r>
      <w:bookmarkStart w:name="_Hlk165885131" w:id="1"/>
      <w:r>
        <w:t xml:space="preserve"> in COA- en </w:t>
      </w:r>
      <w:proofErr w:type="spellStart"/>
      <w:r>
        <w:t>tgo</w:t>
      </w:r>
      <w:proofErr w:type="spellEnd"/>
      <w:r>
        <w:t>-locaties met 24% (van 53.610 in 2023 naar 66.450 in 2024).</w:t>
      </w:r>
      <w:bookmarkEnd w:id="1"/>
    </w:p>
    <w:bookmarkEnd w:id="0"/>
    <w:p w:rsidR="00A505E2" w:rsidP="00A505E2" w:rsidRDefault="00A505E2" w14:paraId="59DB710E" w14:textId="4A9F9358">
      <w:pPr>
        <w:spacing w:line="276" w:lineRule="auto"/>
      </w:pPr>
      <w:r w:rsidRPr="005B4A30">
        <w:t xml:space="preserve">Opvallend is </w:t>
      </w:r>
      <w:r w:rsidR="00A868C1">
        <w:t>he</w:t>
      </w:r>
      <w:r w:rsidRPr="00A868C1" w:rsidR="00A868C1">
        <w:t xml:space="preserve">t aandeel </w:t>
      </w:r>
      <w:proofErr w:type="spellStart"/>
      <w:r w:rsidR="00A868C1">
        <w:t>amv</w:t>
      </w:r>
      <w:proofErr w:type="spellEnd"/>
      <w:r w:rsidR="00A868C1">
        <w:t xml:space="preserve"> op het totaal aantal </w:t>
      </w:r>
      <w:r w:rsidRPr="00A868C1" w:rsidR="00A868C1">
        <w:t xml:space="preserve">betrokkenen </w:t>
      </w:r>
      <w:r w:rsidR="00A868C1">
        <w:t xml:space="preserve">bij incidenten. Dit aandeel is </w:t>
      </w:r>
      <w:r w:rsidRPr="00A868C1" w:rsidR="00A868C1">
        <w:t>meer dan een derde</w:t>
      </w:r>
      <w:r w:rsidR="00A868C1">
        <w:t xml:space="preserve"> (36% in 2024, tegenover 31% in 2023)</w:t>
      </w:r>
      <w:r w:rsidRPr="00A868C1" w:rsidR="00A868C1">
        <w:t xml:space="preserve"> terwijl slechts 6% van de gemiddelde bezetting in 2024 voor rekening van deze opvangvorm kwam</w:t>
      </w:r>
      <w:r>
        <w:t xml:space="preserve">. </w:t>
      </w:r>
      <w:r w:rsidRPr="00BB46EE">
        <w:t xml:space="preserve">Overigens is de kans dat incidenten door bewoners van </w:t>
      </w:r>
      <w:proofErr w:type="spellStart"/>
      <w:r w:rsidRPr="00BB46EE">
        <w:t>amv</w:t>
      </w:r>
      <w:proofErr w:type="spellEnd"/>
      <w:r w:rsidRPr="00BB46EE">
        <w:t>-</w:t>
      </w:r>
      <w:r w:rsidRPr="00BB46EE">
        <w:lastRenderedPageBreak/>
        <w:t>locaties worden geregistreerd groter dan voor andere opvangvormen, omdat er intensievere begeleiding op de</w:t>
      </w:r>
      <w:r w:rsidR="00B7236A">
        <w:t>ze</w:t>
      </w:r>
      <w:r w:rsidRPr="00BB46EE">
        <w:t xml:space="preserve"> locaties aanwezig is</w:t>
      </w:r>
      <w:r>
        <w:t>.</w:t>
      </w:r>
    </w:p>
    <w:p w:rsidRPr="006D4228" w:rsidR="00A505E2" w:rsidP="00A505E2" w:rsidRDefault="00A505E2" w14:paraId="528CFDD3" w14:textId="77777777">
      <w:pPr>
        <w:spacing w:line="276" w:lineRule="auto"/>
        <w:rPr>
          <w:color w:val="auto"/>
        </w:rPr>
      </w:pPr>
    </w:p>
    <w:p w:rsidRPr="006D4228" w:rsidR="00A505E2" w:rsidP="00A505E2" w:rsidRDefault="00A505E2" w14:paraId="05F27C65" w14:textId="63741999">
      <w:pPr>
        <w:spacing w:line="276" w:lineRule="auto"/>
        <w:rPr>
          <w:color w:val="auto"/>
        </w:rPr>
      </w:pPr>
      <w:r w:rsidRPr="006D4228">
        <w:rPr>
          <w:color w:val="auto"/>
        </w:rPr>
        <w:t xml:space="preserve">Het COA heeft in 2024 </w:t>
      </w:r>
      <w:r>
        <w:rPr>
          <w:color w:val="auto"/>
        </w:rPr>
        <w:t xml:space="preserve">naar aanleiding van de 16.200 geregistreerde incidenten, </w:t>
      </w:r>
      <w:r w:rsidRPr="006D4228">
        <w:rPr>
          <w:color w:val="auto"/>
        </w:rPr>
        <w:t xml:space="preserve">12.060 keer een maatregel opgelegd. </w:t>
      </w:r>
      <w:r>
        <w:t xml:space="preserve">Dit is een toename van 37% in vergelijking met 2023. Het WODC geeft aan dat dit vermoedelijk ook samenhangt met </w:t>
      </w:r>
      <w:r w:rsidRPr="00B948B7">
        <w:t>de to</w:t>
      </w:r>
      <w:r>
        <w:t xml:space="preserve">ename van de gemiddelde bezetting en </w:t>
      </w:r>
      <w:r w:rsidR="00F53518">
        <w:t>de daarmee samenhangende toename van het aantal</w:t>
      </w:r>
      <w:r>
        <w:t xml:space="preserve"> incidenten in 2024</w:t>
      </w:r>
      <w:r w:rsidRPr="00B948B7">
        <w:t>.</w:t>
      </w:r>
    </w:p>
    <w:p w:rsidRPr="006D4228" w:rsidR="00A505E2" w:rsidP="00A505E2" w:rsidRDefault="00A505E2" w14:paraId="429AE204" w14:textId="77777777">
      <w:pPr>
        <w:spacing w:line="276" w:lineRule="auto"/>
        <w:rPr>
          <w:color w:val="auto"/>
        </w:rPr>
      </w:pPr>
    </w:p>
    <w:p w:rsidRPr="006D4228" w:rsidR="00A505E2" w:rsidP="00A505E2" w:rsidRDefault="00A505E2" w14:paraId="4ADD9D8D" w14:textId="77777777">
      <w:pPr>
        <w:spacing w:line="276" w:lineRule="auto"/>
        <w:rPr>
          <w:color w:val="auto"/>
        </w:rPr>
      </w:pPr>
      <w:r w:rsidRPr="006D4228">
        <w:rPr>
          <w:color w:val="auto"/>
        </w:rPr>
        <w:t xml:space="preserve">In 2024 </w:t>
      </w:r>
      <w:r>
        <w:rPr>
          <w:color w:val="auto"/>
        </w:rPr>
        <w:t>had</w:t>
      </w:r>
      <w:r w:rsidRPr="006D4228">
        <w:rPr>
          <w:color w:val="auto"/>
        </w:rPr>
        <w:t xml:space="preserve"> 40% van de unieke betrokkenen bij incidenten </w:t>
      </w:r>
      <w:r>
        <w:rPr>
          <w:color w:val="auto"/>
        </w:rPr>
        <w:t xml:space="preserve">de </w:t>
      </w:r>
      <w:r w:rsidRPr="006D4228">
        <w:rPr>
          <w:color w:val="auto"/>
        </w:rPr>
        <w:t>Syrisch</w:t>
      </w:r>
      <w:r>
        <w:rPr>
          <w:color w:val="auto"/>
        </w:rPr>
        <w:t>e nationaliteit</w:t>
      </w:r>
      <w:r w:rsidRPr="006D4228">
        <w:rPr>
          <w:color w:val="auto"/>
        </w:rPr>
        <w:t xml:space="preserve">. </w:t>
      </w:r>
      <w:r w:rsidRPr="001B5E26">
        <w:t xml:space="preserve">Syriërs </w:t>
      </w:r>
      <w:r>
        <w:t xml:space="preserve">vormen </w:t>
      </w:r>
      <w:r w:rsidRPr="001B5E26">
        <w:t xml:space="preserve">met </w:t>
      </w:r>
      <w:r>
        <w:t>41</w:t>
      </w:r>
      <w:r w:rsidRPr="001B5E26">
        <w:t xml:space="preserve">% </w:t>
      </w:r>
      <w:r>
        <w:t xml:space="preserve">ook de grootste nationaliteit binnen </w:t>
      </w:r>
      <w:r w:rsidRPr="001B5E26">
        <w:t>de doelgroep in 202</w:t>
      </w:r>
      <w:r>
        <w:t>4</w:t>
      </w:r>
      <w:r w:rsidRPr="001B5E26">
        <w:t>.</w:t>
      </w:r>
      <w:r>
        <w:rPr>
          <w:color w:val="auto"/>
        </w:rPr>
        <w:t xml:space="preserve"> Afgezet tegen</w:t>
      </w:r>
      <w:r w:rsidRPr="006D4228">
        <w:rPr>
          <w:color w:val="auto"/>
        </w:rPr>
        <w:t xml:space="preserve"> de totale groep Syrische bewoners van COA- en </w:t>
      </w:r>
      <w:proofErr w:type="spellStart"/>
      <w:r>
        <w:rPr>
          <w:color w:val="auto"/>
        </w:rPr>
        <w:t>tgo</w:t>
      </w:r>
      <w:proofErr w:type="spellEnd"/>
      <w:r w:rsidRPr="006D4228">
        <w:rPr>
          <w:color w:val="auto"/>
        </w:rPr>
        <w:t xml:space="preserve">-locaties in 2024, </w:t>
      </w:r>
      <w:r>
        <w:rPr>
          <w:color w:val="auto"/>
        </w:rPr>
        <w:t>was</w:t>
      </w:r>
      <w:r w:rsidRPr="006D4228">
        <w:rPr>
          <w:color w:val="auto"/>
        </w:rPr>
        <w:t xml:space="preserve"> 11% van de Syriërs betrokken bij een incident.</w:t>
      </w:r>
      <w:r>
        <w:rPr>
          <w:color w:val="auto"/>
        </w:rPr>
        <w:t xml:space="preserve"> </w:t>
      </w:r>
      <w:r w:rsidRPr="006D4228">
        <w:rPr>
          <w:color w:val="auto"/>
        </w:rPr>
        <w:t xml:space="preserve">Nationaliteiten met relatief hoge aandelen betrokkenen </w:t>
      </w:r>
      <w:r>
        <w:rPr>
          <w:color w:val="auto"/>
        </w:rPr>
        <w:t xml:space="preserve">bij incidenten </w:t>
      </w:r>
      <w:r w:rsidRPr="006D4228">
        <w:rPr>
          <w:color w:val="auto"/>
        </w:rPr>
        <w:t>zijn onder andere Algerijns (32</w:t>
      </w:r>
      <w:r>
        <w:rPr>
          <w:color w:val="auto"/>
        </w:rPr>
        <w:t>%</w:t>
      </w:r>
      <w:r w:rsidRPr="006D4228">
        <w:rPr>
          <w:color w:val="auto"/>
        </w:rPr>
        <w:t>), Tunesisch (31%)</w:t>
      </w:r>
      <w:r>
        <w:rPr>
          <w:color w:val="auto"/>
        </w:rPr>
        <w:t xml:space="preserve"> en </w:t>
      </w:r>
      <w:r w:rsidRPr="006D4228">
        <w:rPr>
          <w:color w:val="auto"/>
        </w:rPr>
        <w:t xml:space="preserve">Marokkaans (28%). </w:t>
      </w:r>
    </w:p>
    <w:p w:rsidRPr="006D4228" w:rsidR="00A505E2" w:rsidP="00A505E2" w:rsidRDefault="00A505E2" w14:paraId="32F20BDB" w14:textId="77777777">
      <w:pPr>
        <w:spacing w:line="276" w:lineRule="auto"/>
        <w:rPr>
          <w:rFonts w:ascii="Times New Roman" w:hAnsi="Times New Roman" w:cs="Times New Roman"/>
          <w:color w:val="auto"/>
          <w:sz w:val="24"/>
          <w:szCs w:val="24"/>
        </w:rPr>
      </w:pPr>
    </w:p>
    <w:p w:rsidRPr="006D4228" w:rsidR="00A505E2" w:rsidP="00A505E2" w:rsidRDefault="00A505E2" w14:paraId="0ABD9E0A" w14:textId="77777777">
      <w:pPr>
        <w:spacing w:line="276" w:lineRule="auto"/>
        <w:rPr>
          <w:i/>
          <w:iCs/>
          <w:color w:val="auto"/>
        </w:rPr>
      </w:pPr>
      <w:r w:rsidRPr="006D4228">
        <w:rPr>
          <w:i/>
          <w:iCs/>
          <w:color w:val="auto"/>
        </w:rPr>
        <w:t>Misdrijven</w:t>
      </w:r>
    </w:p>
    <w:p w:rsidR="00412215" w:rsidP="00412215" w:rsidRDefault="00A505E2" w14:paraId="38AEDDED" w14:textId="77777777">
      <w:pPr>
        <w:spacing w:line="276" w:lineRule="auto"/>
        <w:rPr>
          <w:rFonts w:eastAsia="Verdana" w:cs="Times New Roman"/>
          <w:color w:val="auto"/>
        </w:rPr>
      </w:pPr>
      <w:r>
        <w:t xml:space="preserve">In 2024 </w:t>
      </w:r>
      <w:r>
        <w:rPr>
          <w:color w:val="auto"/>
        </w:rPr>
        <w:t xml:space="preserve">werden </w:t>
      </w:r>
      <w:r w:rsidRPr="006D4228">
        <w:rPr>
          <w:color w:val="auto"/>
        </w:rPr>
        <w:t>5.8</w:t>
      </w:r>
      <w:r>
        <w:rPr>
          <w:color w:val="auto"/>
        </w:rPr>
        <w:t>75</w:t>
      </w:r>
      <w:r w:rsidRPr="006D4228">
        <w:rPr>
          <w:color w:val="auto"/>
        </w:rPr>
        <w:t xml:space="preserve"> misdrijven </w:t>
      </w:r>
      <w:r>
        <w:rPr>
          <w:color w:val="auto"/>
        </w:rPr>
        <w:t xml:space="preserve">door de politie </w:t>
      </w:r>
      <w:r w:rsidRPr="006D4228">
        <w:rPr>
          <w:color w:val="auto"/>
        </w:rPr>
        <w:t>geregistreerd waarbij een COA-</w:t>
      </w:r>
      <w:r>
        <w:rPr>
          <w:color w:val="auto"/>
        </w:rPr>
        <w:t xml:space="preserve">of </w:t>
      </w:r>
      <w:proofErr w:type="spellStart"/>
      <w:r>
        <w:rPr>
          <w:color w:val="auto"/>
        </w:rPr>
        <w:t>tgo</w:t>
      </w:r>
      <w:proofErr w:type="spellEnd"/>
      <w:r>
        <w:rPr>
          <w:color w:val="auto"/>
        </w:rPr>
        <w:t>-</w:t>
      </w:r>
      <w:r w:rsidRPr="006D4228">
        <w:rPr>
          <w:color w:val="auto"/>
        </w:rPr>
        <w:t>bewoner verdachte was, ten opzichte van 6.755 in 2023.</w:t>
      </w:r>
      <w:r>
        <w:rPr>
          <w:color w:val="auto"/>
        </w:rPr>
        <w:t xml:space="preserve"> </w:t>
      </w:r>
      <w:r w:rsidRPr="006D4228" w:rsidR="00412215">
        <w:rPr>
          <w:rFonts w:eastAsia="Verdana" w:cs="Times New Roman"/>
          <w:color w:val="auto"/>
        </w:rPr>
        <w:t xml:space="preserve">In lijn met voorgaande jaren zijn vermogensmisdrijven het meest voorkomende delictstype waar </w:t>
      </w:r>
      <w:r w:rsidR="00412215">
        <w:rPr>
          <w:rFonts w:eastAsia="Verdana" w:cs="Times New Roman"/>
          <w:color w:val="auto"/>
        </w:rPr>
        <w:t>asielzoekers</w:t>
      </w:r>
      <w:r w:rsidRPr="006D4228" w:rsidR="00412215">
        <w:rPr>
          <w:rFonts w:eastAsia="Verdana" w:cs="Times New Roman"/>
          <w:color w:val="auto"/>
        </w:rPr>
        <w:t xml:space="preserve"> van worden verdacht. </w:t>
      </w:r>
      <w:r w:rsidRPr="006D4228">
        <w:rPr>
          <w:rFonts w:eastAsia="Verdana" w:cs="Times New Roman"/>
          <w:color w:val="auto"/>
        </w:rPr>
        <w:t xml:space="preserve">Het aantal </w:t>
      </w:r>
      <w:r>
        <w:rPr>
          <w:rFonts w:eastAsia="Verdana" w:cs="Times New Roman"/>
          <w:color w:val="auto"/>
        </w:rPr>
        <w:t>verdachtenregistraties</w:t>
      </w:r>
      <w:r w:rsidRPr="006D4228">
        <w:rPr>
          <w:rFonts w:eastAsia="Verdana" w:cs="Times New Roman"/>
          <w:color w:val="auto"/>
        </w:rPr>
        <w:t xml:space="preserve"> </w:t>
      </w:r>
      <w:r>
        <w:rPr>
          <w:rFonts w:eastAsia="Verdana" w:cs="Times New Roman"/>
          <w:color w:val="auto"/>
        </w:rPr>
        <w:t xml:space="preserve">dat </w:t>
      </w:r>
      <w:r w:rsidRPr="006D4228">
        <w:rPr>
          <w:rFonts w:eastAsia="Verdana" w:cs="Times New Roman"/>
          <w:color w:val="auto"/>
        </w:rPr>
        <w:t>in 2024</w:t>
      </w:r>
      <w:r>
        <w:rPr>
          <w:rFonts w:eastAsia="Verdana" w:cs="Times New Roman"/>
          <w:color w:val="auto"/>
        </w:rPr>
        <w:t xml:space="preserve"> is </w:t>
      </w:r>
      <w:r w:rsidRPr="006D4228">
        <w:rPr>
          <w:rFonts w:eastAsia="Verdana" w:cs="Times New Roman"/>
          <w:color w:val="auto"/>
        </w:rPr>
        <w:t>vastgelegd</w:t>
      </w:r>
      <w:r>
        <w:rPr>
          <w:rFonts w:eastAsia="Verdana" w:cs="Times New Roman"/>
          <w:color w:val="auto"/>
        </w:rPr>
        <w:t>,</w:t>
      </w:r>
      <w:r w:rsidRPr="006D4228">
        <w:rPr>
          <w:rFonts w:eastAsia="Verdana" w:cs="Times New Roman"/>
          <w:color w:val="auto"/>
        </w:rPr>
        <w:t xml:space="preserve"> waarbij de verdachte op het moment van het plegen van het misdrijf op een COA- of </w:t>
      </w:r>
      <w:proofErr w:type="spellStart"/>
      <w:r>
        <w:rPr>
          <w:rFonts w:eastAsia="Verdana" w:cs="Times New Roman"/>
          <w:color w:val="auto"/>
        </w:rPr>
        <w:t>tgo</w:t>
      </w:r>
      <w:proofErr w:type="spellEnd"/>
      <w:r>
        <w:rPr>
          <w:rFonts w:eastAsia="Verdana" w:cs="Times New Roman"/>
          <w:color w:val="auto"/>
        </w:rPr>
        <w:t xml:space="preserve">-locatie </w:t>
      </w:r>
      <w:r w:rsidRPr="006D4228">
        <w:rPr>
          <w:rFonts w:eastAsia="Verdana" w:cs="Times New Roman"/>
          <w:color w:val="auto"/>
        </w:rPr>
        <w:t>verbleef, is dus met 13% ten opzichte van een jaar eerder afgenomen.</w:t>
      </w:r>
      <w:r>
        <w:rPr>
          <w:rFonts w:eastAsia="Verdana" w:cs="Times New Roman"/>
          <w:color w:val="auto"/>
        </w:rPr>
        <w:t xml:space="preserve"> </w:t>
      </w:r>
      <w:r w:rsidR="00986267">
        <w:rPr>
          <w:rFonts w:eastAsia="Verdana" w:cs="Times New Roman"/>
          <w:color w:val="auto"/>
        </w:rPr>
        <w:t xml:space="preserve">Hoewel dit een positieve trend lijkt, is het lastig om deze ontwikkeling goed te duiden. </w:t>
      </w:r>
      <w:r w:rsidRPr="00362344" w:rsidR="00362344">
        <w:rPr>
          <w:rFonts w:eastAsia="Verdana" w:cs="Times New Roman"/>
          <w:color w:val="auto"/>
        </w:rPr>
        <w:t>De politie maakt geen onderscheid in doelgroepen voor het bepalen van haar inzet. De afname hangt waarschijnlijk samen met de algemene vermindering van instroom van winkeldiefstallen en keuzes in de afdoening daarvan door het Openbaar Ministerie.</w:t>
      </w:r>
    </w:p>
    <w:p w:rsidR="00412215" w:rsidP="00412215" w:rsidRDefault="00412215" w14:paraId="239E1E0C" w14:textId="77777777">
      <w:pPr>
        <w:spacing w:line="276" w:lineRule="auto"/>
        <w:rPr>
          <w:rFonts w:eastAsia="Verdana" w:cs="Times New Roman"/>
          <w:color w:val="auto"/>
        </w:rPr>
      </w:pPr>
    </w:p>
    <w:p w:rsidRPr="00412215" w:rsidR="00412215" w:rsidP="00412215" w:rsidRDefault="00A505E2" w14:paraId="1B30C2C3" w14:textId="2784903C">
      <w:pPr>
        <w:spacing w:line="276" w:lineRule="auto"/>
        <w:rPr>
          <w:rFonts w:eastAsia="Verdana" w:cs="Times New Roman"/>
          <w:color w:val="auto"/>
        </w:rPr>
      </w:pPr>
      <w:r>
        <w:rPr>
          <w:color w:val="auto"/>
        </w:rPr>
        <w:t>8</w:t>
      </w:r>
      <w:r w:rsidRPr="009F064F">
        <w:rPr>
          <w:color w:val="auto"/>
        </w:rPr>
        <w:t xml:space="preserve">% </w:t>
      </w:r>
      <w:r>
        <w:rPr>
          <w:color w:val="auto"/>
        </w:rPr>
        <w:t xml:space="preserve">van de </w:t>
      </w:r>
      <w:proofErr w:type="spellStart"/>
      <w:r>
        <w:rPr>
          <w:color w:val="auto"/>
        </w:rPr>
        <w:t>amv</w:t>
      </w:r>
      <w:proofErr w:type="spellEnd"/>
      <w:r>
        <w:rPr>
          <w:color w:val="auto"/>
        </w:rPr>
        <w:t xml:space="preserve"> werd geregistreerd als verdachte van een misdrijf, </w:t>
      </w:r>
      <w:r w:rsidRPr="00B4016B">
        <w:rPr>
          <w:color w:val="auto"/>
        </w:rPr>
        <w:t>terwijl dat aandeel op 3% lag voor de totale groep bewoners</w:t>
      </w:r>
      <w:r>
        <w:rPr>
          <w:color w:val="auto"/>
        </w:rPr>
        <w:t>. Binnen de groep verdachten van misdrijven is b</w:t>
      </w:r>
      <w:r w:rsidRPr="009F064F">
        <w:rPr>
          <w:color w:val="auto"/>
        </w:rPr>
        <w:t xml:space="preserve">ijna een kwart (23%) van de verdachten een </w:t>
      </w:r>
      <w:proofErr w:type="spellStart"/>
      <w:r w:rsidRPr="009F064F">
        <w:rPr>
          <w:color w:val="auto"/>
        </w:rPr>
        <w:t>amv</w:t>
      </w:r>
      <w:proofErr w:type="spellEnd"/>
      <w:r>
        <w:rPr>
          <w:color w:val="auto"/>
        </w:rPr>
        <w:t>.</w:t>
      </w:r>
    </w:p>
    <w:p w:rsidR="00412215" w:rsidP="00412215" w:rsidRDefault="00A505E2" w14:paraId="13D9908B" w14:textId="1C8AE6E3">
      <w:pPr>
        <w:spacing w:line="276" w:lineRule="auto"/>
      </w:pPr>
      <w:r w:rsidRPr="00585112">
        <w:t>Nationaliteiten met relatief hoge aandel</w:t>
      </w:r>
      <w:r>
        <w:t>en verdachten (onder de totale groep COA-bewoners) zijn Algerijns (36</w:t>
      </w:r>
      <w:r w:rsidRPr="00585112">
        <w:t xml:space="preserve">%), </w:t>
      </w:r>
      <w:r>
        <w:t>Marokkaans (25</w:t>
      </w:r>
      <w:r w:rsidRPr="00585112">
        <w:t>%)</w:t>
      </w:r>
      <w:r>
        <w:t xml:space="preserve"> en </w:t>
      </w:r>
      <w:r w:rsidRPr="00585112">
        <w:t>T</w:t>
      </w:r>
      <w:r>
        <w:t>unesisch (17%)</w:t>
      </w:r>
      <w:r w:rsidRPr="00585112">
        <w:t>.</w:t>
      </w:r>
    </w:p>
    <w:p w:rsidRPr="00412215" w:rsidR="00412215" w:rsidP="00412215" w:rsidRDefault="00412215" w14:paraId="3E8824B7" w14:textId="77777777">
      <w:pPr>
        <w:spacing w:line="276" w:lineRule="auto"/>
      </w:pPr>
    </w:p>
    <w:p w:rsidRPr="00525518" w:rsidR="00525518" w:rsidP="00525518" w:rsidRDefault="00A505E2" w14:paraId="505854CE" w14:textId="5CF12FD7">
      <w:pPr>
        <w:spacing w:line="276" w:lineRule="auto"/>
        <w:rPr>
          <w:color w:val="auto"/>
        </w:rPr>
      </w:pPr>
      <w:r w:rsidRPr="006D4228">
        <w:rPr>
          <w:color w:val="auto"/>
        </w:rPr>
        <w:t>In 2024 heeft het OM 3.</w:t>
      </w:r>
      <w:r>
        <w:rPr>
          <w:color w:val="auto"/>
        </w:rPr>
        <w:t>42</w:t>
      </w:r>
      <w:r w:rsidRPr="006D4228">
        <w:rPr>
          <w:color w:val="auto"/>
        </w:rPr>
        <w:t>0 misdrijfzaken afgedaan waarvan de verdachte op het moment van plegen op een COA-</w:t>
      </w:r>
      <w:r w:rsidR="00C2371A">
        <w:rPr>
          <w:color w:val="auto"/>
        </w:rPr>
        <w:t xml:space="preserve"> of </w:t>
      </w:r>
      <w:proofErr w:type="spellStart"/>
      <w:r w:rsidR="00C2371A">
        <w:rPr>
          <w:color w:val="auto"/>
        </w:rPr>
        <w:t>tgo</w:t>
      </w:r>
      <w:proofErr w:type="spellEnd"/>
      <w:r w:rsidR="00C2371A">
        <w:rPr>
          <w:color w:val="auto"/>
        </w:rPr>
        <w:t>-</w:t>
      </w:r>
      <w:r w:rsidRPr="006D4228">
        <w:rPr>
          <w:color w:val="auto"/>
        </w:rPr>
        <w:t xml:space="preserve">locatie verbleef, </w:t>
      </w:r>
      <w:r>
        <w:rPr>
          <w:color w:val="auto"/>
        </w:rPr>
        <w:t>20</w:t>
      </w:r>
      <w:r w:rsidRPr="006D4228">
        <w:rPr>
          <w:color w:val="auto"/>
        </w:rPr>
        <w:t>% minder dan in 2023. In 64% van de zaken in 2024 heeft het OM de beslissing genomen om te dagvaarden</w:t>
      </w:r>
      <w:r>
        <w:rPr>
          <w:color w:val="auto"/>
        </w:rPr>
        <w:t>. I</w:t>
      </w:r>
      <w:r w:rsidRPr="006D4228">
        <w:rPr>
          <w:color w:val="auto"/>
        </w:rPr>
        <w:t xml:space="preserve">n 3% wordt er voor een strafbeschikking of transactie gekozen en in een derde van de zaken wordt er voorwaardelijk of onvoorwaardelijk geseponeerd (33%). </w:t>
      </w:r>
      <w:r>
        <w:rPr>
          <w:color w:val="auto"/>
        </w:rPr>
        <w:t xml:space="preserve">In vergelijking met de algemene Nederlandse bevolking, </w:t>
      </w:r>
      <w:r>
        <w:t>werd in 2023</w:t>
      </w:r>
      <w:r>
        <w:rPr>
          <w:rStyle w:val="Voetnootmarkering"/>
        </w:rPr>
        <w:footnoteReference w:id="3"/>
      </w:r>
      <w:r>
        <w:t xml:space="preserve"> in </w:t>
      </w:r>
      <w:r w:rsidRPr="00BE36A3">
        <w:t>de algemene bevolking minder vaak gedagvaard (44%)</w:t>
      </w:r>
      <w:r>
        <w:t>, was</w:t>
      </w:r>
      <w:r w:rsidRPr="00BE36A3">
        <w:t xml:space="preserve"> er vaker sprake van een strafbeschikking of transactie (2</w:t>
      </w:r>
      <w:r>
        <w:t>3</w:t>
      </w:r>
      <w:r w:rsidRPr="00BE36A3">
        <w:t>%)</w:t>
      </w:r>
      <w:r>
        <w:t xml:space="preserve"> terwijl het aandeel sepots gelijk is </w:t>
      </w:r>
      <w:r w:rsidRPr="00BE36A3">
        <w:t>(3</w:t>
      </w:r>
      <w:r>
        <w:t>3</w:t>
      </w:r>
      <w:r w:rsidRPr="00BE36A3">
        <w:t xml:space="preserve">%). </w:t>
      </w:r>
      <w:r w:rsidRPr="006D4228">
        <w:rPr>
          <w:color w:val="auto"/>
        </w:rPr>
        <w:t>Mogelijk heeft dit te maken met het type misdrijf dat gepleegd is. COA-</w:t>
      </w:r>
      <w:r w:rsidRPr="006D4228">
        <w:rPr>
          <w:color w:val="auto"/>
        </w:rPr>
        <w:lastRenderedPageBreak/>
        <w:t xml:space="preserve">bewoners </w:t>
      </w:r>
      <w:r>
        <w:rPr>
          <w:color w:val="auto"/>
        </w:rPr>
        <w:t xml:space="preserve">zijn </w:t>
      </w:r>
      <w:r w:rsidRPr="006D4228">
        <w:rPr>
          <w:color w:val="auto"/>
        </w:rPr>
        <w:t xml:space="preserve">naar verhouding vaker verdachte van vermogensmisdrijven. Mogelijk </w:t>
      </w:r>
      <w:r w:rsidR="00525518">
        <w:rPr>
          <w:color w:val="auto"/>
        </w:rPr>
        <w:t xml:space="preserve">hangen de genoemde verschillen in wijze van afdoening samen </w:t>
      </w:r>
      <w:r w:rsidRPr="00525518" w:rsidR="00525518">
        <w:rPr>
          <w:color w:val="auto"/>
        </w:rPr>
        <w:t>met de aard van de gepleegde misdrijven of speelt de afweging</w:t>
      </w:r>
      <w:r w:rsidR="00525518">
        <w:rPr>
          <w:color w:val="auto"/>
        </w:rPr>
        <w:t xml:space="preserve"> </w:t>
      </w:r>
      <w:r w:rsidRPr="00525518" w:rsidR="00525518">
        <w:rPr>
          <w:color w:val="auto"/>
        </w:rPr>
        <w:t>hoe kansrijk de tenuitvoerlegging van een (alternatieve) straf of maatregel wordt</w:t>
      </w:r>
    </w:p>
    <w:p w:rsidRPr="006D4228" w:rsidR="00A505E2" w:rsidP="00525518" w:rsidRDefault="00525518" w14:paraId="7ED0A615" w14:textId="7FB5E02D">
      <w:pPr>
        <w:spacing w:line="276" w:lineRule="auto"/>
        <w:rPr>
          <w:color w:val="auto"/>
        </w:rPr>
      </w:pPr>
      <w:proofErr w:type="gramStart"/>
      <w:r w:rsidRPr="00525518">
        <w:rPr>
          <w:color w:val="auto"/>
        </w:rPr>
        <w:t>geacht</w:t>
      </w:r>
      <w:proofErr w:type="gramEnd"/>
      <w:r w:rsidRPr="00525518">
        <w:rPr>
          <w:color w:val="auto"/>
        </w:rPr>
        <w:t xml:space="preserve"> een rol.</w:t>
      </w:r>
      <w:r>
        <w:rPr>
          <w:color w:val="auto"/>
        </w:rPr>
        <w:t xml:space="preserve"> </w:t>
      </w:r>
    </w:p>
    <w:p w:rsidR="00362344" w:rsidP="00362344" w:rsidRDefault="00A505E2" w14:paraId="36156145" w14:textId="67FD9E8A">
      <w:pPr>
        <w:spacing w:line="276" w:lineRule="auto"/>
      </w:pPr>
      <w:r w:rsidRPr="006D4228">
        <w:rPr>
          <w:color w:val="auto"/>
        </w:rPr>
        <w:t xml:space="preserve">In 2024 heeft de rechter in eerste aanleg </w:t>
      </w:r>
      <w:r>
        <w:rPr>
          <w:color w:val="auto"/>
        </w:rPr>
        <w:t xml:space="preserve">1.975 </w:t>
      </w:r>
      <w:r w:rsidRPr="006D4228">
        <w:rPr>
          <w:color w:val="auto"/>
        </w:rPr>
        <w:t xml:space="preserve">misdrijfzaken afgedaan waarvan de verdachte op het moment van plegen op een COA- </w:t>
      </w:r>
      <w:r>
        <w:rPr>
          <w:color w:val="auto"/>
        </w:rPr>
        <w:t xml:space="preserve">of </w:t>
      </w:r>
      <w:proofErr w:type="spellStart"/>
      <w:r w:rsidR="00C2371A">
        <w:rPr>
          <w:color w:val="auto"/>
        </w:rPr>
        <w:t>tgo</w:t>
      </w:r>
      <w:proofErr w:type="spellEnd"/>
      <w:r w:rsidR="00C2371A">
        <w:rPr>
          <w:color w:val="auto"/>
        </w:rPr>
        <w:t>-locati</w:t>
      </w:r>
      <w:r>
        <w:rPr>
          <w:color w:val="auto"/>
        </w:rPr>
        <w:t>e verbleef.</w:t>
      </w:r>
      <w:r w:rsidRPr="006D4228">
        <w:rPr>
          <w:color w:val="auto"/>
        </w:rPr>
        <w:t xml:space="preserve"> </w:t>
      </w:r>
      <w:r w:rsidRPr="00640FB9">
        <w:rPr>
          <w:color w:val="auto"/>
        </w:rPr>
        <w:t>Dat is een daling van 26% ten opzichte van 2023</w:t>
      </w:r>
      <w:r>
        <w:rPr>
          <w:color w:val="auto"/>
        </w:rPr>
        <w:t xml:space="preserve">. </w:t>
      </w:r>
      <w:r w:rsidRPr="006D4228">
        <w:t xml:space="preserve">Er is </w:t>
      </w:r>
      <w:r>
        <w:t xml:space="preserve">overigens </w:t>
      </w:r>
      <w:r w:rsidRPr="006D4228">
        <w:t>geen een-op-een relatie tussen het aantal door de politie geregistreerde verdachten in een jaar en het aantal door het OM en de Rechtspraak afgedane zaken in datzelfde jaar, omdat zaken niet noodzakelijkerwijs binnen het jaar waarin het misdrijf gepleegd werd, worden afgedaan.</w:t>
      </w:r>
      <w:r w:rsidR="00362344">
        <w:t xml:space="preserve"> </w:t>
      </w:r>
    </w:p>
    <w:p w:rsidRPr="00362344" w:rsidR="00362344" w:rsidP="00362344" w:rsidRDefault="00362344" w14:paraId="44AFD46B" w14:textId="2A50C2E5">
      <w:pPr>
        <w:spacing w:line="276" w:lineRule="auto"/>
      </w:pPr>
      <w:r w:rsidRPr="00362344">
        <w:rPr>
          <w:color w:val="auto"/>
        </w:rPr>
        <w:t xml:space="preserve">De daling </w:t>
      </w:r>
      <w:r w:rsidR="00C2371A">
        <w:rPr>
          <w:color w:val="auto"/>
        </w:rPr>
        <w:t>is w</w:t>
      </w:r>
      <w:r w:rsidRPr="00362344">
        <w:rPr>
          <w:color w:val="auto"/>
        </w:rPr>
        <w:t xml:space="preserve">aarschijnlijk gerelateerd aan het geringere aantal zaken dat bij politie en Openbaar Ministerie is binnengekomen waarvan de verdachte verbleef op een COA- of </w:t>
      </w:r>
      <w:proofErr w:type="spellStart"/>
      <w:r w:rsidRPr="00362344">
        <w:rPr>
          <w:color w:val="auto"/>
        </w:rPr>
        <w:t>tgo</w:t>
      </w:r>
      <w:proofErr w:type="spellEnd"/>
      <w:r w:rsidRPr="00362344">
        <w:rPr>
          <w:color w:val="auto"/>
        </w:rPr>
        <w:t>-locatie.</w:t>
      </w:r>
    </w:p>
    <w:p w:rsidR="00A505E2" w:rsidP="00A505E2" w:rsidRDefault="00A505E2" w14:paraId="6AFD0D54" w14:textId="77777777">
      <w:pPr>
        <w:spacing w:line="276" w:lineRule="auto"/>
        <w:rPr>
          <w:highlight w:val="yellow"/>
        </w:rPr>
      </w:pPr>
    </w:p>
    <w:p w:rsidRPr="000A4512" w:rsidR="00A505E2" w:rsidP="00A505E2" w:rsidRDefault="00A505E2" w14:paraId="08F54BD3" w14:textId="77777777">
      <w:pPr>
        <w:spacing w:line="276" w:lineRule="auto"/>
        <w:rPr>
          <w:b/>
          <w:bCs/>
        </w:rPr>
      </w:pPr>
      <w:r w:rsidRPr="000A4512">
        <w:rPr>
          <w:b/>
          <w:bCs/>
        </w:rPr>
        <w:t>Beleidsreactie</w:t>
      </w:r>
    </w:p>
    <w:p w:rsidR="00A505E2" w:rsidP="00A505E2" w:rsidRDefault="00A505E2" w14:paraId="456A9E51" w14:textId="2C29D56B">
      <w:pPr>
        <w:spacing w:line="276" w:lineRule="auto"/>
      </w:pPr>
      <w:r>
        <w:t xml:space="preserve">Hoewel </w:t>
      </w:r>
      <w:r w:rsidR="00A7013E">
        <w:t>een grote</w:t>
      </w:r>
      <w:r w:rsidR="00C2371A">
        <w:t xml:space="preserve"> </w:t>
      </w:r>
      <w:r>
        <w:t xml:space="preserve">meerderheid van de asielzoekers niet betrokken is bij incidenten en misdrijven, blijkt uit de cijfers dat </w:t>
      </w:r>
      <w:proofErr w:type="spellStart"/>
      <w:r>
        <w:t>overlastgevend</w:t>
      </w:r>
      <w:proofErr w:type="spellEnd"/>
      <w:r>
        <w:t xml:space="preserve"> en crimineel gedrag een aanhoudend probleem is. Bepaalde groepen zijn relatief vaak betrokken bij incidenten en misdrijven. De impact hiervan op medebewoners van het azc, medewerkers uit de vreemdelingenketen, omwonenden en ondernemers is groot.</w:t>
      </w:r>
      <w:bookmarkStart w:name="_Hlk199938691" w:id="2"/>
      <w:r>
        <w:t xml:space="preserve"> </w:t>
      </w:r>
      <w:r w:rsidRPr="0049692E">
        <w:t xml:space="preserve">Daarom </w:t>
      </w:r>
      <w:bookmarkEnd w:id="2"/>
      <w:r>
        <w:t>past een harde aanpak, om overlastgevers duidelijk te maken dat de autoriteiten in Nederland normerend optreden en lik-op-stuk geven. Ook onder de huidige politieke omstandigheden blijft dit demissionaire kabinet maximaal inzetten op een adequate aanpak van overlast.</w:t>
      </w:r>
    </w:p>
    <w:p w:rsidR="00A505E2" w:rsidP="00A505E2" w:rsidRDefault="00A505E2" w14:paraId="264859E7" w14:textId="77777777">
      <w:pPr>
        <w:spacing w:line="276" w:lineRule="auto"/>
      </w:pPr>
    </w:p>
    <w:p w:rsidR="00A505E2" w:rsidP="00A505E2" w:rsidRDefault="00A505E2" w14:paraId="40ADA98A" w14:textId="2490BEDC">
      <w:pPr>
        <w:spacing w:line="276" w:lineRule="auto"/>
      </w:pPr>
      <w:r>
        <w:t>Daarvoor staan de vreemdelingenketen en de strafrechtketen samen aan de lat. Een effectieve aanpak vereist korte lijn</w:t>
      </w:r>
      <w:r w:rsidR="00FA726C">
        <w:t>en</w:t>
      </w:r>
      <w:r>
        <w:t xml:space="preserve"> tussen de betrokken organisaties in de vreemdelingenketen en strafrechtketen om vanuit een volledige informatiepositie een </w:t>
      </w:r>
      <w:r w:rsidR="00120396">
        <w:t>persoonsgerichte</w:t>
      </w:r>
      <w:r>
        <w:t xml:space="preserve"> aanpak uit te voeren. Daarbij zijn de vier pijlers van de nationale aanpak richtinggevend: (1) de asielprocedure snel en slagvaardig afdoen zodat de </w:t>
      </w:r>
      <w:proofErr w:type="spellStart"/>
      <w:r>
        <w:t>overlastgevende</w:t>
      </w:r>
      <w:proofErr w:type="spellEnd"/>
      <w:r>
        <w:t xml:space="preserve"> asielzoeker niet langer in de opvang blijft dan nodig, (2) maatwerk bieden in de opvang en inzetten op het voorkomen van incidenten door bijvoorbeeld intensieve begeleiding op locatie of overplaatsing naar een modaliteit voor </w:t>
      </w:r>
      <w:proofErr w:type="spellStart"/>
      <w:r>
        <w:t>overlastgevende</w:t>
      </w:r>
      <w:proofErr w:type="spellEnd"/>
      <w:r>
        <w:t xml:space="preserve"> asielzoekers zoals de handhaving- en toezichtlocatie, (3) lik-op-stuk toepassen bij crimineel gedrag door middel van een snelle en effectieve strafoplegging en (4) na afwijzing geprioriteerd inzetten op vertrek uit Nederland. Op casusniveau worden ernstige </w:t>
      </w:r>
      <w:proofErr w:type="spellStart"/>
      <w:r>
        <w:t>overlastgevende</w:t>
      </w:r>
      <w:proofErr w:type="spellEnd"/>
      <w:r>
        <w:t xml:space="preserve"> asielzoekers op de zogeheten Top-X lijst worden geplaatst. In het lokaal ketenoverleg (</w:t>
      </w:r>
      <w:proofErr w:type="spellStart"/>
      <w:r>
        <w:t>lko</w:t>
      </w:r>
      <w:proofErr w:type="spellEnd"/>
      <w:r>
        <w:t xml:space="preserve">) wordt een persoonsgerichte aanpak voor de personen op deze lijst ontwikkeld. </w:t>
      </w:r>
    </w:p>
    <w:p w:rsidR="00A505E2" w:rsidP="00A505E2" w:rsidRDefault="00A505E2" w14:paraId="614DFCEE" w14:textId="77777777">
      <w:pPr>
        <w:spacing w:line="276" w:lineRule="auto"/>
      </w:pPr>
    </w:p>
    <w:p w:rsidRPr="00525518" w:rsidR="00A74012" w:rsidP="00525518" w:rsidRDefault="00A505E2" w14:paraId="219DCAA9" w14:textId="012707F3">
      <w:pPr>
        <w:spacing w:line="276" w:lineRule="auto"/>
      </w:pPr>
      <w:r>
        <w:t xml:space="preserve">Met betrekking tot de kenmerken van betrokkenen bij incidenten en verdachten van misdrijven komt eenzelfde beeld naar voren als in eerdere edities van de Incidentenmonitor. Het gaat vaak om mannen en personen jonger dan 30 jaar oud. </w:t>
      </w:r>
      <w:r w:rsidRPr="00017218">
        <w:t>Ook voor de algemene Nederlandse bevolking geldt dat mannen en jongvolwassenen oververtegenwoordigd zijn onder verdachten van misdrijven</w:t>
      </w:r>
      <w:r>
        <w:t xml:space="preserve">. </w:t>
      </w:r>
      <w:r>
        <w:lastRenderedPageBreak/>
        <w:t xml:space="preserve">Opvallend voor 2024 is de sterke stijging van het aandeel alleenstaande minderjarige vreemdelingen dat betrokken is bij incidenten of verdacht wordt van een misdrijf. De cijfers wijzen uit dat ongeveer een derde (34%) van de </w:t>
      </w:r>
      <w:proofErr w:type="spellStart"/>
      <w:r>
        <w:t>amv</w:t>
      </w:r>
      <w:proofErr w:type="spellEnd"/>
      <w:r>
        <w:t xml:space="preserve"> in 2024 werd geregistreerd als betrokkene bij een agressie en geweldsincident, tegenover 11% van de totale groep COA-bewoners. Van de </w:t>
      </w:r>
      <w:proofErr w:type="spellStart"/>
      <w:r>
        <w:t>amv</w:t>
      </w:r>
      <w:proofErr w:type="spellEnd"/>
      <w:r>
        <w:t xml:space="preserve"> werd 8% verdacht van een misdrijf, tegenover 3% onder de totale groep. </w:t>
      </w:r>
      <w:r w:rsidRPr="00A74012" w:rsidR="00A74012">
        <w:t xml:space="preserve">Mogelijk hangt deze oververtegenwoordiging </w:t>
      </w:r>
      <w:r w:rsidR="00394581">
        <w:t xml:space="preserve">deels </w:t>
      </w:r>
      <w:r w:rsidRPr="00A74012" w:rsidR="00A74012">
        <w:t>samen met de</w:t>
      </w:r>
      <w:r w:rsidR="00525518">
        <w:t xml:space="preserve"> demografische</w:t>
      </w:r>
      <w:r w:rsidRPr="00A74012" w:rsidR="00A74012">
        <w:t xml:space="preserve"> samenstelling van de groep </w:t>
      </w:r>
      <w:proofErr w:type="spellStart"/>
      <w:r w:rsidR="00525518">
        <w:t>amv</w:t>
      </w:r>
      <w:proofErr w:type="spellEnd"/>
      <w:r w:rsidR="00525518">
        <w:t xml:space="preserve">, </w:t>
      </w:r>
      <w:r w:rsidRPr="00525518" w:rsidR="00525518">
        <w:t>gezien het feit dat ook voor de</w:t>
      </w:r>
      <w:r w:rsidR="00525518">
        <w:t xml:space="preserve"> </w:t>
      </w:r>
      <w:r w:rsidRPr="00525518" w:rsidR="00525518">
        <w:t>algemene Nederlandse bevolking geldt dat mannen en jongvolwassenen</w:t>
      </w:r>
      <w:r w:rsidR="00525518">
        <w:t xml:space="preserve"> </w:t>
      </w:r>
      <w:r w:rsidRPr="00525518" w:rsidR="00525518">
        <w:t>oververtegenwoordigd zijn onder verdachten van misdrijven</w:t>
      </w:r>
      <w:r w:rsidR="00394581">
        <w:t>.</w:t>
      </w:r>
      <w:r w:rsidRPr="00A74012" w:rsidR="00A74012">
        <w:t xml:space="preserve"> Andere mogelijke verklaringen voor de oververtegenwoordiging van deze groep liggen </w:t>
      </w:r>
      <w:r w:rsidR="00E74B35">
        <w:t>volgens de onderzoekers i</w:t>
      </w:r>
      <w:r w:rsidRPr="00A74012" w:rsidR="00A74012">
        <w:t>n de inzet van de politie</w:t>
      </w:r>
      <w:r w:rsidR="002E550A">
        <w:t xml:space="preserve"> (registratie-effect)</w:t>
      </w:r>
      <w:r w:rsidRPr="00A74012" w:rsidR="002E550A">
        <w:t xml:space="preserve"> </w:t>
      </w:r>
      <w:r w:rsidRPr="00A74012" w:rsidR="00A74012">
        <w:t xml:space="preserve">en de omstandigheden op opvanglocaties. </w:t>
      </w:r>
    </w:p>
    <w:p w:rsidR="00A505E2" w:rsidP="00A505E2" w:rsidRDefault="00A505E2" w14:paraId="2F548C17" w14:textId="536267FB">
      <w:pPr>
        <w:spacing w:line="276" w:lineRule="auto"/>
      </w:pPr>
      <w:r>
        <w:t xml:space="preserve">Deze cijfermatige ontwikkelingen, in combinatie met recente signalen vanuit een aantal gemeenten, onderstreept de noodzaak alert te zijn op overlast door </w:t>
      </w:r>
      <w:proofErr w:type="spellStart"/>
      <w:r>
        <w:t>amv</w:t>
      </w:r>
      <w:proofErr w:type="spellEnd"/>
      <w:r>
        <w:t xml:space="preserve"> en permanent te bezien waar de aanpak op onderdelen kan worden versterkt. Het COA zet daarbij maximaal in op preventie van overlast en intensieve begeleiding en </w:t>
      </w:r>
      <w:proofErr w:type="gramStart"/>
      <w:r>
        <w:t>meld</w:t>
      </w:r>
      <w:r w:rsidR="00177823">
        <w:t>t</w:t>
      </w:r>
      <w:r w:rsidR="00382C6B">
        <w:t xml:space="preserve"> </w:t>
      </w:r>
      <w:r>
        <w:t xml:space="preserve"> </w:t>
      </w:r>
      <w:proofErr w:type="spellStart"/>
      <w:r>
        <w:t>amv</w:t>
      </w:r>
      <w:proofErr w:type="spellEnd"/>
      <w:proofErr w:type="gramEnd"/>
      <w:r>
        <w:t xml:space="preserve"> </w:t>
      </w:r>
      <w:proofErr w:type="spellStart"/>
      <w:r>
        <w:t>zonodig</w:t>
      </w:r>
      <w:proofErr w:type="spellEnd"/>
      <w:r>
        <w:t xml:space="preserve"> aan voor de Top-X aanpak.</w:t>
      </w:r>
    </w:p>
    <w:p w:rsidR="00A505E2" w:rsidP="00A505E2" w:rsidRDefault="00A505E2" w14:paraId="598F1FA7" w14:textId="77777777">
      <w:pPr>
        <w:spacing w:line="276" w:lineRule="auto"/>
      </w:pPr>
      <w:proofErr w:type="spellStart"/>
      <w:r>
        <w:t>A</w:t>
      </w:r>
      <w:r w:rsidRPr="00657656">
        <w:t>mv</w:t>
      </w:r>
      <w:proofErr w:type="spellEnd"/>
      <w:r w:rsidRPr="00657656">
        <w:t xml:space="preserve"> kunnen bij aanhoudend </w:t>
      </w:r>
      <w:proofErr w:type="spellStart"/>
      <w:r w:rsidRPr="00657656">
        <w:t>overlastgevend</w:t>
      </w:r>
      <w:proofErr w:type="spellEnd"/>
      <w:r w:rsidRPr="00657656">
        <w:t xml:space="preserve"> gedrag worden overgeplaatst naar gespecialiseerde, kleinschalige opvang. In Perspectief Opvang </w:t>
      </w:r>
      <w:proofErr w:type="spellStart"/>
      <w:r w:rsidRPr="00657656">
        <w:t>Nidos</w:t>
      </w:r>
      <w:proofErr w:type="spellEnd"/>
      <w:r w:rsidRPr="00657656">
        <w:t xml:space="preserve"> (PON) worden </w:t>
      </w:r>
      <w:proofErr w:type="spellStart"/>
      <w:r w:rsidRPr="00657656">
        <w:t>amv</w:t>
      </w:r>
      <w:proofErr w:type="spellEnd"/>
      <w:r w:rsidRPr="00657656">
        <w:t xml:space="preserve"> opgevangen die ernstige overlast hebben veroorzaakt. Zij krijgen in een aangepaste setting intensieve begeleiding. Om de capaciteit voor de opvang van </w:t>
      </w:r>
      <w:proofErr w:type="spellStart"/>
      <w:r w:rsidRPr="00657656">
        <w:t>overlastgevende</w:t>
      </w:r>
      <w:proofErr w:type="spellEnd"/>
      <w:r w:rsidRPr="00657656">
        <w:t xml:space="preserve"> </w:t>
      </w:r>
      <w:proofErr w:type="spellStart"/>
      <w:r w:rsidRPr="00657656">
        <w:t>amv</w:t>
      </w:r>
      <w:proofErr w:type="spellEnd"/>
      <w:r w:rsidRPr="00657656">
        <w:t xml:space="preserve"> uit te breiden, is het streven om de PON op korte termijn uit te breiden. Recent is ook de </w:t>
      </w:r>
      <w:proofErr w:type="spellStart"/>
      <w:r w:rsidRPr="00657656">
        <w:t>iba</w:t>
      </w:r>
      <w:proofErr w:type="spellEnd"/>
      <w:r w:rsidRPr="00657656">
        <w:t xml:space="preserve"> (intensieve begeleiding </w:t>
      </w:r>
      <w:proofErr w:type="spellStart"/>
      <w:r w:rsidRPr="00657656">
        <w:t>amv</w:t>
      </w:r>
      <w:proofErr w:type="spellEnd"/>
      <w:r w:rsidRPr="00657656">
        <w:t xml:space="preserve">) in Nijmegen geopend, een speciale opvangvorm voor </w:t>
      </w:r>
      <w:r>
        <w:t>alleenstaande minderjarige vreemdelingen</w:t>
      </w:r>
      <w:r w:rsidRPr="00657656">
        <w:t xml:space="preserve"> met zorgelijk gedrag. </w:t>
      </w:r>
    </w:p>
    <w:p w:rsidR="00A505E2" w:rsidP="00A505E2" w:rsidRDefault="00A505E2" w14:paraId="62BE2694" w14:textId="70476584">
      <w:pPr>
        <w:spacing w:line="276" w:lineRule="auto"/>
      </w:pPr>
      <w:r>
        <w:t xml:space="preserve">In de afgelopen periode hebben meerdere gemeenten zich gemeld met betrekking tot de overlastproblematiek van alleenstaande minderjarige vreemdelingen. Daaruit kwam het beeld naar voren dat het relatief vaak gaat om een (mobiele) groep </w:t>
      </w:r>
      <w:proofErr w:type="spellStart"/>
      <w:r>
        <w:t>amv</w:t>
      </w:r>
      <w:proofErr w:type="spellEnd"/>
      <w:r>
        <w:t xml:space="preserve">, die overlast pleegt in een andere gemeente dan waar zij feitelijk verblijven. Naar aanleiding daarvan zijn extra afspraken gemaakt over de aansluiting tussen gemeenten en betrokken organisaties uit de vreemdelingen- en strafrechtketen. Om te waarborgen dat casusregie wordt gevoerd om overlast te voorkomen en te beperken, is het van belang dat gemeenten, politie, </w:t>
      </w:r>
      <w:proofErr w:type="spellStart"/>
      <w:r>
        <w:t>Nidos</w:t>
      </w:r>
      <w:proofErr w:type="spellEnd"/>
      <w:r>
        <w:t xml:space="preserve"> en COA elkaar (tijdig) informeren om elkaar zo optimaal in stelling te brengen.</w:t>
      </w:r>
    </w:p>
    <w:p w:rsidR="00A505E2" w:rsidP="00A505E2" w:rsidRDefault="00A505E2" w14:paraId="33DADE99" w14:textId="77777777">
      <w:pPr>
        <w:spacing w:line="276" w:lineRule="auto"/>
      </w:pPr>
    </w:p>
    <w:p w:rsidR="00A505E2" w:rsidP="00A505E2" w:rsidRDefault="00A505E2" w14:paraId="6E9A5D75" w14:textId="6CE67A21">
      <w:pPr>
        <w:spacing w:line="276" w:lineRule="auto"/>
      </w:pPr>
      <w:r>
        <w:t>Het uitgangspunt is dat bij ernstige misdrijven er alles aan wordt gedaan om het verblijfsrecht te weigeren of in te trekken van asielzoekers, inclusief alleenstaande minderjarige vreemdelingen. Daartoe is eerder besloten</w:t>
      </w:r>
      <w:r w:rsidRPr="00BC6CEA">
        <w:t xml:space="preserve"> om bij de beoordeling of een asielvergunning</w:t>
      </w:r>
      <w:r>
        <w:t xml:space="preserve"> </w:t>
      </w:r>
      <w:r w:rsidRPr="00BC6CEA">
        <w:t>moet worden ingetrokken of geweigerd wegens openbare orde</w:t>
      </w:r>
      <w:r>
        <w:t xml:space="preserve">, </w:t>
      </w:r>
      <w:r w:rsidRPr="00BC6CEA">
        <w:t>ook veroordelingen</w:t>
      </w:r>
      <w:r>
        <w:t xml:space="preserve"> </w:t>
      </w:r>
      <w:r w:rsidRPr="00BC6CEA">
        <w:t>van minderjarigen die zijn berecht volgens het jeugdstrafrecht mee te wegen.</w:t>
      </w:r>
      <w:r>
        <w:rPr>
          <w:rStyle w:val="Voetnootmarkering"/>
        </w:rPr>
        <w:footnoteReference w:id="4"/>
      </w:r>
      <w:r>
        <w:t xml:space="preserve"> </w:t>
      </w:r>
      <w:r w:rsidRPr="002F6629">
        <w:t xml:space="preserve">De IND kan de verblijfsvergunning asiel weigeren of intrekken op grond van openbare orde indien de vreemdeling (onherroepelijk) is veroordeeld voor een (bijzonder) ernstig misdrijf, de vreemdeling een gevaar voor de gemeenschap vormt en de afwijzing of intrekking evenredig is. Daarbij moet wel worden voldaan aan eisen die door de jurisprudentie op grond van de EU-Kwalificatierichtlijn worden gesteld. Bij een intrekking moet er ook worden voldaan </w:t>
      </w:r>
      <w:r w:rsidRPr="002F6629">
        <w:lastRenderedPageBreak/>
        <w:t xml:space="preserve">aan de glijdende schaal. </w:t>
      </w:r>
      <w:r w:rsidRPr="00382C6B" w:rsidR="00382C6B">
        <w:t>Terugkeer naar het land van herkomst kan alleen plaatsvinden als vast is komen te staan dat er sprake is van adequate opvang in het land van herkomst bij familieleden of in een opvangfaciliteit</w:t>
      </w:r>
      <w:r w:rsidR="00382C6B">
        <w:t>.</w:t>
      </w:r>
    </w:p>
    <w:p w:rsidR="00A505E2" w:rsidP="00A505E2" w:rsidRDefault="00A505E2" w14:paraId="33005574" w14:textId="77777777">
      <w:pPr>
        <w:spacing w:line="276" w:lineRule="auto"/>
      </w:pPr>
    </w:p>
    <w:p w:rsidR="00A505E2" w:rsidP="00A505E2" w:rsidRDefault="00A505E2" w14:paraId="2EDB1809" w14:textId="76D9ADA3">
      <w:pPr>
        <w:spacing w:line="276" w:lineRule="auto"/>
      </w:pPr>
      <w:r w:rsidRPr="00506736">
        <w:t>Naast deze maatregelen verwacht ik dat de lopende wetstrajecten bijdragen aan een afname van overlast.</w:t>
      </w:r>
      <w:r>
        <w:t xml:space="preserve"> T</w:t>
      </w:r>
      <w:r w:rsidRPr="00B500DA">
        <w:t xml:space="preserve">evens wordt middels de voorgestelde uitbreiding van de </w:t>
      </w:r>
      <w:proofErr w:type="spellStart"/>
      <w:r w:rsidRPr="00B500DA">
        <w:t>ongewenstverklaring</w:t>
      </w:r>
      <w:proofErr w:type="spellEnd"/>
      <w:r w:rsidRPr="00B500DA">
        <w:t xml:space="preserve"> het handelingsperspectief ten aanzien van criminele en daarmee veelal </w:t>
      </w:r>
      <w:proofErr w:type="spellStart"/>
      <w:r w:rsidRPr="00B500DA">
        <w:t>overlastgevende</w:t>
      </w:r>
      <w:proofErr w:type="spellEnd"/>
      <w:r w:rsidRPr="00B500DA">
        <w:t>, onrechtmatig verblijvende vreemdelingen van buiten de EU versterkt.</w:t>
      </w:r>
    </w:p>
    <w:p w:rsidR="00A505E2" w:rsidP="00A505E2" w:rsidRDefault="00A505E2" w14:paraId="2635E365" w14:textId="77777777">
      <w:pPr>
        <w:spacing w:line="276" w:lineRule="auto"/>
      </w:pPr>
    </w:p>
    <w:p w:rsidRPr="00506736" w:rsidR="00A505E2" w:rsidP="00A505E2" w:rsidRDefault="00A505E2" w14:paraId="7C615029" w14:textId="77777777">
      <w:pPr>
        <w:spacing w:line="276" w:lineRule="auto"/>
        <w:rPr>
          <w:i/>
          <w:iCs/>
        </w:rPr>
      </w:pPr>
      <w:r>
        <w:rPr>
          <w:i/>
          <w:iCs/>
        </w:rPr>
        <w:t>Tot slot</w:t>
      </w:r>
    </w:p>
    <w:p w:rsidR="00A505E2" w:rsidP="00A505E2" w:rsidRDefault="00A505E2" w14:paraId="3C4D371F" w14:textId="1F8385A7">
      <w:pPr>
        <w:spacing w:line="276" w:lineRule="auto"/>
      </w:pPr>
      <w:r w:rsidRPr="006D4228">
        <w:t xml:space="preserve">Het rapport geeft, gezien de </w:t>
      </w:r>
      <w:r>
        <w:t xml:space="preserve">kwantitatieve </w:t>
      </w:r>
      <w:r w:rsidRPr="006D4228">
        <w:t xml:space="preserve">aard van het onderzoek, geen antwoord op de vraag waarom </w:t>
      </w:r>
      <w:r>
        <w:t xml:space="preserve">een </w:t>
      </w:r>
      <w:r w:rsidR="00610021">
        <w:t>in omvang beperkt</w:t>
      </w:r>
      <w:r w:rsidR="00136B42">
        <w:t xml:space="preserve"> </w:t>
      </w:r>
      <w:r>
        <w:t xml:space="preserve">deel van de </w:t>
      </w:r>
      <w:r w:rsidRPr="006D4228">
        <w:t xml:space="preserve">asielzoekers </w:t>
      </w:r>
      <w:proofErr w:type="spellStart"/>
      <w:r w:rsidRPr="006D4228">
        <w:t>overlastgevend</w:t>
      </w:r>
      <w:proofErr w:type="spellEnd"/>
      <w:r w:rsidRPr="006D4228">
        <w:t xml:space="preserve"> gedrag verto</w:t>
      </w:r>
      <w:r>
        <w:t>o</w:t>
      </w:r>
      <w:r w:rsidRPr="006D4228">
        <w:t>n</w:t>
      </w:r>
      <w:r>
        <w:t>t</w:t>
      </w:r>
      <w:r w:rsidRPr="006D4228">
        <w:t xml:space="preserve">. Meer inzicht in de drijfveren voor </w:t>
      </w:r>
      <w:proofErr w:type="spellStart"/>
      <w:r w:rsidRPr="006D4228">
        <w:t>overlastgevend</w:t>
      </w:r>
      <w:proofErr w:type="spellEnd"/>
      <w:r w:rsidRPr="006D4228">
        <w:t xml:space="preserve"> en crimineel gedrag van asielzoekers helpt om nog effectiever in te kunnen zetten op preventie en sancties. </w:t>
      </w:r>
      <w:r>
        <w:t xml:space="preserve">Ik verwacht dat het onderzoek naar de (grond)oorzaken van </w:t>
      </w:r>
      <w:proofErr w:type="spellStart"/>
      <w:r>
        <w:t>overlastgevend</w:t>
      </w:r>
      <w:proofErr w:type="spellEnd"/>
      <w:r>
        <w:t xml:space="preserve"> gedrag, dat in opdracht van het WODC wordt uitgevoerd, in september 2025 zal zijn afgerond.</w:t>
      </w:r>
    </w:p>
    <w:p w:rsidR="00A505E2" w:rsidP="00A505E2" w:rsidRDefault="00A505E2" w14:paraId="79486E69" w14:textId="77777777">
      <w:pPr>
        <w:spacing w:line="276" w:lineRule="auto"/>
      </w:pPr>
    </w:p>
    <w:p w:rsidR="00C6160C" w:rsidP="00A505E2" w:rsidRDefault="00A505E2" w14:paraId="723C2185" w14:textId="17A8DFE1">
      <w:pPr>
        <w:spacing w:line="276" w:lineRule="auto"/>
      </w:pPr>
      <w:r>
        <w:t>Verder voert het WODC een onderzoek uit waarin kenmerken van de bewonersgroepen op individuele locaties centraal staan. Dit duidingsonderzoek dat naar verwachting voor einde van dit jaar zal zijn afgerond, zal handvatten bieden om het plaatsingsbeleid zodanig in te richten dat</w:t>
      </w:r>
      <w:r w:rsidR="00C6160C">
        <w:t xml:space="preserve"> overlast zoveel mogelijk wordt beperkt.</w:t>
      </w:r>
    </w:p>
    <w:p w:rsidR="00D80838" w:rsidP="00A505E2" w:rsidRDefault="00D80838" w14:paraId="22733421" w14:textId="77777777">
      <w:pPr>
        <w:spacing w:line="276" w:lineRule="auto"/>
      </w:pPr>
    </w:p>
    <w:p w:rsidR="0060554D" w:rsidP="00A505E2" w:rsidRDefault="00BA774E" w14:paraId="2D020482" w14:textId="6D79E3EC">
      <w:pPr>
        <w:spacing w:line="276" w:lineRule="auto"/>
      </w:pPr>
      <w:r w:rsidRPr="00BA774E">
        <w:t xml:space="preserve">Omwonenden, ondernemers en andere bewoners van een azc mogen niet de dupe worden van het feit dat we opvang bieden aan asielzoekers die daar recht op hebben. Met de maatregelen onder de vier pijlers van de nationale aanpak worden </w:t>
      </w:r>
      <w:proofErr w:type="spellStart"/>
      <w:r w:rsidRPr="00BA774E">
        <w:t>overlastgevende</w:t>
      </w:r>
      <w:proofErr w:type="spellEnd"/>
      <w:r w:rsidRPr="00BA774E">
        <w:t xml:space="preserve"> asielzoekers adequaat aangepakt. Zo merken overlastgevers </w:t>
      </w:r>
      <w:proofErr w:type="gramStart"/>
      <w:r w:rsidRPr="00BA774E">
        <w:t>dat  negatief</w:t>
      </w:r>
      <w:proofErr w:type="gramEnd"/>
      <w:r w:rsidRPr="00BA774E">
        <w:t xml:space="preserve"> gedrag niet wordt getolereerd en dat de autoriteiten in Nederland normerend optreden.</w:t>
      </w:r>
    </w:p>
    <w:p w:rsidRPr="0069351B" w:rsidR="00A505E2" w:rsidP="00A505E2" w:rsidRDefault="00A505E2" w14:paraId="2CEECE38" w14:textId="77777777">
      <w:pPr>
        <w:spacing w:line="276" w:lineRule="auto"/>
      </w:pPr>
    </w:p>
    <w:p w:rsidRPr="0069351B" w:rsidR="00A505E2" w:rsidP="00A505E2" w:rsidRDefault="00A505E2" w14:paraId="606A0A4A" w14:textId="77777777">
      <w:pPr>
        <w:spacing w:line="276" w:lineRule="auto"/>
      </w:pPr>
    </w:p>
    <w:p w:rsidR="00FF7173" w:rsidP="00FF7173" w:rsidRDefault="00FF7173" w14:paraId="75655E69" w14:textId="5D4DAA30">
      <w:r>
        <w:t>De Minister v</w:t>
      </w:r>
      <w:r w:rsidR="006F59C0">
        <w:t xml:space="preserve">oor </w:t>
      </w:r>
      <w:r>
        <w:t xml:space="preserve">Asiel en Migratie, </w:t>
      </w:r>
    </w:p>
    <w:p w:rsidR="00FF7173" w:rsidP="00FF7173" w:rsidRDefault="00FF7173" w14:paraId="4CE3EA10" w14:textId="77777777"/>
    <w:p w:rsidR="00FF7173" w:rsidP="00FF7173" w:rsidRDefault="006F59C0" w14:paraId="5E9754D5" w14:textId="43202726">
      <w:r>
        <w:br/>
      </w:r>
      <w:r>
        <w:br/>
      </w:r>
    </w:p>
    <w:p w:rsidRPr="0069351B" w:rsidR="00A505E2" w:rsidP="00A505E2" w:rsidRDefault="007069CB" w14:paraId="1F7EA55D" w14:textId="3BCC0378">
      <w:pPr>
        <w:spacing w:line="276" w:lineRule="auto"/>
      </w:pPr>
      <w:r w:rsidRPr="007069CB">
        <w:t>M.C.G. Keijzer</w:t>
      </w:r>
    </w:p>
    <w:p w:rsidRPr="0069351B" w:rsidR="00A505E2" w:rsidP="00A505E2" w:rsidRDefault="00A505E2" w14:paraId="69492C69" w14:textId="77777777">
      <w:pPr>
        <w:spacing w:line="276" w:lineRule="auto"/>
      </w:pPr>
    </w:p>
    <w:p w:rsidRPr="0069351B" w:rsidR="00A505E2" w:rsidP="00A505E2" w:rsidRDefault="00A505E2" w14:paraId="3739A0AC" w14:textId="77777777">
      <w:pPr>
        <w:spacing w:line="276" w:lineRule="auto"/>
      </w:pPr>
    </w:p>
    <w:p w:rsidRPr="00A505E2" w:rsidR="003B5576" w:rsidP="00A505E2" w:rsidRDefault="003B5576" w14:paraId="3AA994AB" w14:textId="77777777"/>
    <w:sectPr w:rsidRPr="00A505E2" w:rsidR="003B5576">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B529" w14:textId="77777777" w:rsidR="00EB612A" w:rsidRDefault="00EB612A">
      <w:pPr>
        <w:spacing w:line="240" w:lineRule="auto"/>
      </w:pPr>
      <w:r>
        <w:separator/>
      </w:r>
    </w:p>
  </w:endnote>
  <w:endnote w:type="continuationSeparator" w:id="0">
    <w:p w14:paraId="1B7FC24F" w14:textId="77777777" w:rsidR="00EB612A" w:rsidRDefault="00EB6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AE15" w14:textId="77777777" w:rsidR="00EB612A" w:rsidRDefault="00EB612A">
      <w:pPr>
        <w:spacing w:line="240" w:lineRule="auto"/>
      </w:pPr>
      <w:r>
        <w:separator/>
      </w:r>
    </w:p>
  </w:footnote>
  <w:footnote w:type="continuationSeparator" w:id="0">
    <w:p w14:paraId="009C5B00" w14:textId="77777777" w:rsidR="00EB612A" w:rsidRDefault="00EB612A">
      <w:pPr>
        <w:spacing w:line="240" w:lineRule="auto"/>
      </w:pPr>
      <w:r>
        <w:continuationSeparator/>
      </w:r>
    </w:p>
  </w:footnote>
  <w:footnote w:id="1">
    <w:p w14:paraId="357E2197" w14:textId="77777777" w:rsidR="00A505E2" w:rsidRPr="006E54D1" w:rsidRDefault="00A505E2" w:rsidP="00A505E2">
      <w:pPr>
        <w:pStyle w:val="Voetnoottekst"/>
        <w:rPr>
          <w:rFonts w:ascii="Verdana" w:hAnsi="Verdana"/>
          <w:sz w:val="16"/>
          <w:szCs w:val="16"/>
        </w:rPr>
      </w:pPr>
      <w:r w:rsidRPr="00641F08">
        <w:rPr>
          <w:rStyle w:val="Voetnootmarkering"/>
          <w:rFonts w:ascii="Verdana" w:hAnsi="Verdana"/>
          <w:sz w:val="16"/>
          <w:szCs w:val="16"/>
        </w:rPr>
        <w:footnoteRef/>
      </w:r>
      <w:r w:rsidRPr="00641F08">
        <w:rPr>
          <w:rFonts w:ascii="Verdana" w:hAnsi="Verdana"/>
          <w:sz w:val="16"/>
          <w:szCs w:val="16"/>
        </w:rPr>
        <w:t xml:space="preserve"> </w:t>
      </w:r>
      <w:r w:rsidRPr="006E54D1">
        <w:rPr>
          <w:rFonts w:ascii="Verdana" w:hAnsi="Verdana"/>
          <w:sz w:val="16"/>
          <w:szCs w:val="16"/>
        </w:rPr>
        <w:t>De doelgroep heeft zowel betrekking op (uitgeprocedeerde) asielzoekers als statushouders die in de COA-opvang verblijven of een tijdelijke gemeentelijke opvanglocatie.</w:t>
      </w:r>
    </w:p>
  </w:footnote>
  <w:footnote w:id="2">
    <w:p w14:paraId="3033811F" w14:textId="1662F1EC" w:rsidR="00B213A0" w:rsidRPr="006E54D1" w:rsidRDefault="00B213A0">
      <w:pPr>
        <w:pStyle w:val="Voetnoottekst"/>
      </w:pPr>
      <w:r w:rsidRPr="00B213A0">
        <w:rPr>
          <w:rStyle w:val="Voetnootmarkering"/>
          <w:rFonts w:ascii="Verdana" w:hAnsi="Verdana"/>
          <w:sz w:val="16"/>
          <w:szCs w:val="16"/>
        </w:rPr>
        <w:footnoteRef/>
      </w:r>
      <w:r w:rsidRPr="00B213A0">
        <w:rPr>
          <w:rFonts w:ascii="Verdana" w:hAnsi="Verdana"/>
          <w:sz w:val="16"/>
          <w:szCs w:val="16"/>
        </w:rPr>
        <w:t xml:space="preserve"> Naast incidenten die plaatsvinden op COA-locaties, worden in voorkomende gevallen ook incidenten gerapporteerd die daarbuiten plaatvinden. Het COA registreert incidenten die buiten de opvanglocatie plaatsvinden als deze invloed kunnen hebben op de sfeer of situatie op de locatie zelf.</w:t>
      </w:r>
    </w:p>
  </w:footnote>
  <w:footnote w:id="3">
    <w:p w14:paraId="42DB7692" w14:textId="77777777" w:rsidR="00A505E2" w:rsidRPr="006E54D1" w:rsidRDefault="00A505E2" w:rsidP="00A505E2">
      <w:pPr>
        <w:pStyle w:val="Voetnoottekst"/>
        <w:rPr>
          <w:rFonts w:ascii="Verdana" w:hAnsi="Verdana"/>
          <w:sz w:val="16"/>
          <w:szCs w:val="16"/>
        </w:rPr>
      </w:pPr>
      <w:r w:rsidRPr="003F2B0D">
        <w:rPr>
          <w:rStyle w:val="Voetnootmarkering"/>
          <w:rFonts w:ascii="Verdana" w:hAnsi="Verdana"/>
          <w:sz w:val="16"/>
          <w:szCs w:val="16"/>
        </w:rPr>
        <w:footnoteRef/>
      </w:r>
      <w:r w:rsidRPr="003F2B0D">
        <w:rPr>
          <w:rFonts w:ascii="Verdana" w:hAnsi="Verdana"/>
          <w:sz w:val="16"/>
          <w:szCs w:val="16"/>
        </w:rPr>
        <w:t xml:space="preserve"> De cijfers over misdrijven voor 2024 worden pas later dit jaar gepubliceerd in een nieuwe editie van Criminaliteit en Rechtshandhaving. Daarom wordt in het onderzoek gebruik gemaakt van cijfers over misdrijven uit 2023 zoals gepubliceerd in </w:t>
      </w:r>
      <w:proofErr w:type="spellStart"/>
      <w:r w:rsidRPr="003F2B0D">
        <w:rPr>
          <w:rFonts w:ascii="Verdana" w:hAnsi="Verdana"/>
          <w:sz w:val="16"/>
          <w:szCs w:val="16"/>
        </w:rPr>
        <w:t>Moolenaar</w:t>
      </w:r>
      <w:proofErr w:type="spellEnd"/>
      <w:r w:rsidRPr="003F2B0D">
        <w:rPr>
          <w:rFonts w:ascii="Verdana" w:hAnsi="Verdana"/>
          <w:sz w:val="16"/>
          <w:szCs w:val="16"/>
        </w:rPr>
        <w:t xml:space="preserve"> (2024).</w:t>
      </w:r>
    </w:p>
  </w:footnote>
  <w:footnote w:id="4">
    <w:p w14:paraId="78609B46" w14:textId="77777777" w:rsidR="00A505E2" w:rsidRPr="00641F08" w:rsidRDefault="00A505E2" w:rsidP="00A505E2">
      <w:pPr>
        <w:pStyle w:val="Voetnoottekst"/>
        <w:rPr>
          <w:rFonts w:ascii="Verdana" w:hAnsi="Verdana"/>
          <w:sz w:val="16"/>
          <w:szCs w:val="16"/>
          <w:lang w:val="en-US"/>
        </w:rPr>
      </w:pPr>
      <w:r w:rsidRPr="00641F08">
        <w:rPr>
          <w:rStyle w:val="Voetnootmarkering"/>
          <w:rFonts w:ascii="Verdana" w:hAnsi="Verdana"/>
          <w:sz w:val="16"/>
          <w:szCs w:val="16"/>
        </w:rPr>
        <w:footnoteRef/>
      </w:r>
      <w:r w:rsidRPr="00641F08">
        <w:rPr>
          <w:rFonts w:ascii="Verdana" w:hAnsi="Verdana"/>
          <w:sz w:val="16"/>
          <w:szCs w:val="16"/>
        </w:rPr>
        <w:t xml:space="preserve"> Kamerstuk 19637, nr. 3327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C9AA" w14:textId="77777777" w:rsidR="009E7E67" w:rsidRDefault="003D292C">
    <w:r>
      <w:rPr>
        <w:noProof/>
      </w:rPr>
      <mc:AlternateContent>
        <mc:Choice Requires="wps">
          <w:drawing>
            <wp:anchor distT="0" distB="0" distL="0" distR="0" simplePos="0" relativeHeight="251652096" behindDoc="0" locked="1" layoutInCell="1" allowOverlap="1" wp14:anchorId="4444561E" wp14:editId="0CA8991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689D1F" w14:textId="77777777" w:rsidR="00AF232B" w:rsidRDefault="00AF232B"/>
                      </w:txbxContent>
                    </wps:txbx>
                    <wps:bodyPr vert="horz" wrap="square" lIns="0" tIns="0" rIns="0" bIns="0" anchor="t" anchorCtr="0"/>
                  </wps:wsp>
                </a:graphicData>
              </a:graphic>
            </wp:anchor>
          </w:drawing>
        </mc:Choice>
        <mc:Fallback>
          <w:pict>
            <v:shapetype w14:anchorId="4444561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2689D1F"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B04BE53" wp14:editId="400642E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9D5E49" w14:textId="77777777" w:rsidR="009E7E67" w:rsidRDefault="003D292C">
                          <w:pPr>
                            <w:pStyle w:val="Referentiegegevensbold"/>
                          </w:pPr>
                          <w:r>
                            <w:t>Directoraat-Generaal Migratie</w:t>
                          </w:r>
                        </w:p>
                        <w:p w14:paraId="0536EBA4" w14:textId="77777777" w:rsidR="009E7E67" w:rsidRDefault="003D292C">
                          <w:pPr>
                            <w:pStyle w:val="Referentiegegevens"/>
                          </w:pPr>
                          <w:r>
                            <w:t>Directie Migratiebeleid</w:t>
                          </w:r>
                        </w:p>
                        <w:p w14:paraId="7ABB21FE" w14:textId="77777777" w:rsidR="009E7E67" w:rsidRDefault="009E7E67">
                          <w:pPr>
                            <w:pStyle w:val="WitregelW2"/>
                          </w:pPr>
                        </w:p>
                        <w:p w14:paraId="7814109F" w14:textId="77777777" w:rsidR="009E7E67" w:rsidRDefault="003D292C">
                          <w:pPr>
                            <w:pStyle w:val="Referentiegegevensbold"/>
                          </w:pPr>
                          <w:r>
                            <w:t>Datum</w:t>
                          </w:r>
                        </w:p>
                        <w:p w14:paraId="34CE8DA3" w14:textId="7A2518B3" w:rsidR="009E7E67" w:rsidRDefault="00D63367">
                          <w:pPr>
                            <w:pStyle w:val="Referentiegegevens"/>
                          </w:pPr>
                          <w:sdt>
                            <w:sdtPr>
                              <w:id w:val="-900750170"/>
                              <w:date w:fullDate="2025-07-11T00:00:00Z">
                                <w:dateFormat w:val="d MMMM yyyy"/>
                                <w:lid w:val="nl"/>
                                <w:storeMappedDataAs w:val="dateTime"/>
                                <w:calendar w:val="gregorian"/>
                              </w:date>
                            </w:sdtPr>
                            <w:sdtEndPr/>
                            <w:sdtContent>
                              <w:r w:rsidR="006D4B78">
                                <w:rPr>
                                  <w:lang w:val="nl"/>
                                </w:rPr>
                                <w:t>11 juli 2025</w:t>
                              </w:r>
                            </w:sdtContent>
                          </w:sdt>
                        </w:p>
                        <w:p w14:paraId="731C7303" w14:textId="77777777" w:rsidR="009E7E67" w:rsidRDefault="009E7E67">
                          <w:pPr>
                            <w:pStyle w:val="WitregelW1"/>
                          </w:pPr>
                        </w:p>
                        <w:p w14:paraId="25754143" w14:textId="77777777" w:rsidR="009E7E67" w:rsidRDefault="003D292C">
                          <w:pPr>
                            <w:pStyle w:val="Referentiegegevensbold"/>
                          </w:pPr>
                          <w:r>
                            <w:t>Onze referentie</w:t>
                          </w:r>
                        </w:p>
                        <w:p w14:paraId="1E5574E5" w14:textId="77777777" w:rsidR="009E7E67" w:rsidRDefault="003D292C">
                          <w:pPr>
                            <w:pStyle w:val="Referentiegegevens"/>
                          </w:pPr>
                          <w:r>
                            <w:t>6423210</w:t>
                          </w:r>
                        </w:p>
                      </w:txbxContent>
                    </wps:txbx>
                    <wps:bodyPr vert="horz" wrap="square" lIns="0" tIns="0" rIns="0" bIns="0" anchor="t" anchorCtr="0"/>
                  </wps:wsp>
                </a:graphicData>
              </a:graphic>
            </wp:anchor>
          </w:drawing>
        </mc:Choice>
        <mc:Fallback>
          <w:pict>
            <v:shape w14:anchorId="3B04BE5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99D5E49" w14:textId="77777777" w:rsidR="009E7E67" w:rsidRDefault="003D292C">
                    <w:pPr>
                      <w:pStyle w:val="Referentiegegevensbold"/>
                    </w:pPr>
                    <w:r>
                      <w:t>Directoraat-Generaal Migratie</w:t>
                    </w:r>
                  </w:p>
                  <w:p w14:paraId="0536EBA4" w14:textId="77777777" w:rsidR="009E7E67" w:rsidRDefault="003D292C">
                    <w:pPr>
                      <w:pStyle w:val="Referentiegegevens"/>
                    </w:pPr>
                    <w:r>
                      <w:t>Directie Migratiebeleid</w:t>
                    </w:r>
                  </w:p>
                  <w:p w14:paraId="7ABB21FE" w14:textId="77777777" w:rsidR="009E7E67" w:rsidRDefault="009E7E67">
                    <w:pPr>
                      <w:pStyle w:val="WitregelW2"/>
                    </w:pPr>
                  </w:p>
                  <w:p w14:paraId="7814109F" w14:textId="77777777" w:rsidR="009E7E67" w:rsidRDefault="003D292C">
                    <w:pPr>
                      <w:pStyle w:val="Referentiegegevensbold"/>
                    </w:pPr>
                    <w:r>
                      <w:t>Datum</w:t>
                    </w:r>
                  </w:p>
                  <w:p w14:paraId="34CE8DA3" w14:textId="7A2518B3" w:rsidR="009E7E67" w:rsidRDefault="00D63367">
                    <w:pPr>
                      <w:pStyle w:val="Referentiegegevens"/>
                    </w:pPr>
                    <w:sdt>
                      <w:sdtPr>
                        <w:id w:val="-900750170"/>
                        <w:date w:fullDate="2025-07-11T00:00:00Z">
                          <w:dateFormat w:val="d MMMM yyyy"/>
                          <w:lid w:val="nl"/>
                          <w:storeMappedDataAs w:val="dateTime"/>
                          <w:calendar w:val="gregorian"/>
                        </w:date>
                      </w:sdtPr>
                      <w:sdtEndPr/>
                      <w:sdtContent>
                        <w:r w:rsidR="006D4B78">
                          <w:rPr>
                            <w:lang w:val="nl"/>
                          </w:rPr>
                          <w:t>11 juli 2025</w:t>
                        </w:r>
                      </w:sdtContent>
                    </w:sdt>
                  </w:p>
                  <w:p w14:paraId="731C7303" w14:textId="77777777" w:rsidR="009E7E67" w:rsidRDefault="009E7E67">
                    <w:pPr>
                      <w:pStyle w:val="WitregelW1"/>
                    </w:pPr>
                  </w:p>
                  <w:p w14:paraId="25754143" w14:textId="77777777" w:rsidR="009E7E67" w:rsidRDefault="003D292C">
                    <w:pPr>
                      <w:pStyle w:val="Referentiegegevensbold"/>
                    </w:pPr>
                    <w:r>
                      <w:t>Onze referentie</w:t>
                    </w:r>
                  </w:p>
                  <w:p w14:paraId="1E5574E5" w14:textId="77777777" w:rsidR="009E7E67" w:rsidRDefault="003D292C">
                    <w:pPr>
                      <w:pStyle w:val="Referentiegegevens"/>
                    </w:pPr>
                    <w:r>
                      <w:t>6423210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B408B94" wp14:editId="06377E7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8C19EC" w14:textId="77777777" w:rsidR="00AF232B" w:rsidRDefault="00AF232B"/>
                      </w:txbxContent>
                    </wps:txbx>
                    <wps:bodyPr vert="horz" wrap="square" lIns="0" tIns="0" rIns="0" bIns="0" anchor="t" anchorCtr="0"/>
                  </wps:wsp>
                </a:graphicData>
              </a:graphic>
            </wp:anchor>
          </w:drawing>
        </mc:Choice>
        <mc:Fallback>
          <w:pict>
            <v:shape w14:anchorId="4B408B9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98C19EC"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9FA6814" wp14:editId="3677957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D24EBD" w14:textId="049BA6D1" w:rsidR="009E7E67" w:rsidRDefault="003D292C">
                          <w:pPr>
                            <w:pStyle w:val="Referentiegegevens"/>
                          </w:pPr>
                          <w:r>
                            <w:t xml:space="preserve">Pagina </w:t>
                          </w:r>
                          <w:r>
                            <w:fldChar w:fldCharType="begin"/>
                          </w:r>
                          <w:r>
                            <w:instrText>PAGE</w:instrText>
                          </w:r>
                          <w:r>
                            <w:fldChar w:fldCharType="separate"/>
                          </w:r>
                          <w:r w:rsidR="003B5576">
                            <w:rPr>
                              <w:noProof/>
                            </w:rPr>
                            <w:t>2</w:t>
                          </w:r>
                          <w:r>
                            <w:fldChar w:fldCharType="end"/>
                          </w:r>
                          <w:r>
                            <w:t xml:space="preserve"> van </w:t>
                          </w:r>
                          <w:r>
                            <w:fldChar w:fldCharType="begin"/>
                          </w:r>
                          <w:r>
                            <w:instrText>NUMPAGES</w:instrText>
                          </w:r>
                          <w:r>
                            <w:fldChar w:fldCharType="separate"/>
                          </w:r>
                          <w:r w:rsidR="003B5576">
                            <w:rPr>
                              <w:noProof/>
                            </w:rPr>
                            <w:t>2</w:t>
                          </w:r>
                          <w:r>
                            <w:fldChar w:fldCharType="end"/>
                          </w:r>
                        </w:p>
                      </w:txbxContent>
                    </wps:txbx>
                    <wps:bodyPr vert="horz" wrap="square" lIns="0" tIns="0" rIns="0" bIns="0" anchor="t" anchorCtr="0"/>
                  </wps:wsp>
                </a:graphicData>
              </a:graphic>
            </wp:anchor>
          </w:drawing>
        </mc:Choice>
        <mc:Fallback>
          <w:pict>
            <v:shape w14:anchorId="19FA681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8D24EBD" w14:textId="049BA6D1" w:rsidR="009E7E67" w:rsidRDefault="003D292C">
                    <w:pPr>
                      <w:pStyle w:val="Referentiegegevens"/>
                    </w:pPr>
                    <w:r>
                      <w:t xml:space="preserve">Pagina </w:t>
                    </w:r>
                    <w:r>
                      <w:fldChar w:fldCharType="begin"/>
                    </w:r>
                    <w:r>
                      <w:instrText>PAGE</w:instrText>
                    </w:r>
                    <w:r>
                      <w:fldChar w:fldCharType="separate"/>
                    </w:r>
                    <w:r w:rsidR="003B5576">
                      <w:rPr>
                        <w:noProof/>
                      </w:rPr>
                      <w:t>2</w:t>
                    </w:r>
                    <w:r>
                      <w:fldChar w:fldCharType="end"/>
                    </w:r>
                    <w:r>
                      <w:t xml:space="preserve"> van </w:t>
                    </w:r>
                    <w:r>
                      <w:fldChar w:fldCharType="begin"/>
                    </w:r>
                    <w:r>
                      <w:instrText>NUMPAGES</w:instrText>
                    </w:r>
                    <w:r>
                      <w:fldChar w:fldCharType="separate"/>
                    </w:r>
                    <w:r w:rsidR="003B5576">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6956" w14:textId="77777777" w:rsidR="009E7E67" w:rsidRDefault="003D292C">
    <w:pPr>
      <w:spacing w:after="6377" w:line="14" w:lineRule="exact"/>
    </w:pPr>
    <w:r>
      <w:rPr>
        <w:noProof/>
      </w:rPr>
      <mc:AlternateContent>
        <mc:Choice Requires="wps">
          <w:drawing>
            <wp:anchor distT="0" distB="0" distL="0" distR="0" simplePos="0" relativeHeight="251656192" behindDoc="0" locked="1" layoutInCell="1" allowOverlap="1" wp14:anchorId="24AECE87" wp14:editId="6135DD0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F97145" w14:textId="77777777" w:rsidR="009E7E67" w:rsidRDefault="003D292C">
                          <w:pPr>
                            <w:spacing w:line="240" w:lineRule="auto"/>
                          </w:pPr>
                          <w:r>
                            <w:rPr>
                              <w:noProof/>
                            </w:rPr>
                            <w:drawing>
                              <wp:inline distT="0" distB="0" distL="0" distR="0" wp14:anchorId="18C630CB" wp14:editId="064A9B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4AECE8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FF97145" w14:textId="77777777" w:rsidR="009E7E67" w:rsidRDefault="003D292C">
                    <w:pPr>
                      <w:spacing w:line="240" w:lineRule="auto"/>
                    </w:pPr>
                    <w:r>
                      <w:rPr>
                        <w:noProof/>
                      </w:rPr>
                      <w:drawing>
                        <wp:inline distT="0" distB="0" distL="0" distR="0" wp14:anchorId="18C630CB" wp14:editId="064A9B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6CE9B2" wp14:editId="6F4E4C8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901B26" w14:textId="77777777" w:rsidR="009E7E67" w:rsidRDefault="003D292C">
                          <w:pPr>
                            <w:spacing w:line="240" w:lineRule="auto"/>
                          </w:pPr>
                          <w:r>
                            <w:rPr>
                              <w:noProof/>
                            </w:rPr>
                            <w:drawing>
                              <wp:inline distT="0" distB="0" distL="0" distR="0" wp14:anchorId="773CBA2B" wp14:editId="6FBEEBB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6CE9B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3901B26" w14:textId="77777777" w:rsidR="009E7E67" w:rsidRDefault="003D292C">
                    <w:pPr>
                      <w:spacing w:line="240" w:lineRule="auto"/>
                    </w:pPr>
                    <w:r>
                      <w:rPr>
                        <w:noProof/>
                      </w:rPr>
                      <w:drawing>
                        <wp:inline distT="0" distB="0" distL="0" distR="0" wp14:anchorId="773CBA2B" wp14:editId="6FBEEBB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DB6C81" wp14:editId="61DE5C0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2E64EE" w14:textId="77777777" w:rsidR="009E7E67" w:rsidRDefault="003D292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9DB6C8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32E64EE" w14:textId="77777777" w:rsidR="009E7E67" w:rsidRDefault="003D292C">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7CE669" wp14:editId="14A025A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85AB2F" w14:textId="66D8A951" w:rsidR="009E7E67" w:rsidRDefault="006205B3">
                          <w:r>
                            <w:t>Aan de Voorzitter van de Tweede Kamer</w:t>
                          </w:r>
                        </w:p>
                        <w:p w14:paraId="45A79D0E" w14:textId="7788DA9E" w:rsidR="006205B3" w:rsidRDefault="006205B3">
                          <w:proofErr w:type="gramStart"/>
                          <w:r>
                            <w:t>der</w:t>
                          </w:r>
                          <w:proofErr w:type="gramEnd"/>
                          <w:r>
                            <w:t xml:space="preserve"> Staten-Generaal</w:t>
                          </w:r>
                        </w:p>
                        <w:p w14:paraId="7695368A" w14:textId="65746C34" w:rsidR="006205B3" w:rsidRDefault="006205B3">
                          <w:r>
                            <w:t>Postbus 20018</w:t>
                          </w:r>
                        </w:p>
                        <w:p w14:paraId="32D1AFD9" w14:textId="37021B28" w:rsidR="006205B3" w:rsidRDefault="006205B3">
                          <w:r>
                            <w:t>2500 EA  DEN HAAG</w:t>
                          </w:r>
                        </w:p>
                      </w:txbxContent>
                    </wps:txbx>
                    <wps:bodyPr vert="horz" wrap="square" lIns="0" tIns="0" rIns="0" bIns="0" anchor="t" anchorCtr="0"/>
                  </wps:wsp>
                </a:graphicData>
              </a:graphic>
            </wp:anchor>
          </w:drawing>
        </mc:Choice>
        <mc:Fallback>
          <w:pict>
            <v:shape w14:anchorId="2A7CE66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885AB2F" w14:textId="66D8A951" w:rsidR="009E7E67" w:rsidRDefault="006205B3">
                    <w:r>
                      <w:t>Aan de Voorzitter van de Tweede Kamer</w:t>
                    </w:r>
                  </w:p>
                  <w:p w14:paraId="45A79D0E" w14:textId="7788DA9E" w:rsidR="006205B3" w:rsidRDefault="006205B3">
                    <w:proofErr w:type="gramStart"/>
                    <w:r>
                      <w:t>der</w:t>
                    </w:r>
                    <w:proofErr w:type="gramEnd"/>
                    <w:r>
                      <w:t xml:space="preserve"> Staten-Generaal</w:t>
                    </w:r>
                  </w:p>
                  <w:p w14:paraId="7695368A" w14:textId="65746C34" w:rsidR="006205B3" w:rsidRDefault="006205B3">
                    <w:r>
                      <w:t>Postbus 20018</w:t>
                    </w:r>
                  </w:p>
                  <w:p w14:paraId="32D1AFD9" w14:textId="37021B28" w:rsidR="006205B3" w:rsidRDefault="006205B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D0895F" wp14:editId="0132F35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E7E67" w14:paraId="2FD92F52" w14:textId="77777777">
                            <w:trPr>
                              <w:trHeight w:val="240"/>
                            </w:trPr>
                            <w:tc>
                              <w:tcPr>
                                <w:tcW w:w="1140" w:type="dxa"/>
                              </w:tcPr>
                              <w:p w14:paraId="67CD9833" w14:textId="77777777" w:rsidR="009E7E67" w:rsidRDefault="003D292C">
                                <w:r>
                                  <w:t>Datum</w:t>
                                </w:r>
                              </w:p>
                            </w:tc>
                            <w:tc>
                              <w:tcPr>
                                <w:tcW w:w="5918" w:type="dxa"/>
                              </w:tcPr>
                              <w:p w14:paraId="5554C367" w14:textId="77410B28" w:rsidR="009E7E67" w:rsidRDefault="00D63367">
                                <w:sdt>
                                  <w:sdtPr>
                                    <w:id w:val="-840616996"/>
                                    <w:date w:fullDate="2025-07-11T00:00:00Z">
                                      <w:dateFormat w:val="d MMMM yyyy"/>
                                      <w:lid w:val="nl"/>
                                      <w:storeMappedDataAs w:val="dateTime"/>
                                      <w:calendar w:val="gregorian"/>
                                    </w:date>
                                  </w:sdtPr>
                                  <w:sdtEndPr/>
                                  <w:sdtContent>
                                    <w:r w:rsidR="006D4B78">
                                      <w:rPr>
                                        <w:lang w:val="nl"/>
                                      </w:rPr>
                                      <w:t>11 juli 2025</w:t>
                                    </w:r>
                                  </w:sdtContent>
                                </w:sdt>
                              </w:p>
                            </w:tc>
                          </w:tr>
                          <w:tr w:rsidR="009E7E67" w14:paraId="2BEF65A6" w14:textId="77777777">
                            <w:trPr>
                              <w:trHeight w:val="240"/>
                            </w:trPr>
                            <w:tc>
                              <w:tcPr>
                                <w:tcW w:w="1140" w:type="dxa"/>
                              </w:tcPr>
                              <w:p w14:paraId="39F91BA8" w14:textId="77777777" w:rsidR="009E7E67" w:rsidRDefault="003D292C">
                                <w:r>
                                  <w:t>Betreft</w:t>
                                </w:r>
                              </w:p>
                            </w:tc>
                            <w:tc>
                              <w:tcPr>
                                <w:tcW w:w="5918" w:type="dxa"/>
                              </w:tcPr>
                              <w:p w14:paraId="24A6BEB8" w14:textId="270A94E6" w:rsidR="009E7E67" w:rsidRDefault="003B5576">
                                <w:r>
                                  <w:t>WODC Incidentenmonitor 2024</w:t>
                                </w:r>
                              </w:p>
                            </w:tc>
                          </w:tr>
                        </w:tbl>
                        <w:p w14:paraId="1A1B4BC0" w14:textId="77777777" w:rsidR="00AF232B" w:rsidRDefault="00AF232B"/>
                      </w:txbxContent>
                    </wps:txbx>
                    <wps:bodyPr vert="horz" wrap="square" lIns="0" tIns="0" rIns="0" bIns="0" anchor="t" anchorCtr="0"/>
                  </wps:wsp>
                </a:graphicData>
              </a:graphic>
            </wp:anchor>
          </w:drawing>
        </mc:Choice>
        <mc:Fallback>
          <w:pict>
            <v:shape w14:anchorId="5ED0895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E7E67" w14:paraId="2FD92F52" w14:textId="77777777">
                      <w:trPr>
                        <w:trHeight w:val="240"/>
                      </w:trPr>
                      <w:tc>
                        <w:tcPr>
                          <w:tcW w:w="1140" w:type="dxa"/>
                        </w:tcPr>
                        <w:p w14:paraId="67CD9833" w14:textId="77777777" w:rsidR="009E7E67" w:rsidRDefault="003D292C">
                          <w:r>
                            <w:t>Datum</w:t>
                          </w:r>
                        </w:p>
                      </w:tc>
                      <w:tc>
                        <w:tcPr>
                          <w:tcW w:w="5918" w:type="dxa"/>
                        </w:tcPr>
                        <w:p w14:paraId="5554C367" w14:textId="77410B28" w:rsidR="009E7E67" w:rsidRDefault="00D63367">
                          <w:sdt>
                            <w:sdtPr>
                              <w:id w:val="-840616996"/>
                              <w:date w:fullDate="2025-07-11T00:00:00Z">
                                <w:dateFormat w:val="d MMMM yyyy"/>
                                <w:lid w:val="nl"/>
                                <w:storeMappedDataAs w:val="dateTime"/>
                                <w:calendar w:val="gregorian"/>
                              </w:date>
                            </w:sdtPr>
                            <w:sdtEndPr/>
                            <w:sdtContent>
                              <w:r w:rsidR="006D4B78">
                                <w:rPr>
                                  <w:lang w:val="nl"/>
                                </w:rPr>
                                <w:t>11 juli 2025</w:t>
                              </w:r>
                            </w:sdtContent>
                          </w:sdt>
                        </w:p>
                      </w:tc>
                    </w:tr>
                    <w:tr w:rsidR="009E7E67" w14:paraId="2BEF65A6" w14:textId="77777777">
                      <w:trPr>
                        <w:trHeight w:val="240"/>
                      </w:trPr>
                      <w:tc>
                        <w:tcPr>
                          <w:tcW w:w="1140" w:type="dxa"/>
                        </w:tcPr>
                        <w:p w14:paraId="39F91BA8" w14:textId="77777777" w:rsidR="009E7E67" w:rsidRDefault="003D292C">
                          <w:r>
                            <w:t>Betreft</w:t>
                          </w:r>
                        </w:p>
                      </w:tc>
                      <w:tc>
                        <w:tcPr>
                          <w:tcW w:w="5918" w:type="dxa"/>
                        </w:tcPr>
                        <w:p w14:paraId="24A6BEB8" w14:textId="270A94E6" w:rsidR="009E7E67" w:rsidRDefault="003B5576">
                          <w:r>
                            <w:t>WODC Incidentenmonitor 2024</w:t>
                          </w:r>
                        </w:p>
                      </w:tc>
                    </w:tr>
                  </w:tbl>
                  <w:p w14:paraId="1A1B4BC0"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AADB3FC" wp14:editId="14DE958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D1ADBD" w14:textId="77777777" w:rsidR="009E7E67" w:rsidRDefault="003D292C">
                          <w:pPr>
                            <w:pStyle w:val="Referentiegegevensbold"/>
                          </w:pPr>
                          <w:r>
                            <w:t>Directoraat-Generaal Migratie</w:t>
                          </w:r>
                        </w:p>
                        <w:p w14:paraId="6A02F65D" w14:textId="77777777" w:rsidR="009E7E67" w:rsidRDefault="003D292C">
                          <w:pPr>
                            <w:pStyle w:val="Referentiegegevens"/>
                          </w:pPr>
                          <w:r>
                            <w:t>Directie Migratiebeleid</w:t>
                          </w:r>
                        </w:p>
                        <w:p w14:paraId="6433D075" w14:textId="77777777" w:rsidR="009E7E67" w:rsidRDefault="009E7E67">
                          <w:pPr>
                            <w:pStyle w:val="WitregelW1"/>
                          </w:pPr>
                        </w:p>
                        <w:p w14:paraId="5EEB2EA7" w14:textId="77777777" w:rsidR="003B5576" w:rsidRPr="003B5576" w:rsidRDefault="003B5576" w:rsidP="003B5576"/>
                        <w:p w14:paraId="32D10E24" w14:textId="77777777" w:rsidR="009E7E67" w:rsidRDefault="003D292C">
                          <w:pPr>
                            <w:pStyle w:val="Referentiegegevens"/>
                          </w:pPr>
                          <w:r>
                            <w:t>Turfmarkt 147</w:t>
                          </w:r>
                        </w:p>
                        <w:p w14:paraId="19185BAA" w14:textId="77777777" w:rsidR="009E7E67" w:rsidRPr="006E54D1" w:rsidRDefault="003D292C">
                          <w:pPr>
                            <w:pStyle w:val="Referentiegegevens"/>
                            <w:rPr>
                              <w:lang w:val="de-DE"/>
                            </w:rPr>
                          </w:pPr>
                          <w:r w:rsidRPr="006E54D1">
                            <w:rPr>
                              <w:lang w:val="de-DE"/>
                            </w:rPr>
                            <w:t>2511 DP   Den Haag</w:t>
                          </w:r>
                        </w:p>
                        <w:p w14:paraId="56814167" w14:textId="77777777" w:rsidR="009E7E67" w:rsidRPr="006E54D1" w:rsidRDefault="003D292C">
                          <w:pPr>
                            <w:pStyle w:val="Referentiegegevens"/>
                            <w:rPr>
                              <w:lang w:val="de-DE"/>
                            </w:rPr>
                          </w:pPr>
                          <w:r w:rsidRPr="006E54D1">
                            <w:rPr>
                              <w:lang w:val="de-DE"/>
                            </w:rPr>
                            <w:t>Postbus 20011</w:t>
                          </w:r>
                        </w:p>
                        <w:p w14:paraId="37B6F28C" w14:textId="77777777" w:rsidR="009E7E67" w:rsidRPr="006E54D1" w:rsidRDefault="003D292C">
                          <w:pPr>
                            <w:pStyle w:val="Referentiegegevens"/>
                            <w:rPr>
                              <w:lang w:val="de-DE"/>
                            </w:rPr>
                          </w:pPr>
                          <w:r w:rsidRPr="006E54D1">
                            <w:rPr>
                              <w:lang w:val="de-DE"/>
                            </w:rPr>
                            <w:t>2500 EH   Den Haag</w:t>
                          </w:r>
                        </w:p>
                        <w:p w14:paraId="0083AE71" w14:textId="77777777" w:rsidR="009E7E67" w:rsidRPr="006E54D1" w:rsidRDefault="003D292C">
                          <w:pPr>
                            <w:pStyle w:val="Referentiegegevens"/>
                            <w:rPr>
                              <w:lang w:val="de-DE"/>
                            </w:rPr>
                          </w:pPr>
                          <w:r w:rsidRPr="006E54D1">
                            <w:rPr>
                              <w:lang w:val="de-DE"/>
                            </w:rPr>
                            <w:t>www.rijksoverheid.nl/jenv</w:t>
                          </w:r>
                        </w:p>
                        <w:p w14:paraId="56C7E6C3" w14:textId="77777777" w:rsidR="009E7E67" w:rsidRPr="006E54D1" w:rsidRDefault="009E7E67">
                          <w:pPr>
                            <w:pStyle w:val="WitregelW1"/>
                            <w:rPr>
                              <w:lang w:val="de-DE"/>
                            </w:rPr>
                          </w:pPr>
                        </w:p>
                        <w:p w14:paraId="66EF323B" w14:textId="77777777" w:rsidR="009E7E67" w:rsidRPr="006E54D1" w:rsidRDefault="009E7E67">
                          <w:pPr>
                            <w:pStyle w:val="WitregelW2"/>
                            <w:rPr>
                              <w:lang w:val="de-DE"/>
                            </w:rPr>
                          </w:pPr>
                        </w:p>
                        <w:p w14:paraId="0166ED8F" w14:textId="77777777" w:rsidR="009E7E67" w:rsidRDefault="003D292C">
                          <w:pPr>
                            <w:pStyle w:val="Referentiegegevensbold"/>
                          </w:pPr>
                          <w:r>
                            <w:t>Onze referentie</w:t>
                          </w:r>
                        </w:p>
                        <w:p w14:paraId="64B43E8B" w14:textId="77777777" w:rsidR="009E7E67" w:rsidRDefault="003D292C">
                          <w:pPr>
                            <w:pStyle w:val="Referentiegegevens"/>
                          </w:pPr>
                          <w:r>
                            <w:t>6423210</w:t>
                          </w:r>
                        </w:p>
                      </w:txbxContent>
                    </wps:txbx>
                    <wps:bodyPr vert="horz" wrap="square" lIns="0" tIns="0" rIns="0" bIns="0" anchor="t" anchorCtr="0"/>
                  </wps:wsp>
                </a:graphicData>
              </a:graphic>
            </wp:anchor>
          </w:drawing>
        </mc:Choice>
        <mc:Fallback>
          <w:pict>
            <v:shape w14:anchorId="1AADB3F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FD1ADBD" w14:textId="77777777" w:rsidR="009E7E67" w:rsidRDefault="003D292C">
                    <w:pPr>
                      <w:pStyle w:val="Referentiegegevensbold"/>
                    </w:pPr>
                    <w:r>
                      <w:t>Directoraat-Generaal Migratie</w:t>
                    </w:r>
                  </w:p>
                  <w:p w14:paraId="6A02F65D" w14:textId="77777777" w:rsidR="009E7E67" w:rsidRDefault="003D292C">
                    <w:pPr>
                      <w:pStyle w:val="Referentiegegevens"/>
                    </w:pPr>
                    <w:r>
                      <w:t>Directie Migratiebeleid</w:t>
                    </w:r>
                  </w:p>
                  <w:p w14:paraId="6433D075" w14:textId="77777777" w:rsidR="009E7E67" w:rsidRDefault="009E7E67">
                    <w:pPr>
                      <w:pStyle w:val="WitregelW1"/>
                    </w:pPr>
                  </w:p>
                  <w:p w14:paraId="5EEB2EA7" w14:textId="77777777" w:rsidR="003B5576" w:rsidRPr="003B5576" w:rsidRDefault="003B5576" w:rsidP="003B5576"/>
                  <w:p w14:paraId="32D10E24" w14:textId="77777777" w:rsidR="009E7E67" w:rsidRDefault="003D292C">
                    <w:pPr>
                      <w:pStyle w:val="Referentiegegevens"/>
                    </w:pPr>
                    <w:r>
                      <w:t>Turfmarkt 147</w:t>
                    </w:r>
                  </w:p>
                  <w:p w14:paraId="19185BAA" w14:textId="77777777" w:rsidR="009E7E67" w:rsidRPr="006E54D1" w:rsidRDefault="003D292C">
                    <w:pPr>
                      <w:pStyle w:val="Referentiegegevens"/>
                      <w:rPr>
                        <w:lang w:val="de-DE"/>
                      </w:rPr>
                    </w:pPr>
                    <w:r w:rsidRPr="006E54D1">
                      <w:rPr>
                        <w:lang w:val="de-DE"/>
                      </w:rPr>
                      <w:t>2511 DP   Den Haag</w:t>
                    </w:r>
                  </w:p>
                  <w:p w14:paraId="56814167" w14:textId="77777777" w:rsidR="009E7E67" w:rsidRPr="006E54D1" w:rsidRDefault="003D292C">
                    <w:pPr>
                      <w:pStyle w:val="Referentiegegevens"/>
                      <w:rPr>
                        <w:lang w:val="de-DE"/>
                      </w:rPr>
                    </w:pPr>
                    <w:r w:rsidRPr="006E54D1">
                      <w:rPr>
                        <w:lang w:val="de-DE"/>
                      </w:rPr>
                      <w:t>Postbus 20011</w:t>
                    </w:r>
                  </w:p>
                  <w:p w14:paraId="37B6F28C" w14:textId="77777777" w:rsidR="009E7E67" w:rsidRPr="006E54D1" w:rsidRDefault="003D292C">
                    <w:pPr>
                      <w:pStyle w:val="Referentiegegevens"/>
                      <w:rPr>
                        <w:lang w:val="de-DE"/>
                      </w:rPr>
                    </w:pPr>
                    <w:r w:rsidRPr="006E54D1">
                      <w:rPr>
                        <w:lang w:val="de-DE"/>
                      </w:rPr>
                      <w:t>2500 EH   Den Haag</w:t>
                    </w:r>
                  </w:p>
                  <w:p w14:paraId="0083AE71" w14:textId="77777777" w:rsidR="009E7E67" w:rsidRPr="006E54D1" w:rsidRDefault="003D292C">
                    <w:pPr>
                      <w:pStyle w:val="Referentiegegevens"/>
                      <w:rPr>
                        <w:lang w:val="de-DE"/>
                      </w:rPr>
                    </w:pPr>
                    <w:r w:rsidRPr="006E54D1">
                      <w:rPr>
                        <w:lang w:val="de-DE"/>
                      </w:rPr>
                      <w:t>www.rijksoverheid.nl/jenv</w:t>
                    </w:r>
                  </w:p>
                  <w:p w14:paraId="56C7E6C3" w14:textId="77777777" w:rsidR="009E7E67" w:rsidRPr="006E54D1" w:rsidRDefault="009E7E67">
                    <w:pPr>
                      <w:pStyle w:val="WitregelW1"/>
                      <w:rPr>
                        <w:lang w:val="de-DE"/>
                      </w:rPr>
                    </w:pPr>
                  </w:p>
                  <w:p w14:paraId="66EF323B" w14:textId="77777777" w:rsidR="009E7E67" w:rsidRPr="006E54D1" w:rsidRDefault="009E7E67">
                    <w:pPr>
                      <w:pStyle w:val="WitregelW2"/>
                      <w:rPr>
                        <w:lang w:val="de-DE"/>
                      </w:rPr>
                    </w:pPr>
                  </w:p>
                  <w:p w14:paraId="0166ED8F" w14:textId="77777777" w:rsidR="009E7E67" w:rsidRDefault="003D292C">
                    <w:pPr>
                      <w:pStyle w:val="Referentiegegevensbold"/>
                    </w:pPr>
                    <w:r>
                      <w:t>Onze referentie</w:t>
                    </w:r>
                  </w:p>
                  <w:p w14:paraId="64B43E8B" w14:textId="77777777" w:rsidR="009E7E67" w:rsidRDefault="003D292C">
                    <w:pPr>
                      <w:pStyle w:val="Referentiegegevens"/>
                    </w:pPr>
                    <w:r>
                      <w:t>6423210</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1C20BF" wp14:editId="64210B6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ECB0E8" w14:textId="77777777" w:rsidR="009E7E67" w:rsidRDefault="003D292C">
                          <w:pPr>
                            <w:pStyle w:val="Referentiegegevens"/>
                          </w:pPr>
                          <w:r>
                            <w:t xml:space="preserve">Pagina </w:t>
                          </w:r>
                          <w:r>
                            <w:fldChar w:fldCharType="begin"/>
                          </w:r>
                          <w:r>
                            <w:instrText>PAGE</w:instrText>
                          </w:r>
                          <w:r>
                            <w:fldChar w:fldCharType="separate"/>
                          </w:r>
                          <w:r w:rsidR="006205B3">
                            <w:rPr>
                              <w:noProof/>
                            </w:rPr>
                            <w:t>1</w:t>
                          </w:r>
                          <w:r>
                            <w:fldChar w:fldCharType="end"/>
                          </w:r>
                          <w:r>
                            <w:t xml:space="preserve"> van </w:t>
                          </w:r>
                          <w:r>
                            <w:fldChar w:fldCharType="begin"/>
                          </w:r>
                          <w:r>
                            <w:instrText>NUMPAGES</w:instrText>
                          </w:r>
                          <w:r>
                            <w:fldChar w:fldCharType="separate"/>
                          </w:r>
                          <w:r w:rsidR="006205B3">
                            <w:rPr>
                              <w:noProof/>
                            </w:rPr>
                            <w:t>1</w:t>
                          </w:r>
                          <w:r>
                            <w:fldChar w:fldCharType="end"/>
                          </w:r>
                        </w:p>
                      </w:txbxContent>
                    </wps:txbx>
                    <wps:bodyPr vert="horz" wrap="square" lIns="0" tIns="0" rIns="0" bIns="0" anchor="t" anchorCtr="0"/>
                  </wps:wsp>
                </a:graphicData>
              </a:graphic>
            </wp:anchor>
          </w:drawing>
        </mc:Choice>
        <mc:Fallback>
          <w:pict>
            <v:shape w14:anchorId="3A1C20B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FECB0E8" w14:textId="77777777" w:rsidR="009E7E67" w:rsidRDefault="003D292C">
                    <w:pPr>
                      <w:pStyle w:val="Referentiegegevens"/>
                    </w:pPr>
                    <w:r>
                      <w:t xml:space="preserve">Pagina </w:t>
                    </w:r>
                    <w:r>
                      <w:fldChar w:fldCharType="begin"/>
                    </w:r>
                    <w:r>
                      <w:instrText>PAGE</w:instrText>
                    </w:r>
                    <w:r>
                      <w:fldChar w:fldCharType="separate"/>
                    </w:r>
                    <w:r w:rsidR="006205B3">
                      <w:rPr>
                        <w:noProof/>
                      </w:rPr>
                      <w:t>1</w:t>
                    </w:r>
                    <w:r>
                      <w:fldChar w:fldCharType="end"/>
                    </w:r>
                    <w:r>
                      <w:t xml:space="preserve"> van </w:t>
                    </w:r>
                    <w:r>
                      <w:fldChar w:fldCharType="begin"/>
                    </w:r>
                    <w:r>
                      <w:instrText>NUMPAGES</w:instrText>
                    </w:r>
                    <w:r>
                      <w:fldChar w:fldCharType="separate"/>
                    </w:r>
                    <w:r w:rsidR="006205B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2BF3FA3" wp14:editId="5DF94C8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C04B1F" w14:textId="77777777" w:rsidR="00AF232B" w:rsidRDefault="00AF232B"/>
                      </w:txbxContent>
                    </wps:txbx>
                    <wps:bodyPr vert="horz" wrap="square" lIns="0" tIns="0" rIns="0" bIns="0" anchor="t" anchorCtr="0"/>
                  </wps:wsp>
                </a:graphicData>
              </a:graphic>
            </wp:anchor>
          </w:drawing>
        </mc:Choice>
        <mc:Fallback>
          <w:pict>
            <v:shape w14:anchorId="62BF3FA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BC04B1F" w14:textId="77777777" w:rsidR="00AF232B" w:rsidRDefault="00AF232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16515"/>
    <w:multiLevelType w:val="multilevel"/>
    <w:tmpl w:val="4217241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90E4FB1"/>
    <w:multiLevelType w:val="multilevel"/>
    <w:tmpl w:val="6045455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2FF7B19"/>
    <w:multiLevelType w:val="multilevel"/>
    <w:tmpl w:val="E8D3B7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03C31F1"/>
    <w:multiLevelType w:val="hybridMultilevel"/>
    <w:tmpl w:val="D8BEB3C2"/>
    <w:lvl w:ilvl="0" w:tplc="ADC02978">
      <w:start w:val="1"/>
      <w:numFmt w:val="bullet"/>
      <w:lvlText w:val=""/>
      <w:lvlJc w:val="left"/>
      <w:pPr>
        <w:ind w:left="1020" w:hanging="360"/>
      </w:pPr>
      <w:rPr>
        <w:rFonts w:ascii="Symbol" w:hAnsi="Symbol"/>
      </w:rPr>
    </w:lvl>
    <w:lvl w:ilvl="1" w:tplc="2E9EA86A">
      <w:start w:val="1"/>
      <w:numFmt w:val="bullet"/>
      <w:lvlText w:val=""/>
      <w:lvlJc w:val="left"/>
      <w:pPr>
        <w:ind w:left="1020" w:hanging="360"/>
      </w:pPr>
      <w:rPr>
        <w:rFonts w:ascii="Symbol" w:hAnsi="Symbol"/>
      </w:rPr>
    </w:lvl>
    <w:lvl w:ilvl="2" w:tplc="5C6CF52C">
      <w:start w:val="1"/>
      <w:numFmt w:val="bullet"/>
      <w:lvlText w:val=""/>
      <w:lvlJc w:val="left"/>
      <w:pPr>
        <w:ind w:left="1020" w:hanging="360"/>
      </w:pPr>
      <w:rPr>
        <w:rFonts w:ascii="Symbol" w:hAnsi="Symbol"/>
      </w:rPr>
    </w:lvl>
    <w:lvl w:ilvl="3" w:tplc="5BF8C990">
      <w:start w:val="1"/>
      <w:numFmt w:val="bullet"/>
      <w:lvlText w:val=""/>
      <w:lvlJc w:val="left"/>
      <w:pPr>
        <w:ind w:left="1020" w:hanging="360"/>
      </w:pPr>
      <w:rPr>
        <w:rFonts w:ascii="Symbol" w:hAnsi="Symbol"/>
      </w:rPr>
    </w:lvl>
    <w:lvl w:ilvl="4" w:tplc="52585C8A">
      <w:start w:val="1"/>
      <w:numFmt w:val="bullet"/>
      <w:lvlText w:val=""/>
      <w:lvlJc w:val="left"/>
      <w:pPr>
        <w:ind w:left="1020" w:hanging="360"/>
      </w:pPr>
      <w:rPr>
        <w:rFonts w:ascii="Symbol" w:hAnsi="Symbol"/>
      </w:rPr>
    </w:lvl>
    <w:lvl w:ilvl="5" w:tplc="8C38CE84">
      <w:start w:val="1"/>
      <w:numFmt w:val="bullet"/>
      <w:lvlText w:val=""/>
      <w:lvlJc w:val="left"/>
      <w:pPr>
        <w:ind w:left="1020" w:hanging="360"/>
      </w:pPr>
      <w:rPr>
        <w:rFonts w:ascii="Symbol" w:hAnsi="Symbol"/>
      </w:rPr>
    </w:lvl>
    <w:lvl w:ilvl="6" w:tplc="38E661A4">
      <w:start w:val="1"/>
      <w:numFmt w:val="bullet"/>
      <w:lvlText w:val=""/>
      <w:lvlJc w:val="left"/>
      <w:pPr>
        <w:ind w:left="1020" w:hanging="360"/>
      </w:pPr>
      <w:rPr>
        <w:rFonts w:ascii="Symbol" w:hAnsi="Symbol"/>
      </w:rPr>
    </w:lvl>
    <w:lvl w:ilvl="7" w:tplc="55029BFA">
      <w:start w:val="1"/>
      <w:numFmt w:val="bullet"/>
      <w:lvlText w:val=""/>
      <w:lvlJc w:val="left"/>
      <w:pPr>
        <w:ind w:left="1020" w:hanging="360"/>
      </w:pPr>
      <w:rPr>
        <w:rFonts w:ascii="Symbol" w:hAnsi="Symbol"/>
      </w:rPr>
    </w:lvl>
    <w:lvl w:ilvl="8" w:tplc="40A2FD4C">
      <w:start w:val="1"/>
      <w:numFmt w:val="bullet"/>
      <w:lvlText w:val=""/>
      <w:lvlJc w:val="left"/>
      <w:pPr>
        <w:ind w:left="1020" w:hanging="360"/>
      </w:pPr>
      <w:rPr>
        <w:rFonts w:ascii="Symbol" w:hAnsi="Symbol"/>
      </w:rPr>
    </w:lvl>
  </w:abstractNum>
  <w:abstractNum w:abstractNumId="4" w15:restartNumberingAfterBreak="0">
    <w:nsid w:val="5064266F"/>
    <w:multiLevelType w:val="multilevel"/>
    <w:tmpl w:val="D45E58A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93E5794"/>
    <w:multiLevelType w:val="multilevel"/>
    <w:tmpl w:val="72E006A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E5D9065"/>
    <w:multiLevelType w:val="multilevel"/>
    <w:tmpl w:val="6411EDD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23396805">
    <w:abstractNumId w:val="1"/>
  </w:num>
  <w:num w:numId="2" w16cid:durableId="1124347340">
    <w:abstractNumId w:val="6"/>
  </w:num>
  <w:num w:numId="3" w16cid:durableId="1849369154">
    <w:abstractNumId w:val="4"/>
  </w:num>
  <w:num w:numId="4" w16cid:durableId="1813936421">
    <w:abstractNumId w:val="2"/>
  </w:num>
  <w:num w:numId="5" w16cid:durableId="2024628507">
    <w:abstractNumId w:val="5"/>
  </w:num>
  <w:num w:numId="6" w16cid:durableId="1417168657">
    <w:abstractNumId w:val="0"/>
  </w:num>
  <w:num w:numId="7" w16cid:durableId="1843934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67"/>
    <w:rsid w:val="00002A9E"/>
    <w:rsid w:val="00037CC3"/>
    <w:rsid w:val="00096849"/>
    <w:rsid w:val="000D088D"/>
    <w:rsid w:val="000F7C5B"/>
    <w:rsid w:val="00120396"/>
    <w:rsid w:val="00133626"/>
    <w:rsid w:val="00136B42"/>
    <w:rsid w:val="00177823"/>
    <w:rsid w:val="0019135B"/>
    <w:rsid w:val="001B0826"/>
    <w:rsid w:val="001C35AD"/>
    <w:rsid w:val="00244A7F"/>
    <w:rsid w:val="002515FC"/>
    <w:rsid w:val="00273C6E"/>
    <w:rsid w:val="002E550A"/>
    <w:rsid w:val="003215D9"/>
    <w:rsid w:val="00334DB6"/>
    <w:rsid w:val="00343D72"/>
    <w:rsid w:val="00357CE8"/>
    <w:rsid w:val="00362344"/>
    <w:rsid w:val="00381159"/>
    <w:rsid w:val="00382C6B"/>
    <w:rsid w:val="00394581"/>
    <w:rsid w:val="003A6C0D"/>
    <w:rsid w:val="003B5576"/>
    <w:rsid w:val="003C1F58"/>
    <w:rsid w:val="003D292C"/>
    <w:rsid w:val="00402BEB"/>
    <w:rsid w:val="00412215"/>
    <w:rsid w:val="004238BC"/>
    <w:rsid w:val="00425510"/>
    <w:rsid w:val="004C29E2"/>
    <w:rsid w:val="004E2CDE"/>
    <w:rsid w:val="004E5252"/>
    <w:rsid w:val="005170A8"/>
    <w:rsid w:val="00525518"/>
    <w:rsid w:val="00526719"/>
    <w:rsid w:val="0054025B"/>
    <w:rsid w:val="00565990"/>
    <w:rsid w:val="005750FB"/>
    <w:rsid w:val="005A6BB1"/>
    <w:rsid w:val="005D04DC"/>
    <w:rsid w:val="005F63BB"/>
    <w:rsid w:val="006021BE"/>
    <w:rsid w:val="0060554D"/>
    <w:rsid w:val="00610021"/>
    <w:rsid w:val="00616C5C"/>
    <w:rsid w:val="006205B3"/>
    <w:rsid w:val="00684D39"/>
    <w:rsid w:val="006D4B78"/>
    <w:rsid w:val="006E54D1"/>
    <w:rsid w:val="006F59C0"/>
    <w:rsid w:val="007069CB"/>
    <w:rsid w:val="00713D05"/>
    <w:rsid w:val="007216D3"/>
    <w:rsid w:val="00792C44"/>
    <w:rsid w:val="00841D10"/>
    <w:rsid w:val="00875DF6"/>
    <w:rsid w:val="008867D2"/>
    <w:rsid w:val="00887DFB"/>
    <w:rsid w:val="008D0F67"/>
    <w:rsid w:val="008D2425"/>
    <w:rsid w:val="008E5B28"/>
    <w:rsid w:val="0093160F"/>
    <w:rsid w:val="00937208"/>
    <w:rsid w:val="0096336A"/>
    <w:rsid w:val="00986267"/>
    <w:rsid w:val="009C2F87"/>
    <w:rsid w:val="009E7E67"/>
    <w:rsid w:val="009F068D"/>
    <w:rsid w:val="00A505E2"/>
    <w:rsid w:val="00A7013E"/>
    <w:rsid w:val="00A74012"/>
    <w:rsid w:val="00A868C1"/>
    <w:rsid w:val="00AD184D"/>
    <w:rsid w:val="00AD579D"/>
    <w:rsid w:val="00AE532F"/>
    <w:rsid w:val="00AF06AF"/>
    <w:rsid w:val="00AF232B"/>
    <w:rsid w:val="00B14E20"/>
    <w:rsid w:val="00B213A0"/>
    <w:rsid w:val="00B424A4"/>
    <w:rsid w:val="00B7236A"/>
    <w:rsid w:val="00BA74B3"/>
    <w:rsid w:val="00BA774E"/>
    <w:rsid w:val="00C00482"/>
    <w:rsid w:val="00C2371A"/>
    <w:rsid w:val="00C6160C"/>
    <w:rsid w:val="00C6585A"/>
    <w:rsid w:val="00C76232"/>
    <w:rsid w:val="00C83225"/>
    <w:rsid w:val="00CD1BA2"/>
    <w:rsid w:val="00CE0B87"/>
    <w:rsid w:val="00D31D94"/>
    <w:rsid w:val="00D631E5"/>
    <w:rsid w:val="00D63367"/>
    <w:rsid w:val="00D80838"/>
    <w:rsid w:val="00E74B35"/>
    <w:rsid w:val="00EA4D48"/>
    <w:rsid w:val="00EB612A"/>
    <w:rsid w:val="00EC3C41"/>
    <w:rsid w:val="00F42AB1"/>
    <w:rsid w:val="00F53518"/>
    <w:rsid w:val="00FA726C"/>
    <w:rsid w:val="00FD36BA"/>
    <w:rsid w:val="00FF478A"/>
    <w:rsid w:val="00FF7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205B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05B3"/>
    <w:rPr>
      <w:rFonts w:ascii="Verdana" w:hAnsi="Verdana"/>
      <w:color w:val="000000"/>
      <w:sz w:val="18"/>
      <w:szCs w:val="18"/>
    </w:rPr>
  </w:style>
  <w:style w:type="paragraph" w:styleId="Voetnoottekst">
    <w:name w:val="footnote text"/>
    <w:basedOn w:val="Standaard"/>
    <w:link w:val="VoetnoottekstChar"/>
    <w:uiPriority w:val="99"/>
    <w:semiHidden/>
    <w:unhideWhenUsed/>
    <w:qFormat/>
    <w:rsid w:val="00841D1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841D10"/>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841D10"/>
    <w:rPr>
      <w:vertAlign w:val="superscript"/>
    </w:rPr>
  </w:style>
  <w:style w:type="character" w:styleId="Verwijzingopmerking">
    <w:name w:val="annotation reference"/>
    <w:basedOn w:val="Standaardalinea-lettertype"/>
    <w:uiPriority w:val="99"/>
    <w:semiHidden/>
    <w:unhideWhenUsed/>
    <w:rsid w:val="00841D10"/>
    <w:rPr>
      <w:sz w:val="16"/>
      <w:szCs w:val="16"/>
    </w:rPr>
  </w:style>
  <w:style w:type="paragraph" w:styleId="Tekstopmerking">
    <w:name w:val="annotation text"/>
    <w:basedOn w:val="Standaard"/>
    <w:link w:val="TekstopmerkingChar"/>
    <w:uiPriority w:val="99"/>
    <w:unhideWhenUsed/>
    <w:rsid w:val="00841D10"/>
    <w:pPr>
      <w:autoSpaceDN/>
      <w:spacing w:line="240" w:lineRule="auto"/>
      <w:textAlignment w:val="auto"/>
    </w:pPr>
    <w:rPr>
      <w:rFonts w:asciiTheme="minorHAnsi" w:eastAsiaTheme="minorHAnsi" w:hAnsiTheme="minorHAnsi" w:cstheme="minorBidi"/>
      <w:color w:val="000000" w:themeColor="text1"/>
      <w:sz w:val="20"/>
      <w:szCs w:val="20"/>
      <w:lang w:eastAsia="en-US"/>
    </w:rPr>
  </w:style>
  <w:style w:type="character" w:customStyle="1" w:styleId="TekstopmerkingChar">
    <w:name w:val="Tekst opmerking Char"/>
    <w:basedOn w:val="Standaardalinea-lettertype"/>
    <w:link w:val="Tekstopmerking"/>
    <w:uiPriority w:val="99"/>
    <w:rsid w:val="00841D10"/>
    <w:rPr>
      <w:rFonts w:asciiTheme="minorHAnsi" w:eastAsiaTheme="minorHAnsi" w:hAnsiTheme="minorHAnsi" w:cstheme="minorBidi"/>
      <w:color w:val="000000" w:themeColor="text1"/>
      <w:lang w:eastAsia="en-US"/>
    </w:rPr>
  </w:style>
  <w:style w:type="paragraph" w:styleId="Revisie">
    <w:name w:val="Revision"/>
    <w:hidden/>
    <w:uiPriority w:val="99"/>
    <w:semiHidden/>
    <w:rsid w:val="002E550A"/>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2E550A"/>
    <w:pPr>
      <w:autoSpaceDN w:val="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2E550A"/>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584">
      <w:bodyDiv w:val="1"/>
      <w:marLeft w:val="0"/>
      <w:marRight w:val="0"/>
      <w:marTop w:val="0"/>
      <w:marBottom w:val="0"/>
      <w:divBdr>
        <w:top w:val="none" w:sz="0" w:space="0" w:color="auto"/>
        <w:left w:val="none" w:sz="0" w:space="0" w:color="auto"/>
        <w:bottom w:val="none" w:sz="0" w:space="0" w:color="auto"/>
        <w:right w:val="none" w:sz="0" w:space="0" w:color="auto"/>
      </w:divBdr>
    </w:div>
    <w:div w:id="71970920">
      <w:bodyDiv w:val="1"/>
      <w:marLeft w:val="0"/>
      <w:marRight w:val="0"/>
      <w:marTop w:val="0"/>
      <w:marBottom w:val="0"/>
      <w:divBdr>
        <w:top w:val="none" w:sz="0" w:space="0" w:color="auto"/>
        <w:left w:val="none" w:sz="0" w:space="0" w:color="auto"/>
        <w:bottom w:val="none" w:sz="0" w:space="0" w:color="auto"/>
        <w:right w:val="none" w:sz="0" w:space="0" w:color="auto"/>
      </w:divBdr>
    </w:div>
    <w:div w:id="583104508">
      <w:bodyDiv w:val="1"/>
      <w:marLeft w:val="0"/>
      <w:marRight w:val="0"/>
      <w:marTop w:val="0"/>
      <w:marBottom w:val="0"/>
      <w:divBdr>
        <w:top w:val="none" w:sz="0" w:space="0" w:color="auto"/>
        <w:left w:val="none" w:sz="0" w:space="0" w:color="auto"/>
        <w:bottom w:val="none" w:sz="0" w:space="0" w:color="auto"/>
        <w:right w:val="none" w:sz="0" w:space="0" w:color="auto"/>
      </w:divBdr>
    </w:div>
    <w:div w:id="752895546">
      <w:bodyDiv w:val="1"/>
      <w:marLeft w:val="0"/>
      <w:marRight w:val="0"/>
      <w:marTop w:val="0"/>
      <w:marBottom w:val="0"/>
      <w:divBdr>
        <w:top w:val="none" w:sz="0" w:space="0" w:color="auto"/>
        <w:left w:val="none" w:sz="0" w:space="0" w:color="auto"/>
        <w:bottom w:val="none" w:sz="0" w:space="0" w:color="auto"/>
        <w:right w:val="none" w:sz="0" w:space="0" w:color="auto"/>
      </w:divBdr>
    </w:div>
    <w:div w:id="758405638">
      <w:bodyDiv w:val="1"/>
      <w:marLeft w:val="0"/>
      <w:marRight w:val="0"/>
      <w:marTop w:val="0"/>
      <w:marBottom w:val="0"/>
      <w:divBdr>
        <w:top w:val="none" w:sz="0" w:space="0" w:color="auto"/>
        <w:left w:val="none" w:sz="0" w:space="0" w:color="auto"/>
        <w:bottom w:val="none" w:sz="0" w:space="0" w:color="auto"/>
        <w:right w:val="none" w:sz="0" w:space="0" w:color="auto"/>
      </w:divBdr>
    </w:div>
    <w:div w:id="824509017">
      <w:bodyDiv w:val="1"/>
      <w:marLeft w:val="0"/>
      <w:marRight w:val="0"/>
      <w:marTop w:val="0"/>
      <w:marBottom w:val="0"/>
      <w:divBdr>
        <w:top w:val="none" w:sz="0" w:space="0" w:color="auto"/>
        <w:left w:val="none" w:sz="0" w:space="0" w:color="auto"/>
        <w:bottom w:val="none" w:sz="0" w:space="0" w:color="auto"/>
        <w:right w:val="none" w:sz="0" w:space="0" w:color="auto"/>
      </w:divBdr>
    </w:div>
    <w:div w:id="1139297275">
      <w:bodyDiv w:val="1"/>
      <w:marLeft w:val="0"/>
      <w:marRight w:val="0"/>
      <w:marTop w:val="0"/>
      <w:marBottom w:val="0"/>
      <w:divBdr>
        <w:top w:val="none" w:sz="0" w:space="0" w:color="auto"/>
        <w:left w:val="none" w:sz="0" w:space="0" w:color="auto"/>
        <w:bottom w:val="none" w:sz="0" w:space="0" w:color="auto"/>
        <w:right w:val="none" w:sz="0" w:space="0" w:color="auto"/>
      </w:divBdr>
    </w:div>
    <w:div w:id="1206793211">
      <w:bodyDiv w:val="1"/>
      <w:marLeft w:val="0"/>
      <w:marRight w:val="0"/>
      <w:marTop w:val="0"/>
      <w:marBottom w:val="0"/>
      <w:divBdr>
        <w:top w:val="none" w:sz="0" w:space="0" w:color="auto"/>
        <w:left w:val="none" w:sz="0" w:space="0" w:color="auto"/>
        <w:bottom w:val="none" w:sz="0" w:space="0" w:color="auto"/>
        <w:right w:val="none" w:sz="0" w:space="0" w:color="auto"/>
      </w:divBdr>
    </w:div>
    <w:div w:id="1696468845">
      <w:bodyDiv w:val="1"/>
      <w:marLeft w:val="0"/>
      <w:marRight w:val="0"/>
      <w:marTop w:val="0"/>
      <w:marBottom w:val="0"/>
      <w:divBdr>
        <w:top w:val="none" w:sz="0" w:space="0" w:color="auto"/>
        <w:left w:val="none" w:sz="0" w:space="0" w:color="auto"/>
        <w:bottom w:val="none" w:sz="0" w:space="0" w:color="auto"/>
        <w:right w:val="none" w:sz="0" w:space="0" w:color="auto"/>
      </w:divBdr>
    </w:div>
    <w:div w:id="1728722786">
      <w:bodyDiv w:val="1"/>
      <w:marLeft w:val="0"/>
      <w:marRight w:val="0"/>
      <w:marTop w:val="0"/>
      <w:marBottom w:val="0"/>
      <w:divBdr>
        <w:top w:val="none" w:sz="0" w:space="0" w:color="auto"/>
        <w:left w:val="none" w:sz="0" w:space="0" w:color="auto"/>
        <w:bottom w:val="none" w:sz="0" w:space="0" w:color="auto"/>
        <w:right w:val="none" w:sz="0" w:space="0" w:color="auto"/>
      </w:divBdr>
    </w:div>
    <w:div w:id="1750926595">
      <w:bodyDiv w:val="1"/>
      <w:marLeft w:val="0"/>
      <w:marRight w:val="0"/>
      <w:marTop w:val="0"/>
      <w:marBottom w:val="0"/>
      <w:divBdr>
        <w:top w:val="none" w:sz="0" w:space="0" w:color="auto"/>
        <w:left w:val="none" w:sz="0" w:space="0" w:color="auto"/>
        <w:bottom w:val="none" w:sz="0" w:space="0" w:color="auto"/>
        <w:right w:val="none" w:sz="0" w:space="0" w:color="auto"/>
      </w:divBdr>
    </w:div>
    <w:div w:id="1767506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2015</ap:Words>
  <ap:Characters>11087</ap:Characters>
  <ap:DocSecurity>0</ap:DocSecurity>
  <ap:Lines>92</ap:Lines>
  <ap:Paragraphs>26</ap:Paragraphs>
  <ap:ScaleCrop>false</ap:ScaleCrop>
  <ap:LinksUpToDate>false</ap:LinksUpToDate>
  <ap:CharactersWithSpaces>13076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2025-07-11T13:54:00.0000000Z</dcterms:created>
  <dcterms:modified xsi:type="dcterms:W3CDTF">2025-07-11T13:54:00.0000000Z</dcterms:modified>
  <dc:description>------------------------</dc:description>
  <dc:subject/>
  <keywords/>
  <version/>
  <category/>
</coreProperties>
</file>