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54B9" w:rsidP="003854B9" w:rsidRDefault="003854B9" w14:paraId="0106A68D" w14:textId="227BEB46">
      <w:pPr>
        <w:rPr>
          <w:b/>
          <w:bCs/>
        </w:rPr>
      </w:pPr>
      <w:r>
        <w:rPr>
          <w:b/>
          <w:bCs/>
        </w:rPr>
        <w:t>AH 2703</w:t>
      </w:r>
    </w:p>
    <w:p w:rsidR="003854B9" w:rsidP="003854B9" w:rsidRDefault="003854B9" w14:paraId="48AEC724" w14:textId="245DA43F">
      <w:pPr>
        <w:rPr>
          <w:b/>
          <w:bCs/>
        </w:rPr>
      </w:pPr>
      <w:r>
        <w:rPr>
          <w:b/>
          <w:bCs/>
        </w:rPr>
        <w:t>2025Z06255</w:t>
      </w:r>
    </w:p>
    <w:p w:rsidR="003854B9" w:rsidP="003854B9" w:rsidRDefault="003854B9" w14:paraId="4AF74CD7" w14:textId="587CC8A0">
      <w:pPr>
        <w:rPr>
          <w:b/>
          <w:bCs/>
          <w:sz w:val="24"/>
          <w:szCs w:val="24"/>
        </w:rPr>
      </w:pPr>
      <w:r w:rsidRPr="003854B9">
        <w:rPr>
          <w:b/>
          <w:bCs/>
          <w:sz w:val="24"/>
          <w:szCs w:val="24"/>
        </w:rPr>
        <w:t xml:space="preserve">Antwoord van minister </w:t>
      </w:r>
      <w:r>
        <w:rPr>
          <w:b/>
          <w:bCs/>
          <w:sz w:val="24"/>
          <w:szCs w:val="24"/>
        </w:rPr>
        <w:t>Keijzer</w:t>
      </w:r>
      <w:r w:rsidRPr="003854B9">
        <w:rPr>
          <w:b/>
          <w:bCs/>
          <w:sz w:val="24"/>
          <w:szCs w:val="24"/>
        </w:rPr>
        <w:t xml:space="preserve"> (Asiel en Migratie)</w:t>
      </w:r>
      <w:r>
        <w:rPr>
          <w:b/>
          <w:bCs/>
          <w:sz w:val="24"/>
          <w:szCs w:val="24"/>
        </w:rPr>
        <w:t xml:space="preserve">, mede namens de </w:t>
      </w:r>
      <w:r w:rsidRPr="003854B9">
        <w:rPr>
          <w:b/>
          <w:bCs/>
          <w:sz w:val="24"/>
          <w:szCs w:val="24"/>
        </w:rPr>
        <w:t>minister van Asiel en Migratie</w:t>
      </w:r>
      <w:r>
        <w:rPr>
          <w:b/>
          <w:bCs/>
          <w:sz w:val="24"/>
          <w:szCs w:val="24"/>
        </w:rPr>
        <w:t xml:space="preserve"> Van Weel</w:t>
      </w:r>
      <w:r w:rsidRPr="003854B9">
        <w:rPr>
          <w:b/>
          <w:bCs/>
          <w:sz w:val="24"/>
          <w:szCs w:val="24"/>
        </w:rPr>
        <w:t xml:space="preserve"> (ontvangen</w:t>
      </w:r>
      <w:r>
        <w:rPr>
          <w:b/>
          <w:bCs/>
          <w:sz w:val="24"/>
          <w:szCs w:val="24"/>
        </w:rPr>
        <w:t xml:space="preserve"> 10 juli 2025)</w:t>
      </w:r>
    </w:p>
    <w:p w:rsidRPr="00141181" w:rsidR="003854B9" w:rsidP="003854B9" w:rsidRDefault="003854B9" w14:paraId="41DB9503" w14:textId="66AA2FCE">
      <w:pPr>
        <w:rPr>
          <w:b/>
          <w:bCs/>
        </w:rPr>
      </w:pPr>
      <w:r w:rsidRPr="003854B9">
        <w:rPr>
          <w:b/>
          <w:bCs/>
          <w:sz w:val="24"/>
          <w:szCs w:val="24"/>
        </w:rPr>
        <w:t>Zie ook Aanhangsel Handelingen, vergaderjaar 2024-2025, nr.</w:t>
      </w:r>
      <w:r>
        <w:rPr>
          <w:b/>
          <w:bCs/>
          <w:sz w:val="24"/>
          <w:szCs w:val="24"/>
        </w:rPr>
        <w:t xml:space="preserve"> 2202</w:t>
      </w:r>
    </w:p>
    <w:p w:rsidRPr="00141181" w:rsidR="003854B9" w:rsidP="003854B9" w:rsidRDefault="003854B9" w14:paraId="77301AFA" w14:textId="77777777">
      <w:pPr>
        <w:rPr>
          <w:b/>
          <w:bCs/>
        </w:rPr>
      </w:pPr>
      <w:r w:rsidRPr="00141181">
        <w:rPr>
          <w:b/>
          <w:bCs/>
        </w:rPr>
        <w:br/>
        <w:t>Vraag 1</w:t>
      </w:r>
      <w:r w:rsidRPr="00141181">
        <w:rPr>
          <w:b/>
          <w:bCs/>
        </w:rPr>
        <w:br/>
        <w:t>Bent u bekend met het bericht 'Onrust in Fries dorpje om jonge AZC’ers die meisjes belagen: Nog een vinger naar mijn dochter en ik ga los'? 1)</w:t>
      </w:r>
    </w:p>
    <w:p w:rsidRPr="00141181" w:rsidR="003854B9" w:rsidP="003854B9" w:rsidRDefault="003854B9" w14:paraId="0B87EC06" w14:textId="77777777">
      <w:pPr>
        <w:rPr>
          <w:b/>
          <w:bCs/>
        </w:rPr>
      </w:pPr>
    </w:p>
    <w:p w:rsidRPr="00141181" w:rsidR="003854B9" w:rsidP="003854B9" w:rsidRDefault="003854B9" w14:paraId="7876634A" w14:textId="77777777">
      <w:pPr>
        <w:rPr>
          <w:b/>
          <w:bCs/>
        </w:rPr>
      </w:pPr>
      <w:r w:rsidRPr="00141181">
        <w:rPr>
          <w:b/>
          <w:bCs/>
        </w:rPr>
        <w:t xml:space="preserve">Antwoord </w:t>
      </w:r>
      <w:r>
        <w:rPr>
          <w:b/>
          <w:bCs/>
        </w:rPr>
        <w:t xml:space="preserve">op </w:t>
      </w:r>
      <w:r w:rsidRPr="00141181">
        <w:rPr>
          <w:b/>
          <w:bCs/>
        </w:rPr>
        <w:t>vraag 1</w:t>
      </w:r>
    </w:p>
    <w:p w:rsidRPr="00D107B2" w:rsidR="003854B9" w:rsidP="003854B9" w:rsidRDefault="003854B9" w14:paraId="70CC082A" w14:textId="77777777">
      <w:r w:rsidRPr="00D107B2">
        <w:t>Ja.</w:t>
      </w:r>
    </w:p>
    <w:p w:rsidRPr="00141181" w:rsidR="003854B9" w:rsidP="003854B9" w:rsidRDefault="003854B9" w14:paraId="5E621DE1" w14:textId="77777777">
      <w:pPr>
        <w:rPr>
          <w:b/>
          <w:bCs/>
        </w:rPr>
      </w:pPr>
    </w:p>
    <w:p w:rsidRPr="00141181" w:rsidR="003854B9" w:rsidP="003854B9" w:rsidRDefault="003854B9" w14:paraId="75212CDB" w14:textId="77777777">
      <w:pPr>
        <w:rPr>
          <w:b/>
          <w:bCs/>
        </w:rPr>
      </w:pPr>
      <w:r w:rsidRPr="00141181">
        <w:rPr>
          <w:b/>
          <w:bCs/>
        </w:rPr>
        <w:t>Vraag 2</w:t>
      </w:r>
      <w:r w:rsidRPr="00141181">
        <w:rPr>
          <w:b/>
          <w:bCs/>
        </w:rPr>
        <w:br/>
        <w:t>Hoe kijkt u naar de gedragingen die deze alleenstaande minderjarige vreemdelingen (amv) begaan rondom het asielzoekerscentrum (azc)?</w:t>
      </w:r>
    </w:p>
    <w:p w:rsidR="003854B9" w:rsidP="003854B9" w:rsidRDefault="003854B9" w14:paraId="14C2D1E3" w14:textId="77777777">
      <w:r w:rsidRPr="00141181">
        <w:rPr>
          <w:b/>
          <w:bCs/>
        </w:rPr>
        <w:br/>
        <w:t>Antwoord vraag 2</w:t>
      </w:r>
      <w:r w:rsidRPr="00141181">
        <w:rPr>
          <w:b/>
          <w:bCs/>
        </w:rPr>
        <w:br/>
      </w:r>
      <w:r>
        <w:t>Het is onaanvaardbaar als jonge meisjes zich op straat en in de bus onveilig voelen door ongepast gedrag van asielzoekers of anderen.</w:t>
      </w:r>
    </w:p>
    <w:p w:rsidRPr="00D107B2" w:rsidR="003854B9" w:rsidP="003854B9" w:rsidRDefault="003854B9" w14:paraId="10FA9C8D" w14:textId="77777777"/>
    <w:p w:rsidRPr="00141181" w:rsidR="003854B9" w:rsidP="003854B9" w:rsidRDefault="003854B9" w14:paraId="795491B4" w14:textId="77777777">
      <w:pPr>
        <w:rPr>
          <w:b/>
          <w:bCs/>
        </w:rPr>
      </w:pPr>
      <w:r w:rsidRPr="00141181">
        <w:rPr>
          <w:b/>
          <w:bCs/>
        </w:rPr>
        <w:t>Vraag 3</w:t>
      </w:r>
      <w:r w:rsidRPr="00141181">
        <w:rPr>
          <w:b/>
          <w:bCs/>
        </w:rPr>
        <w:br/>
        <w:t>Wat kunt u doen om ervoor te zorgen dat deze amv’ers zich gedragen en inwoners van Sint Annaparochie zich weer veilig voelen?</w:t>
      </w:r>
    </w:p>
    <w:p w:rsidRPr="00141181" w:rsidR="003854B9" w:rsidP="003854B9" w:rsidRDefault="003854B9" w14:paraId="3C66A758" w14:textId="77777777">
      <w:pPr>
        <w:rPr>
          <w:b/>
          <w:bCs/>
        </w:rPr>
      </w:pPr>
    </w:p>
    <w:p w:rsidRPr="00141181" w:rsidR="003854B9" w:rsidP="003854B9" w:rsidRDefault="003854B9" w14:paraId="492EA5AC" w14:textId="77777777">
      <w:pPr>
        <w:rPr>
          <w:b/>
          <w:bCs/>
        </w:rPr>
      </w:pPr>
      <w:r w:rsidRPr="00141181">
        <w:rPr>
          <w:b/>
          <w:bCs/>
        </w:rPr>
        <w:t xml:space="preserve">Antwoord </w:t>
      </w:r>
      <w:r>
        <w:rPr>
          <w:b/>
          <w:bCs/>
        </w:rPr>
        <w:t xml:space="preserve">op </w:t>
      </w:r>
      <w:r w:rsidRPr="00141181">
        <w:rPr>
          <w:b/>
          <w:bCs/>
        </w:rPr>
        <w:t>vraag 3</w:t>
      </w:r>
    </w:p>
    <w:p w:rsidR="003854B9" w:rsidP="003854B9" w:rsidRDefault="003854B9" w14:paraId="1D9694FF" w14:textId="77777777">
      <w:r w:rsidRPr="00E0177A">
        <w:t xml:space="preserve">Politie, COA, Nidos en gemeente </w:t>
      </w:r>
      <w:r>
        <w:t xml:space="preserve">Waadhoeke staan in nauw contact over signalen van zowel bewoners als asielzoekers, onderzoeken deze en </w:t>
      </w:r>
      <w:r w:rsidRPr="00E0177A">
        <w:t xml:space="preserve">ondernemen samen actie </w:t>
      </w:r>
      <w:r>
        <w:t xml:space="preserve">indien er sprake is van </w:t>
      </w:r>
      <w:r w:rsidRPr="00E0177A">
        <w:t>overlastgevend gedrag</w:t>
      </w:r>
      <w:r>
        <w:t>. Ook wordt er sterk ingezet op de preventieve kant, om overlast</w:t>
      </w:r>
      <w:r w:rsidRPr="00E0177A">
        <w:t xml:space="preserve"> te voorkomen en zodoende </w:t>
      </w:r>
      <w:r>
        <w:t>te zorgen voor een rustig en veilig klimaat voor alle jeugd (bewoners en amv) en de omgeving.</w:t>
      </w:r>
    </w:p>
    <w:p w:rsidR="003854B9" w:rsidP="003854B9" w:rsidRDefault="003854B9" w14:paraId="34DEC87D" w14:textId="77777777"/>
    <w:p w:rsidR="003854B9" w:rsidP="003854B9" w:rsidRDefault="003854B9" w14:paraId="61BE32AF" w14:textId="77777777">
      <w:r w:rsidRPr="005932B4">
        <w:t>In aanvulling op de vaste maatregelen in de aanpak van overlast</w:t>
      </w:r>
      <w:r>
        <w:t xml:space="preserve"> is een aantal aanvullende afspraken gemaakt en vastgelegd in een plan van aanpak. P</w:t>
      </w:r>
      <w:r w:rsidRPr="005932B4">
        <w:t xml:space="preserve">olitie, COA </w:t>
      </w:r>
      <w:r w:rsidRPr="005932B4">
        <w:lastRenderedPageBreak/>
        <w:t xml:space="preserve">en gemeente </w:t>
      </w:r>
      <w:r>
        <w:t xml:space="preserve">zijn nauw op elkaar aangesloten </w:t>
      </w:r>
      <w:r w:rsidRPr="005932B4">
        <w:t>om overlastgevers in beeld te houden en handhavend op te treden in de publieke ruimte</w:t>
      </w:r>
      <w:r>
        <w:t xml:space="preserve">. </w:t>
      </w:r>
      <w:bookmarkStart w:name="_Hlk196898519" w:id="0"/>
      <w:r w:rsidRPr="005932B4">
        <w:t>COA</w:t>
      </w:r>
      <w:r>
        <w:t xml:space="preserve"> stimuleert het doen van aangifte en l</w:t>
      </w:r>
      <w:r w:rsidRPr="005932B4">
        <w:t>egt overlastgevers passende sancties op</w:t>
      </w:r>
      <w:r>
        <w:t xml:space="preserve">. In voorkomende gevallen reizen medewerkers van COA </w:t>
      </w:r>
      <w:r w:rsidRPr="005932B4">
        <w:t>mee in de bus</w:t>
      </w:r>
      <w:r>
        <w:t>.</w:t>
      </w:r>
    </w:p>
    <w:bookmarkEnd w:id="0"/>
    <w:p w:rsidRPr="00E0177A" w:rsidR="003854B9" w:rsidP="003854B9" w:rsidRDefault="003854B9" w14:paraId="58AB4428" w14:textId="77777777">
      <w:r w:rsidRPr="005932B4">
        <w:t>Om de sociale cohesie tussen jonge bewoners van het azc en de bewoners van het dorp te verbeteren, worden</w:t>
      </w:r>
      <w:r>
        <w:t xml:space="preserve"> gezamenlijke </w:t>
      </w:r>
      <w:r w:rsidRPr="005932B4">
        <w:t>activiteiten geo</w:t>
      </w:r>
      <w:r>
        <w:t>r</w:t>
      </w:r>
      <w:r w:rsidRPr="005932B4">
        <w:t>ganiseerd</w:t>
      </w:r>
      <w:r>
        <w:t>. Op die manier wordt naast de inzet van repressieve maatregelen, ook de preventieve aanpak van overlastgevend gedrag versterkt.</w:t>
      </w:r>
    </w:p>
    <w:p w:rsidRPr="00141181" w:rsidR="003854B9" w:rsidP="003854B9" w:rsidRDefault="003854B9" w14:paraId="3D62918A" w14:textId="77777777">
      <w:pPr>
        <w:rPr>
          <w:b/>
          <w:bCs/>
        </w:rPr>
      </w:pPr>
    </w:p>
    <w:p w:rsidRPr="00141181" w:rsidR="003854B9" w:rsidP="003854B9" w:rsidRDefault="003854B9" w14:paraId="09764144" w14:textId="77777777">
      <w:pPr>
        <w:rPr>
          <w:b/>
          <w:bCs/>
        </w:rPr>
      </w:pPr>
      <w:r w:rsidRPr="00141181">
        <w:rPr>
          <w:b/>
          <w:bCs/>
        </w:rPr>
        <w:t>Vraag 4</w:t>
      </w:r>
      <w:r w:rsidRPr="00141181">
        <w:rPr>
          <w:b/>
          <w:bCs/>
        </w:rPr>
        <w:br/>
        <w:t>Ziet u mogelijkheden om bij deze groep amv’ers een vorm van verscherpt toezicht in te stellen? Zo nee, waarom niet? Zo ja, hoe gaat u dit vorm geven?</w:t>
      </w:r>
    </w:p>
    <w:p w:rsidRPr="00141181" w:rsidR="003854B9" w:rsidP="003854B9" w:rsidRDefault="003854B9" w14:paraId="18B270EC" w14:textId="77777777">
      <w:pPr>
        <w:rPr>
          <w:b/>
          <w:bCs/>
        </w:rPr>
      </w:pPr>
    </w:p>
    <w:p w:rsidRPr="00141181" w:rsidR="003854B9" w:rsidP="003854B9" w:rsidRDefault="003854B9" w14:paraId="10A2CF73" w14:textId="77777777">
      <w:pPr>
        <w:rPr>
          <w:b/>
          <w:bCs/>
        </w:rPr>
      </w:pPr>
      <w:r w:rsidRPr="00141181">
        <w:rPr>
          <w:b/>
          <w:bCs/>
        </w:rPr>
        <w:t xml:space="preserve">Antwoord </w:t>
      </w:r>
      <w:r>
        <w:rPr>
          <w:b/>
          <w:bCs/>
        </w:rPr>
        <w:t xml:space="preserve">op </w:t>
      </w:r>
      <w:r w:rsidRPr="00141181">
        <w:rPr>
          <w:b/>
          <w:bCs/>
        </w:rPr>
        <w:t>vraag 4</w:t>
      </w:r>
    </w:p>
    <w:p w:rsidR="003854B9" w:rsidP="003854B9" w:rsidRDefault="003854B9" w14:paraId="50FD2DB7" w14:textId="77777777">
      <w:pPr>
        <w:pStyle w:val="broodtekst"/>
      </w:pPr>
      <w:r>
        <w:t xml:space="preserve">Op de amv-locaties vindt al intensieve begeleiding door mentoren plaats, op een wijze die niet op reguliere locaties is ingericht. Overlastgevende amv kunnen bij aanhoudend overlastgevend gedrag worden overgeplaatst naar gespecialiseerde, kleinschalige opvang. In Perspectief Opvang Nidos (PON) worden amv opgevangen die ernstige overlast hebben veroorzaakt. Zij krijgen in een aangepaste setting intensieve begeleiding. </w:t>
      </w:r>
      <w:bookmarkStart w:name="_Hlk196898725" w:id="1"/>
      <w:r>
        <w:t xml:space="preserve">Om de capaciteit voor de opvang van overlastgevende amv uit te breiden, is het streven om de PON op korte termijn uit te breiden. </w:t>
      </w:r>
      <w:bookmarkEnd w:id="1"/>
    </w:p>
    <w:p w:rsidR="003854B9" w:rsidP="003854B9" w:rsidRDefault="003854B9" w14:paraId="1BCFB580" w14:textId="77777777">
      <w:pPr>
        <w:pStyle w:val="broodtekst"/>
      </w:pPr>
      <w:r>
        <w:t>Recent is ook de iba (intensieve begeleiding amv) in Nijmegen geopend, een speciale opvangvorm voor alleenreizende jongeren met zorgelijk gedrag.</w:t>
      </w:r>
    </w:p>
    <w:p w:rsidR="003854B9" w:rsidP="003854B9" w:rsidRDefault="003854B9" w14:paraId="0A72B82F" w14:textId="77777777">
      <w:pPr>
        <w:pStyle w:val="broodtekst"/>
      </w:pPr>
      <w:r>
        <w:t>Bij overlastgevend gedrag wordt bezien welke aanvullende maatregelen kunnen worden opgelegd. Met voornoemde modaliteiten voor amv in combinatie met een persoonsgerichte aanpak van overlast, zijn passende alternatieven afdoende geborgd.</w:t>
      </w:r>
    </w:p>
    <w:p w:rsidRPr="00141181" w:rsidR="003854B9" w:rsidP="003854B9" w:rsidRDefault="003854B9" w14:paraId="6E109DE4" w14:textId="77777777">
      <w:pPr>
        <w:rPr>
          <w:b/>
          <w:bCs/>
        </w:rPr>
      </w:pPr>
      <w:r>
        <w:t xml:space="preserve"> </w:t>
      </w:r>
    </w:p>
    <w:p w:rsidRPr="00141181" w:rsidR="003854B9" w:rsidP="003854B9" w:rsidRDefault="003854B9" w14:paraId="0E862439" w14:textId="77777777">
      <w:pPr>
        <w:rPr>
          <w:b/>
          <w:bCs/>
        </w:rPr>
      </w:pPr>
      <w:r w:rsidRPr="00141181">
        <w:rPr>
          <w:b/>
          <w:bCs/>
        </w:rPr>
        <w:t>Vraag 5</w:t>
      </w:r>
      <w:r w:rsidRPr="00141181">
        <w:rPr>
          <w:b/>
          <w:bCs/>
        </w:rPr>
        <w:br/>
        <w:t>Bent u bereid om met deze locatie van het Centraal Orgaan opvang asielzoekers (COA) en gemeente in gesprek te gaan om gebiedsverboden op te leggen aan deze amv’ers? Zo nee, waarom niet?</w:t>
      </w:r>
    </w:p>
    <w:p w:rsidRPr="00141181" w:rsidR="003854B9" w:rsidP="003854B9" w:rsidRDefault="003854B9" w14:paraId="4B2863DE" w14:textId="77777777">
      <w:pPr>
        <w:rPr>
          <w:b/>
          <w:bCs/>
        </w:rPr>
      </w:pPr>
    </w:p>
    <w:p w:rsidRPr="00141181" w:rsidR="003854B9" w:rsidP="003854B9" w:rsidRDefault="003854B9" w14:paraId="678C0839" w14:textId="77777777">
      <w:pPr>
        <w:rPr>
          <w:b/>
          <w:bCs/>
        </w:rPr>
      </w:pPr>
      <w:r w:rsidRPr="00141181">
        <w:rPr>
          <w:b/>
          <w:bCs/>
        </w:rPr>
        <w:t xml:space="preserve">Antwoord </w:t>
      </w:r>
      <w:r>
        <w:rPr>
          <w:b/>
          <w:bCs/>
        </w:rPr>
        <w:t xml:space="preserve">op </w:t>
      </w:r>
      <w:r w:rsidRPr="00141181">
        <w:rPr>
          <w:b/>
          <w:bCs/>
        </w:rPr>
        <w:t>vraag 5</w:t>
      </w:r>
    </w:p>
    <w:p w:rsidR="003854B9" w:rsidP="003854B9" w:rsidRDefault="003854B9" w14:paraId="022464FA" w14:textId="77777777">
      <w:bookmarkStart w:name="_Hlk196898995" w:id="2"/>
      <w:r>
        <w:t xml:space="preserve">Het is aan de burgemeester om ordeverstoorders in de gemeente een gebiedsverbod op te leggen. De minister treed niet in het lokaal gezag. </w:t>
      </w:r>
    </w:p>
    <w:bookmarkEnd w:id="2"/>
    <w:p w:rsidRPr="00A36165" w:rsidR="003854B9" w:rsidP="003854B9" w:rsidRDefault="003854B9" w14:paraId="49427E5F" w14:textId="77777777"/>
    <w:p w:rsidRPr="00141181" w:rsidR="003854B9" w:rsidP="003854B9" w:rsidRDefault="003854B9" w14:paraId="16F6DB28" w14:textId="77777777">
      <w:pPr>
        <w:rPr>
          <w:b/>
          <w:bCs/>
        </w:rPr>
      </w:pPr>
      <w:r w:rsidRPr="00141181">
        <w:rPr>
          <w:b/>
          <w:bCs/>
        </w:rPr>
        <w:lastRenderedPageBreak/>
        <w:t>Vraag 6</w:t>
      </w:r>
      <w:r w:rsidRPr="00141181">
        <w:rPr>
          <w:b/>
          <w:bCs/>
        </w:rPr>
        <w:br/>
        <w:t>Naar aanleiding van een aanranding heeft het COA expliciet aan het slachtoffer gevraagd niet naar de politie te gaan, hoe kijkt u hiernaar?</w:t>
      </w:r>
    </w:p>
    <w:p w:rsidRPr="00674307" w:rsidR="003854B9" w:rsidP="003854B9" w:rsidRDefault="003854B9" w14:paraId="17425371" w14:textId="77777777"/>
    <w:p w:rsidRPr="00141181" w:rsidR="003854B9" w:rsidP="003854B9" w:rsidRDefault="003854B9" w14:paraId="6687DB95" w14:textId="77777777">
      <w:pPr>
        <w:rPr>
          <w:b/>
          <w:bCs/>
        </w:rPr>
      </w:pPr>
      <w:r w:rsidRPr="00141181">
        <w:rPr>
          <w:b/>
          <w:bCs/>
        </w:rPr>
        <w:t>Vraag 7</w:t>
      </w:r>
      <w:r w:rsidRPr="00141181">
        <w:rPr>
          <w:b/>
          <w:bCs/>
        </w:rPr>
        <w:br/>
        <w:t>Deelt u de mening dat er bij strafbare feiten juist naar de politie gegaan dient te worden?</w:t>
      </w:r>
      <w:r w:rsidRPr="00141181">
        <w:rPr>
          <w:b/>
          <w:bCs/>
        </w:rPr>
        <w:br/>
      </w:r>
      <w:r w:rsidRPr="00141181">
        <w:rPr>
          <w:b/>
          <w:bCs/>
        </w:rPr>
        <w:br/>
        <w:t xml:space="preserve">Antwoord </w:t>
      </w:r>
      <w:r>
        <w:rPr>
          <w:b/>
          <w:bCs/>
        </w:rPr>
        <w:t xml:space="preserve">op </w:t>
      </w:r>
      <w:r w:rsidRPr="00141181">
        <w:rPr>
          <w:b/>
          <w:bCs/>
        </w:rPr>
        <w:t>vr</w:t>
      </w:r>
      <w:r>
        <w:rPr>
          <w:b/>
          <w:bCs/>
        </w:rPr>
        <w:t>agen 6 en 7</w:t>
      </w:r>
    </w:p>
    <w:p w:rsidR="003854B9" w:rsidP="003854B9" w:rsidRDefault="003854B9" w14:paraId="04FFD28D" w14:textId="77777777">
      <w:r>
        <w:t xml:space="preserve">Zoals u bekend, kan niet worden ingegaan op individuele gevallen. Maar in zijn algemeenheid geldt het belang om </w:t>
      </w:r>
      <w:r w:rsidRPr="00A50633">
        <w:t xml:space="preserve">altijd aangifte te doen van strafbare feiten. </w:t>
      </w:r>
      <w:r>
        <w:t xml:space="preserve">Bewoners die slachtoffer worden van overlastgevend gedrag worden door COA-medewerkers gewezen op de mogelijkheid om aangifte te doen, waarbij COA toegankelijke informatie verstrekt. Indien COA-medewerkers slachtoffer zijn van een strafbaar feit worden zij intern geïnstrueerd om aangifte te doen onder vermelding van Veilige Publiek Taak (VPT). </w:t>
      </w:r>
    </w:p>
    <w:p w:rsidR="003854B9" w:rsidP="003854B9" w:rsidRDefault="003854B9" w14:paraId="653D2285" w14:textId="77777777">
      <w:r w:rsidRPr="00424537">
        <w:t xml:space="preserve">De politie en het Openbaar Ministerie (OM) geven hoge prioriteit aan de opvolging van VPT-aangiften. De Eenduidige Landelijke Afspraken (ELA) tussen politie en OM vormen hiervoor het kader. Deze afspraken gaan over de opsporing en vervolging van agressie en geweld gericht tegen mensen met een publieke taak. Recent zijn de ELA geëvalueerd en deze evaluatie geeft een duidelijk kader om met alle betrokken partijen met de knelpunten binnen de VPT-aanpak aan de slag te gaan en daarbij ook de ELA te herzien. Binnen dit traject wordt ook gekeken naar verbeterpunten in het aangifteproces. </w:t>
      </w:r>
    </w:p>
    <w:p w:rsidRPr="00141181" w:rsidR="003854B9" w:rsidP="003854B9" w:rsidRDefault="003854B9" w14:paraId="7562241A" w14:textId="77777777">
      <w:pPr>
        <w:rPr>
          <w:b/>
          <w:bCs/>
        </w:rPr>
      </w:pPr>
    </w:p>
    <w:p w:rsidRPr="00141181" w:rsidR="003854B9" w:rsidP="003854B9" w:rsidRDefault="003854B9" w14:paraId="510FE6D7" w14:textId="77777777">
      <w:pPr>
        <w:rPr>
          <w:b/>
          <w:bCs/>
        </w:rPr>
      </w:pPr>
      <w:r w:rsidRPr="00141181">
        <w:rPr>
          <w:b/>
          <w:bCs/>
        </w:rPr>
        <w:t>Vraag 8</w:t>
      </w:r>
      <w:r w:rsidRPr="00141181">
        <w:rPr>
          <w:b/>
          <w:bCs/>
        </w:rPr>
        <w:br/>
        <w:t>Bent u bereid alle COA-locaties en in het bijzonder deze COA-locatie hierop te wijzen?</w:t>
      </w:r>
      <w:r w:rsidRPr="00141181">
        <w:rPr>
          <w:b/>
          <w:bCs/>
        </w:rPr>
        <w:br/>
      </w:r>
      <w:r w:rsidRPr="00141181">
        <w:rPr>
          <w:b/>
          <w:bCs/>
        </w:rPr>
        <w:br/>
        <w:t xml:space="preserve">Antwoord </w:t>
      </w:r>
      <w:r>
        <w:rPr>
          <w:b/>
          <w:bCs/>
        </w:rPr>
        <w:t xml:space="preserve">op </w:t>
      </w:r>
      <w:r w:rsidRPr="00141181">
        <w:rPr>
          <w:b/>
          <w:bCs/>
        </w:rPr>
        <w:t>vraag 8</w:t>
      </w:r>
    </w:p>
    <w:p w:rsidR="003854B9" w:rsidP="003854B9" w:rsidRDefault="003854B9" w14:paraId="6A17A76F" w14:textId="77777777">
      <w:r>
        <w:t xml:space="preserve">Het </w:t>
      </w:r>
      <w:r w:rsidRPr="00822B1C">
        <w:t>landelijke beleid om aangifte te doen bij strafbare feiten staat niet ter discussie</w:t>
      </w:r>
      <w:r>
        <w:t xml:space="preserve"> en heeft de doorlopende aandacht van COA</w:t>
      </w:r>
      <w:r w:rsidRPr="00822B1C">
        <w:t>.</w:t>
      </w:r>
    </w:p>
    <w:p w:rsidR="003854B9" w:rsidP="003854B9" w:rsidRDefault="003854B9" w14:paraId="287F4BA8" w14:textId="77777777"/>
    <w:p w:rsidR="003854B9" w:rsidP="003854B9" w:rsidRDefault="003854B9" w14:paraId="368628F3" w14:textId="77777777">
      <w:r>
        <w:t xml:space="preserve">1) De Telegraaf, 22 maart 2025 (www.telegraaf.nl/nieuws/1332661417/onrust-in-fries-dorpje-om-jonge-azc-ers-die-meisjes-belagen-nog-een-vinger-naar-mijn-dochter-en-ik-ga-los). </w:t>
      </w:r>
    </w:p>
    <w:p w:rsidR="003854B9" w:rsidP="003854B9" w:rsidRDefault="003854B9" w14:paraId="53DDBF9A" w14:textId="77777777"/>
    <w:p w:rsidRPr="00805DD4" w:rsidR="003854B9" w:rsidP="003854B9" w:rsidRDefault="003854B9" w14:paraId="7D0C622A" w14:textId="77777777"/>
    <w:p w:rsidRPr="00973585" w:rsidR="003854B9" w:rsidP="003854B9" w:rsidRDefault="003854B9" w14:paraId="5F1EE2B0" w14:textId="77777777"/>
    <w:p w:rsidR="005E2DC6" w:rsidRDefault="005E2DC6" w14:paraId="3EEB5679" w14:textId="77777777"/>
    <w:sectPr w:rsidR="005E2DC6" w:rsidSect="003854B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59F76" w14:textId="77777777" w:rsidR="003854B9" w:rsidRDefault="003854B9" w:rsidP="003854B9">
      <w:pPr>
        <w:spacing w:after="0" w:line="240" w:lineRule="auto"/>
      </w:pPr>
      <w:r>
        <w:separator/>
      </w:r>
    </w:p>
  </w:endnote>
  <w:endnote w:type="continuationSeparator" w:id="0">
    <w:p w14:paraId="212EFB7E" w14:textId="77777777" w:rsidR="003854B9" w:rsidRDefault="003854B9" w:rsidP="0038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800001F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E4EDD" w14:textId="77777777" w:rsidR="003854B9" w:rsidRPr="003854B9" w:rsidRDefault="003854B9" w:rsidP="003854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C9BF" w14:textId="77777777" w:rsidR="003854B9" w:rsidRPr="003854B9" w:rsidRDefault="003854B9" w:rsidP="003854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A0E3" w14:textId="77777777" w:rsidR="003854B9" w:rsidRPr="003854B9" w:rsidRDefault="003854B9" w:rsidP="003854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A6C20" w14:textId="77777777" w:rsidR="003854B9" w:rsidRDefault="003854B9" w:rsidP="003854B9">
      <w:pPr>
        <w:spacing w:after="0" w:line="240" w:lineRule="auto"/>
      </w:pPr>
      <w:r>
        <w:separator/>
      </w:r>
    </w:p>
  </w:footnote>
  <w:footnote w:type="continuationSeparator" w:id="0">
    <w:p w14:paraId="7307B4AF" w14:textId="77777777" w:rsidR="003854B9" w:rsidRDefault="003854B9" w:rsidP="00385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CA9E" w14:textId="77777777" w:rsidR="003854B9" w:rsidRPr="003854B9" w:rsidRDefault="003854B9" w:rsidP="003854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EFB9" w14:textId="77777777" w:rsidR="003854B9" w:rsidRPr="003854B9" w:rsidRDefault="003854B9" w:rsidP="003854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BDCDD" w14:textId="77777777" w:rsidR="003854B9" w:rsidRPr="003854B9" w:rsidRDefault="003854B9" w:rsidP="003854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B9"/>
    <w:rsid w:val="00280C0B"/>
    <w:rsid w:val="003854B9"/>
    <w:rsid w:val="005E2D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CD59"/>
  <w15:chartTrackingRefBased/>
  <w15:docId w15:val="{2ABA35D6-CEE2-43E3-A620-F825FD44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54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854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854B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854B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854B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854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54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54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54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54B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854B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854B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854B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854B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854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54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54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54B9"/>
    <w:rPr>
      <w:rFonts w:eastAsiaTheme="majorEastAsia" w:cstheme="majorBidi"/>
      <w:color w:val="272727" w:themeColor="text1" w:themeTint="D8"/>
    </w:rPr>
  </w:style>
  <w:style w:type="paragraph" w:styleId="Titel">
    <w:name w:val="Title"/>
    <w:basedOn w:val="Standaard"/>
    <w:next w:val="Standaard"/>
    <w:link w:val="TitelChar"/>
    <w:uiPriority w:val="10"/>
    <w:qFormat/>
    <w:rsid w:val="00385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54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54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54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54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54B9"/>
    <w:rPr>
      <w:i/>
      <w:iCs/>
      <w:color w:val="404040" w:themeColor="text1" w:themeTint="BF"/>
    </w:rPr>
  </w:style>
  <w:style w:type="paragraph" w:styleId="Lijstalinea">
    <w:name w:val="List Paragraph"/>
    <w:basedOn w:val="Standaard"/>
    <w:uiPriority w:val="34"/>
    <w:qFormat/>
    <w:rsid w:val="003854B9"/>
    <w:pPr>
      <w:ind w:left="720"/>
      <w:contextualSpacing/>
    </w:pPr>
  </w:style>
  <w:style w:type="character" w:styleId="Intensievebenadrukking">
    <w:name w:val="Intense Emphasis"/>
    <w:basedOn w:val="Standaardalinea-lettertype"/>
    <w:uiPriority w:val="21"/>
    <w:qFormat/>
    <w:rsid w:val="003854B9"/>
    <w:rPr>
      <w:i/>
      <w:iCs/>
      <w:color w:val="2F5496" w:themeColor="accent1" w:themeShade="BF"/>
    </w:rPr>
  </w:style>
  <w:style w:type="paragraph" w:styleId="Duidelijkcitaat">
    <w:name w:val="Intense Quote"/>
    <w:basedOn w:val="Standaard"/>
    <w:next w:val="Standaard"/>
    <w:link w:val="DuidelijkcitaatChar"/>
    <w:uiPriority w:val="30"/>
    <w:qFormat/>
    <w:rsid w:val="00385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854B9"/>
    <w:rPr>
      <w:i/>
      <w:iCs/>
      <w:color w:val="2F5496" w:themeColor="accent1" w:themeShade="BF"/>
    </w:rPr>
  </w:style>
  <w:style w:type="character" w:styleId="Intensieveverwijzing">
    <w:name w:val="Intense Reference"/>
    <w:basedOn w:val="Standaardalinea-lettertype"/>
    <w:uiPriority w:val="32"/>
    <w:qFormat/>
    <w:rsid w:val="003854B9"/>
    <w:rPr>
      <w:b/>
      <w:bCs/>
      <w:smallCaps/>
      <w:color w:val="2F5496" w:themeColor="accent1" w:themeShade="BF"/>
      <w:spacing w:val="5"/>
    </w:rPr>
  </w:style>
  <w:style w:type="paragraph" w:styleId="Koptekst">
    <w:name w:val="header"/>
    <w:basedOn w:val="Standaard"/>
    <w:link w:val="KoptekstChar"/>
    <w:uiPriority w:val="99"/>
    <w:unhideWhenUsed/>
    <w:rsid w:val="003854B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854B9"/>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3854B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tekst">
    <w:name w:val="footer"/>
    <w:basedOn w:val="Standaard"/>
    <w:link w:val="VoettekstChar"/>
    <w:uiPriority w:val="99"/>
    <w:unhideWhenUsed/>
    <w:rsid w:val="003854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5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801</ap:Words>
  <ap:Characters>4409</ap:Characters>
  <ap:DocSecurity>0</ap:DocSecurity>
  <ap:Lines>36</ap:Lines>
  <ap:Paragraphs>10</ap:Paragraphs>
  <ap:ScaleCrop>false</ap:ScaleCrop>
  <ap:LinksUpToDate>false</ap:LinksUpToDate>
  <ap:CharactersWithSpaces>5200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2025-07-11T07:53:00.0000000Z</dcterms:created>
  <dcterms:modified xsi:type="dcterms:W3CDTF">2025-07-11T07:54:00.0000000Z</dcterms:modified>
  <version/>
  <category/>
</coreProperties>
</file>