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4445" w:rsidP="00584445" w:rsidRDefault="00584445" w14:paraId="4DC86C14" w14:textId="57190421">
      <w:pPr>
        <w:rPr>
          <w:rFonts w:eastAsia="Calibri"/>
          <w:szCs w:val="18"/>
        </w:rPr>
      </w:pPr>
      <w:r>
        <w:rPr>
          <w:rFonts w:eastAsia="Calibri"/>
          <w:szCs w:val="18"/>
        </w:rPr>
        <w:t>AH 2680</w:t>
      </w:r>
    </w:p>
    <w:p w:rsidR="00584445" w:rsidP="00584445" w:rsidRDefault="00584445" w14:paraId="6DBBFE66" w14:textId="688F517C">
      <w:pPr>
        <w:rPr>
          <w:rFonts w:eastAsia="Calibri"/>
          <w:szCs w:val="18"/>
        </w:rPr>
      </w:pPr>
      <w:r>
        <w:rPr>
          <w:rFonts w:eastAsia="Calibri"/>
          <w:szCs w:val="18"/>
        </w:rPr>
        <w:t>2025Z12884</w:t>
      </w:r>
    </w:p>
    <w:p w:rsidR="00584445" w:rsidP="00584445" w:rsidRDefault="00584445" w14:paraId="7871EBEA" w14:textId="2CFBE07E">
      <w:pPr>
        <w:rPr>
          <w:rFonts w:eastAsia="Calibri"/>
          <w:sz w:val="24"/>
          <w:szCs w:val="24"/>
        </w:rPr>
      </w:pPr>
      <w:r w:rsidRPr="00584445">
        <w:rPr>
          <w:rFonts w:eastAsia="Calibri"/>
          <w:sz w:val="24"/>
          <w:szCs w:val="24"/>
        </w:rPr>
        <w:t>Antwoord van minister Bruins (Onderwijs, Cultuur en Wetenschap) (ontvangen</w:t>
      </w:r>
      <w:r>
        <w:rPr>
          <w:rFonts w:eastAsia="Calibri"/>
          <w:sz w:val="24"/>
          <w:szCs w:val="24"/>
        </w:rPr>
        <w:t xml:space="preserve"> 8 juli 2025)</w:t>
      </w:r>
    </w:p>
    <w:p w:rsidR="00584445" w:rsidP="00584445" w:rsidRDefault="00584445" w14:paraId="1009394C" w14:textId="77777777">
      <w:pPr>
        <w:rPr>
          <w:rFonts w:eastAsia="Calibri"/>
          <w:sz w:val="24"/>
          <w:szCs w:val="24"/>
        </w:rPr>
      </w:pPr>
    </w:p>
    <w:p w:rsidR="00584445" w:rsidP="00584445" w:rsidRDefault="00584445" w14:paraId="76FCD216" w14:textId="7E259BA2">
      <w:pPr>
        <w:rPr>
          <w:rFonts w:eastAsia="Calibri"/>
          <w:szCs w:val="18"/>
        </w:rPr>
      </w:pPr>
      <w:r w:rsidRPr="00584445">
        <w:rPr>
          <w:rFonts w:eastAsia="Calibri"/>
          <w:sz w:val="24"/>
          <w:szCs w:val="24"/>
        </w:rPr>
        <w:t>Zie ook Aanhangsel Handelingen, vergaderjaar 2024-2025, nr.</w:t>
      </w:r>
      <w:r>
        <w:rPr>
          <w:rFonts w:eastAsia="Calibri"/>
          <w:sz w:val="24"/>
          <w:szCs w:val="24"/>
        </w:rPr>
        <w:t xml:space="preserve"> 2641</w:t>
      </w:r>
    </w:p>
    <w:p w:rsidR="00584445" w:rsidP="00584445" w:rsidRDefault="00584445" w14:paraId="1CE71AE0" w14:textId="77777777">
      <w:pPr>
        <w:rPr>
          <w:rFonts w:eastAsia="Calibri"/>
          <w:szCs w:val="18"/>
        </w:rPr>
      </w:pPr>
    </w:p>
    <w:p w:rsidR="00584445" w:rsidP="00584445" w:rsidRDefault="00584445" w14:paraId="68FED485" w14:textId="77777777">
      <w:pPr>
        <w:rPr>
          <w:rFonts w:eastAsia="Calibri"/>
          <w:szCs w:val="18"/>
        </w:rPr>
      </w:pPr>
    </w:p>
    <w:p w:rsidR="00584445" w:rsidP="00584445" w:rsidRDefault="00584445" w14:paraId="132BE7A8" w14:textId="77777777">
      <w:pPr>
        <w:numPr>
          <w:ilvl w:val="0"/>
          <w:numId w:val="1"/>
        </w:numPr>
        <w:ind w:left="360"/>
        <w:rPr>
          <w:rFonts w:eastAsia="Calibri"/>
          <w:i/>
          <w:iCs/>
          <w:szCs w:val="18"/>
        </w:rPr>
      </w:pPr>
      <w:r w:rsidRPr="008F0A0C">
        <w:rPr>
          <w:rFonts w:eastAsia="Calibri"/>
          <w:i/>
          <w:iCs/>
          <w:szCs w:val="18"/>
        </w:rPr>
        <w:t>Bent u bekend met de reportage ‘Voelbare kunst, hoorbare grafieken en dobbelstenen met braille op een bijeenkomst in Amsterdam over visueel beperkten’? Zo ja, wat is uw reactie op deze reportage?</w:t>
      </w:r>
    </w:p>
    <w:p w:rsidRPr="00587F88" w:rsidR="00584445" w:rsidP="00584445" w:rsidRDefault="00584445" w14:paraId="1662DCBE" w14:textId="77777777">
      <w:pPr>
        <w:ind w:left="360"/>
        <w:rPr>
          <w:rFonts w:eastAsia="Calibri"/>
          <w:szCs w:val="18"/>
        </w:rPr>
      </w:pPr>
      <w:r>
        <w:rPr>
          <w:rFonts w:eastAsia="Calibri"/>
          <w:szCs w:val="18"/>
        </w:rPr>
        <w:t>Ik ben bekend met de reportage. Deze gaat over de Tactile Reading &amp; Graphics Conference, waar lees- en leermethodes voor mensen met een visuele beperking werden uitgewisseld door ervaringsdeskundigen, onderzoekers en docenten. Er wordt in het artikel een aantal methoden genoemd die ook interessant kunnen zijn voor het toegankelijker maken van de cultuursector voor mensen met een beperking.</w:t>
      </w:r>
      <w:r w:rsidRPr="008F0A0C">
        <w:rPr>
          <w:rFonts w:eastAsia="Calibri"/>
          <w:i/>
          <w:iCs/>
          <w:szCs w:val="18"/>
        </w:rPr>
        <w:br/>
      </w:r>
    </w:p>
    <w:p w:rsidR="00584445" w:rsidP="00584445" w:rsidRDefault="00584445" w14:paraId="69BB2E27" w14:textId="77777777">
      <w:pPr>
        <w:numPr>
          <w:ilvl w:val="0"/>
          <w:numId w:val="1"/>
        </w:numPr>
        <w:ind w:left="360"/>
        <w:rPr>
          <w:rFonts w:eastAsia="Calibri"/>
          <w:i/>
          <w:iCs/>
          <w:szCs w:val="18"/>
        </w:rPr>
      </w:pPr>
      <w:r w:rsidRPr="008F0A0C">
        <w:rPr>
          <w:rFonts w:eastAsia="Calibri"/>
          <w:i/>
          <w:iCs/>
          <w:szCs w:val="18"/>
        </w:rPr>
        <w:t>Deelt u de mening dat kunst, cultuur en informatie, indien mogelijk, toegankelijk zouden moeten zijn voor iedereen, dus ook voor mensen met een visuele beperking?</w:t>
      </w:r>
    </w:p>
    <w:p w:rsidR="00584445" w:rsidP="00584445" w:rsidRDefault="00584445" w14:paraId="4CE672CC" w14:textId="77777777">
      <w:pPr>
        <w:ind w:left="357"/>
        <w:rPr>
          <w:rFonts w:eastAsia="Calibri"/>
          <w:szCs w:val="18"/>
        </w:rPr>
      </w:pPr>
      <w:r>
        <w:rPr>
          <w:rFonts w:eastAsia="Calibri"/>
          <w:szCs w:val="18"/>
        </w:rPr>
        <w:t>Deze mening deel ik. De cultuursector zou voor iedereen toegankelijk moeten zijn, ongeacht iemands beperking.</w:t>
      </w:r>
    </w:p>
    <w:p w:rsidRPr="008F0A0C" w:rsidR="00584445" w:rsidP="00584445" w:rsidRDefault="00584445" w14:paraId="3FCED3C7" w14:textId="77777777">
      <w:pPr>
        <w:ind w:left="360"/>
        <w:rPr>
          <w:rFonts w:eastAsia="Calibri"/>
          <w:szCs w:val="18"/>
        </w:rPr>
      </w:pPr>
    </w:p>
    <w:p w:rsidRPr="000928F7" w:rsidR="00584445" w:rsidP="00584445" w:rsidRDefault="00584445" w14:paraId="7C9F40B2" w14:textId="77777777">
      <w:pPr>
        <w:numPr>
          <w:ilvl w:val="0"/>
          <w:numId w:val="1"/>
        </w:numPr>
        <w:ind w:left="360"/>
        <w:rPr>
          <w:rFonts w:eastAsia="Calibri"/>
          <w:i/>
          <w:iCs/>
          <w:szCs w:val="18"/>
        </w:rPr>
      </w:pPr>
      <w:r w:rsidRPr="008F0A0C">
        <w:rPr>
          <w:rFonts w:eastAsia="Calibri"/>
          <w:i/>
          <w:iCs/>
          <w:szCs w:val="18"/>
        </w:rPr>
        <w:t>In hoeveel musea in Nederland is al sprake van voelbare kunst en andere initiatieven om musea toegankelijker te maken voor mensen met een beperking?</w:t>
      </w:r>
      <w:r w:rsidRPr="008F0A0C">
        <w:rPr>
          <w:rFonts w:eastAsia="Calibri"/>
          <w:i/>
          <w:iCs/>
          <w:szCs w:val="18"/>
        </w:rPr>
        <w:br/>
      </w:r>
      <w:r>
        <w:rPr>
          <w:rFonts w:eastAsia="Calibri"/>
          <w:i/>
          <w:iCs/>
          <w:szCs w:val="18"/>
        </w:rPr>
        <w:br/>
      </w:r>
      <w:r>
        <w:rPr>
          <w:rFonts w:eastAsia="Calibri"/>
          <w:szCs w:val="18"/>
        </w:rPr>
        <w:t>Het exacte aantal musea waarin al sprake is van voelbare kunst en andere initiatieven om musea toegankelijker te maken voor mensen met een beperking is niet bekend. Wel zijn veel musea bezig met toegankelijkheid. Zo organiseert het Van Abbemuseum multi-zintuigelijke rondleidingen; heeft het Huis Sonneveld een laag van tast, geur en geluid toegevoegd; en biedt het Verzetsmuseum mogelijkheden voor museumbezoek voor mensen met een visuele en auditieve beperking, alsook de mogelijkheid voor een prikkelarm museumbezoek.</w:t>
      </w:r>
    </w:p>
    <w:p w:rsidRPr="00F851F7" w:rsidR="00584445" w:rsidP="00584445" w:rsidRDefault="00584445" w14:paraId="0481F0D7" w14:textId="77777777">
      <w:pPr>
        <w:numPr>
          <w:ilvl w:val="0"/>
          <w:numId w:val="1"/>
        </w:numPr>
        <w:ind w:left="360"/>
        <w:rPr>
          <w:rFonts w:eastAsia="Calibri"/>
          <w:i/>
          <w:iCs/>
          <w:szCs w:val="18"/>
        </w:rPr>
      </w:pPr>
      <w:r w:rsidRPr="008F0A0C">
        <w:rPr>
          <w:rFonts w:eastAsia="Calibri"/>
          <w:i/>
          <w:iCs/>
          <w:szCs w:val="18"/>
        </w:rPr>
        <w:lastRenderedPageBreak/>
        <w:t>In welke mate ondersteunt het kabinet op dit moment initiatieven die gericht zijn op het toegankelijker maken van kunst en cultuur voor mensen met een visuele beperking?</w:t>
      </w:r>
      <w:r w:rsidRPr="008F0A0C">
        <w:rPr>
          <w:rFonts w:eastAsia="Calibri"/>
          <w:i/>
          <w:iCs/>
          <w:szCs w:val="18"/>
        </w:rPr>
        <w:br/>
      </w:r>
      <w:r>
        <w:rPr>
          <w:rFonts w:eastAsia="Calibri"/>
          <w:i/>
          <w:iCs/>
          <w:szCs w:val="18"/>
        </w:rPr>
        <w:br/>
      </w:r>
      <w:r>
        <w:rPr>
          <w:rFonts w:eastAsia="Calibri"/>
          <w:szCs w:val="18"/>
        </w:rPr>
        <w:t xml:space="preserve">De afgelopen periode heeft het ministerie van Onderwijs, Cultuur en Wetenschap een aantal subsidies verleend om initiatieven te ondersteunen die zich inzetten voor het toegankelijker maken van kunst en cultuur voor mensen met een beperking. Bijvoorbeeld aan de Coalitie voor Inclusie, die de Routekaart voor Toegankelijke Festivals heeft doorontwikkeld en festivals handvatten biedt voor hoe zij toegankelijker en inclusiever kunnen worden. </w:t>
      </w:r>
    </w:p>
    <w:p w:rsidR="00584445" w:rsidP="00584445" w:rsidRDefault="00584445" w14:paraId="08012B78" w14:textId="77777777">
      <w:pPr>
        <w:ind w:left="360"/>
        <w:rPr>
          <w:rFonts w:eastAsia="Calibri"/>
          <w:szCs w:val="18"/>
        </w:rPr>
      </w:pPr>
      <w:r>
        <w:rPr>
          <w:rFonts w:eastAsia="Calibri"/>
          <w:szCs w:val="18"/>
        </w:rPr>
        <w:t>Momenteel onderzoek ik of een subsidieregeling kan worden opgesteld die toegankelijkheid en inclusie in de cultuursector (en mediasector) in den brede kan stimuleren. De regeling beoogt om het bestaande aanbod en de programmering toegankelijker en inclusiever te maken voor de bezoeker, waaronder bezoekers met een visuele beperking. Daarnaast heeft de regeling ook als doel om organisaties te ondersteunen die toegankelijkheid en inclusie willen verankeren in de sector, zodat de sector in staat wordt gesteld om uit zichzelf met deze onderwerpen aan de slag te gaan.</w:t>
      </w:r>
    </w:p>
    <w:p w:rsidR="00584445" w:rsidP="00584445" w:rsidRDefault="00584445" w14:paraId="2FED5963" w14:textId="77777777">
      <w:pPr>
        <w:ind w:left="360"/>
        <w:rPr>
          <w:rFonts w:eastAsia="Calibri"/>
          <w:i/>
          <w:iCs/>
          <w:szCs w:val="18"/>
        </w:rPr>
      </w:pPr>
      <w:r>
        <w:rPr>
          <w:rFonts w:eastAsia="Calibri"/>
          <w:szCs w:val="18"/>
        </w:rPr>
        <w:t>Als laatste ben ik ook bezig met het ontwikkelen van het Kennispunt Toegankelijke Cultuur, dat culturele organisaties handvatten moet bieden om - op een manier die aansluit bij hun aanbod, programmering, of collectie -toegankelijker en inclusiever te worden, ook voor mensen met een visuele beperking.</w:t>
      </w:r>
      <w:r>
        <w:rPr>
          <w:rStyle w:val="Voetnootmarkering"/>
          <w:rFonts w:eastAsia="Calibri"/>
          <w:szCs w:val="18"/>
        </w:rPr>
        <w:footnoteReference w:id="1"/>
      </w:r>
      <w:r>
        <w:rPr>
          <w:rFonts w:eastAsia="Calibri"/>
          <w:szCs w:val="18"/>
        </w:rPr>
        <w:t xml:space="preserve"> </w:t>
      </w:r>
    </w:p>
    <w:p w:rsidRPr="007C6496" w:rsidR="00584445" w:rsidP="00584445" w:rsidRDefault="00584445" w14:paraId="3F8AE6AF" w14:textId="77777777">
      <w:pPr>
        <w:numPr>
          <w:ilvl w:val="0"/>
          <w:numId w:val="1"/>
        </w:numPr>
        <w:ind w:left="360"/>
        <w:rPr>
          <w:rFonts w:eastAsia="Calibri"/>
          <w:i/>
          <w:iCs/>
          <w:szCs w:val="18"/>
        </w:rPr>
      </w:pPr>
      <w:r w:rsidRPr="008F0A0C">
        <w:rPr>
          <w:rFonts w:eastAsia="Calibri"/>
          <w:i/>
          <w:iCs/>
          <w:szCs w:val="18"/>
        </w:rPr>
        <w:t>Worden musea op dit moment voldoende gestimuleerd om hun informatievoorziening en kunst toegankelijk te maken? Zo nee, hoe kan dit verder gestimuleerd worden?</w:t>
      </w:r>
      <w:r w:rsidRPr="008F0A0C">
        <w:rPr>
          <w:rFonts w:eastAsia="Calibri"/>
          <w:i/>
          <w:iCs/>
          <w:szCs w:val="18"/>
        </w:rPr>
        <w:br/>
      </w:r>
      <w:r>
        <w:rPr>
          <w:rFonts w:eastAsia="Calibri"/>
          <w:i/>
          <w:iCs/>
          <w:szCs w:val="18"/>
        </w:rPr>
        <w:br/>
      </w:r>
      <w:r>
        <w:rPr>
          <w:rFonts w:eastAsia="Calibri"/>
          <w:szCs w:val="18"/>
        </w:rPr>
        <w:t>Musea die via de Erfgoedwet, de basisinfrastructuur of via de rijkscultuurfondsen subsidie ontvangen worden gevraagd om de Code Diversiteit en Inclusie, de Governance Code Cultuur en de Fair Practice Code te onderschrijven. Onderdeel hiervan is om uitleg te geven over wat zij doen om hun organisatie toegankelijker en inclusiever te maken, ook voor mensen met een beperking. Musea zijn vrij in de manier waarop ze de code toepassen en welke keuzes zij hierin maken.</w:t>
      </w:r>
    </w:p>
    <w:p w:rsidRPr="007C6496" w:rsidR="00584445" w:rsidP="00584445" w:rsidRDefault="00584445" w14:paraId="4EC0987F" w14:textId="77777777">
      <w:pPr>
        <w:ind w:left="360"/>
        <w:rPr>
          <w:rFonts w:eastAsia="Calibri"/>
          <w:szCs w:val="18"/>
        </w:rPr>
      </w:pPr>
      <w:r>
        <w:rPr>
          <w:rFonts w:eastAsia="Calibri"/>
          <w:szCs w:val="18"/>
        </w:rPr>
        <w:t xml:space="preserve">Om musea verder te stimuleren op het gebied van toegankelijkheid en inclusie, en hen daarbij van de juiste informatie te voorzien, ben ik bezig met het ontwikkelen van het Kennispunt Toegankelijke Cultuur, zoals genoemd bij antwoord 4. </w:t>
      </w:r>
    </w:p>
    <w:p w:rsidR="00584445" w:rsidP="00584445" w:rsidRDefault="00584445" w14:paraId="4DA72092" w14:textId="77777777">
      <w:pPr>
        <w:numPr>
          <w:ilvl w:val="0"/>
          <w:numId w:val="1"/>
        </w:numPr>
        <w:ind w:left="360"/>
        <w:rPr>
          <w:rFonts w:eastAsia="Calibri"/>
          <w:i/>
          <w:iCs/>
          <w:szCs w:val="18"/>
        </w:rPr>
      </w:pPr>
      <w:r w:rsidRPr="008F0A0C">
        <w:rPr>
          <w:rFonts w:eastAsia="Calibri"/>
          <w:i/>
          <w:iCs/>
          <w:szCs w:val="18"/>
        </w:rPr>
        <w:lastRenderedPageBreak/>
        <w:t>Ziet u mogelijkheden om het bestaande beleid te intensiveren op het gebied van toegankelijke musea?</w:t>
      </w:r>
    </w:p>
    <w:p w:rsidRPr="00A64850" w:rsidR="00584445" w:rsidP="00584445" w:rsidRDefault="00584445" w14:paraId="1F99521D" w14:textId="77777777">
      <w:pPr>
        <w:ind w:left="360"/>
        <w:rPr>
          <w:rFonts w:eastAsia="Calibri"/>
          <w:szCs w:val="18"/>
        </w:rPr>
      </w:pPr>
      <w:r>
        <w:rPr>
          <w:rFonts w:eastAsia="Calibri"/>
          <w:szCs w:val="18"/>
        </w:rPr>
        <w:t xml:space="preserve">Samen met andere ministeries heeft het ministerie van OCW bijgedragen aan het opstellen van een werkagenda voor de komende vijf jaar, voor de uitvoering van de Nationale Strategie VN-verdrag Handicap. Deze zal spoedig richting uw Kamer verstuurd worden. In de werkagenda staat een aantal maatregelen die erop zien de cultuursector (en mediasector) toegankelijker en inclusiever te maken. </w:t>
      </w:r>
      <w:r w:rsidRPr="00A64850">
        <w:rPr>
          <w:rFonts w:eastAsia="Calibri"/>
          <w:szCs w:val="18"/>
        </w:rPr>
        <w:t>De</w:t>
      </w:r>
      <w:r>
        <w:rPr>
          <w:rFonts w:eastAsia="Calibri"/>
          <w:szCs w:val="18"/>
        </w:rPr>
        <w:t>ze</w:t>
      </w:r>
      <w:r w:rsidRPr="00A64850">
        <w:rPr>
          <w:rFonts w:eastAsia="Calibri"/>
          <w:szCs w:val="18"/>
        </w:rPr>
        <w:t xml:space="preserve"> maatregelen </w:t>
      </w:r>
      <w:r>
        <w:rPr>
          <w:rFonts w:eastAsia="Calibri"/>
          <w:szCs w:val="18"/>
        </w:rPr>
        <w:t>z</w:t>
      </w:r>
      <w:r w:rsidRPr="00A64850">
        <w:rPr>
          <w:rFonts w:eastAsia="Calibri"/>
          <w:szCs w:val="18"/>
        </w:rPr>
        <w:t>ijn – tenzij wettelijk anders bepaald – zoveel mogelijk breed ingestoken, zodat de maatregelen toegankelijkheid in de brede zin van het woord bevorderen</w:t>
      </w:r>
      <w:r>
        <w:rPr>
          <w:rFonts w:eastAsia="Calibri"/>
          <w:szCs w:val="18"/>
        </w:rPr>
        <w:t>.</w:t>
      </w:r>
    </w:p>
    <w:p w:rsidRPr="00D71A7A" w:rsidR="00584445" w:rsidP="00584445" w:rsidRDefault="00584445" w14:paraId="57EFEA8A" w14:textId="77777777">
      <w:pPr>
        <w:numPr>
          <w:ilvl w:val="0"/>
          <w:numId w:val="1"/>
        </w:numPr>
        <w:ind w:left="360"/>
        <w:rPr>
          <w:rFonts w:eastAsia="Calibri"/>
          <w:i/>
          <w:iCs/>
          <w:szCs w:val="18"/>
        </w:rPr>
      </w:pPr>
      <w:r w:rsidRPr="008F0A0C">
        <w:rPr>
          <w:rFonts w:eastAsia="Calibri"/>
          <w:i/>
          <w:iCs/>
          <w:szCs w:val="18"/>
        </w:rPr>
        <w:t>Van welke subsidieregelingen of fondsen vanuit de overheid kan de kunst- en cultuursector gebruikmaken om haar aanbod toegankelijk te maken, in het bijzonder voor mensen met een visuele beperking? En in hoeverre worden deze regelingen al benut?</w:t>
      </w:r>
      <w:r>
        <w:rPr>
          <w:rFonts w:eastAsia="Calibri"/>
          <w:i/>
          <w:iCs/>
          <w:szCs w:val="18"/>
        </w:rPr>
        <w:br/>
      </w:r>
      <w:r>
        <w:rPr>
          <w:rFonts w:eastAsia="Calibri"/>
          <w:i/>
          <w:iCs/>
          <w:szCs w:val="18"/>
        </w:rPr>
        <w:br/>
      </w:r>
      <w:r>
        <w:rPr>
          <w:rFonts w:eastAsia="Calibri"/>
          <w:szCs w:val="18"/>
        </w:rPr>
        <w:t xml:space="preserve">Zoals genoemd bij antwoord 4, ben ik momenteel aan het onderzoeken of er een subsidieregeling kan worden opgesteld die toegankelijkheid en inclusie in de cultuursector (en mediasector) in den brede kan stimuleren, hier vallen ook mensen met een visuele beperking onder. </w:t>
      </w:r>
    </w:p>
    <w:p w:rsidR="00584445" w:rsidP="00584445" w:rsidRDefault="00584445" w14:paraId="2A059F54" w14:textId="77777777"/>
    <w:p w:rsidR="00584445" w:rsidP="00584445" w:rsidRDefault="00584445" w14:paraId="34BE2246" w14:textId="77777777"/>
    <w:p w:rsidR="00584445" w:rsidP="00584445" w:rsidRDefault="00584445" w14:paraId="7D359937" w14:textId="77777777"/>
    <w:p w:rsidRPr="00820DDA" w:rsidR="00584445" w:rsidP="00584445" w:rsidRDefault="00584445" w14:paraId="0C43BF41" w14:textId="77777777">
      <w:pPr>
        <w:spacing w:line="240" w:lineRule="auto"/>
      </w:pPr>
    </w:p>
    <w:p w:rsidR="00C7332A" w:rsidRDefault="00C7332A" w14:paraId="1E0CE639" w14:textId="77777777"/>
    <w:sectPr w:rsidR="00C7332A" w:rsidSect="00584445">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9E3A7" w14:textId="77777777" w:rsidR="00584445" w:rsidRDefault="00584445" w:rsidP="00584445">
      <w:pPr>
        <w:spacing w:after="0" w:line="240" w:lineRule="auto"/>
      </w:pPr>
      <w:r>
        <w:separator/>
      </w:r>
    </w:p>
  </w:endnote>
  <w:endnote w:type="continuationSeparator" w:id="0">
    <w:p w14:paraId="4DB5FDD0" w14:textId="77777777" w:rsidR="00584445" w:rsidRDefault="00584445" w:rsidP="0058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6E28" w14:textId="77777777" w:rsidR="00584445" w:rsidRPr="00584445" w:rsidRDefault="00584445" w:rsidP="005844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A87EF" w14:textId="77777777" w:rsidR="00584445" w:rsidRPr="00584445" w:rsidRDefault="00584445" w:rsidP="005844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129D" w14:textId="77777777" w:rsidR="00584445" w:rsidRPr="00584445" w:rsidRDefault="00584445" w:rsidP="005844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863D" w14:textId="77777777" w:rsidR="00584445" w:rsidRDefault="00584445" w:rsidP="00584445">
      <w:pPr>
        <w:spacing w:after="0" w:line="240" w:lineRule="auto"/>
      </w:pPr>
      <w:r>
        <w:separator/>
      </w:r>
    </w:p>
  </w:footnote>
  <w:footnote w:type="continuationSeparator" w:id="0">
    <w:p w14:paraId="50084336" w14:textId="77777777" w:rsidR="00584445" w:rsidRDefault="00584445" w:rsidP="00584445">
      <w:pPr>
        <w:spacing w:after="0" w:line="240" w:lineRule="auto"/>
      </w:pPr>
      <w:r>
        <w:continuationSeparator/>
      </w:r>
    </w:p>
  </w:footnote>
  <w:footnote w:id="1">
    <w:p w14:paraId="36DED59B" w14:textId="77777777" w:rsidR="00584445" w:rsidRDefault="00584445" w:rsidP="00584445">
      <w:pPr>
        <w:pStyle w:val="Voetnoottekst"/>
      </w:pPr>
      <w:r>
        <w:rPr>
          <w:rStyle w:val="Voetnootmarkering"/>
        </w:rPr>
        <w:footnoteRef/>
      </w:r>
      <w:r>
        <w:t xml:space="preserve"> Kamerbrief Rapportage en implementatieadvies Kennispunt Toegankelijke Cultuur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0D22" w14:textId="77777777" w:rsidR="00584445" w:rsidRPr="00584445" w:rsidRDefault="00584445" w:rsidP="005844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97B39" w14:textId="77777777" w:rsidR="00584445" w:rsidRPr="00584445" w:rsidRDefault="00584445" w:rsidP="005844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6593" w14:textId="77777777" w:rsidR="00584445" w:rsidRPr="00584445" w:rsidRDefault="00584445" w:rsidP="005844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21F3"/>
    <w:multiLevelType w:val="hybridMultilevel"/>
    <w:tmpl w:val="32D6B84E"/>
    <w:lvl w:ilvl="0" w:tplc="1826EA28">
      <w:start w:val="1"/>
      <w:numFmt w:val="decimal"/>
      <w:lvlText w:val="%1."/>
      <w:lvlJc w:val="left"/>
      <w:pPr>
        <w:ind w:left="720" w:hanging="360"/>
      </w:pPr>
    </w:lvl>
    <w:lvl w:ilvl="1" w:tplc="B07AB27E">
      <w:start w:val="1"/>
      <w:numFmt w:val="lowerLetter"/>
      <w:lvlText w:val="%2."/>
      <w:lvlJc w:val="left"/>
      <w:pPr>
        <w:ind w:left="1440" w:hanging="360"/>
      </w:pPr>
    </w:lvl>
    <w:lvl w:ilvl="2" w:tplc="31CA950C">
      <w:start w:val="1"/>
      <w:numFmt w:val="lowerRoman"/>
      <w:lvlText w:val="%3."/>
      <w:lvlJc w:val="right"/>
      <w:pPr>
        <w:ind w:left="2160" w:hanging="180"/>
      </w:pPr>
    </w:lvl>
    <w:lvl w:ilvl="3" w:tplc="7A58109E">
      <w:start w:val="1"/>
      <w:numFmt w:val="decimal"/>
      <w:lvlText w:val="%4."/>
      <w:lvlJc w:val="left"/>
      <w:pPr>
        <w:ind w:left="2880" w:hanging="360"/>
      </w:pPr>
    </w:lvl>
    <w:lvl w:ilvl="4" w:tplc="E95AA23E">
      <w:start w:val="1"/>
      <w:numFmt w:val="lowerLetter"/>
      <w:lvlText w:val="%5."/>
      <w:lvlJc w:val="left"/>
      <w:pPr>
        <w:ind w:left="3600" w:hanging="360"/>
      </w:pPr>
    </w:lvl>
    <w:lvl w:ilvl="5" w:tplc="BC9E87AC">
      <w:start w:val="1"/>
      <w:numFmt w:val="lowerRoman"/>
      <w:lvlText w:val="%6."/>
      <w:lvlJc w:val="right"/>
      <w:pPr>
        <w:ind w:left="4320" w:hanging="180"/>
      </w:pPr>
    </w:lvl>
    <w:lvl w:ilvl="6" w:tplc="3ED4B3E6">
      <w:start w:val="1"/>
      <w:numFmt w:val="decimal"/>
      <w:lvlText w:val="%7."/>
      <w:lvlJc w:val="left"/>
      <w:pPr>
        <w:ind w:left="5040" w:hanging="360"/>
      </w:pPr>
    </w:lvl>
    <w:lvl w:ilvl="7" w:tplc="FE1C2A3C">
      <w:start w:val="1"/>
      <w:numFmt w:val="lowerLetter"/>
      <w:lvlText w:val="%8."/>
      <w:lvlJc w:val="left"/>
      <w:pPr>
        <w:ind w:left="5760" w:hanging="360"/>
      </w:pPr>
    </w:lvl>
    <w:lvl w:ilvl="8" w:tplc="B0AE9CDE">
      <w:start w:val="1"/>
      <w:numFmt w:val="lowerRoman"/>
      <w:lvlText w:val="%9."/>
      <w:lvlJc w:val="right"/>
      <w:pPr>
        <w:ind w:left="6480" w:hanging="180"/>
      </w:pPr>
    </w:lvl>
  </w:abstractNum>
  <w:num w:numId="1" w16cid:durableId="3605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45"/>
    <w:rsid w:val="00584445"/>
    <w:rsid w:val="00947F8B"/>
    <w:rsid w:val="00C7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9A48"/>
  <w15:chartTrackingRefBased/>
  <w15:docId w15:val="{7E297762-4333-4C8E-941E-9A1AF993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44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844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8444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8444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8444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844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44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44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44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444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8444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8444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8444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8444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844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44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44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4445"/>
    <w:rPr>
      <w:rFonts w:eastAsiaTheme="majorEastAsia" w:cstheme="majorBidi"/>
      <w:color w:val="272727" w:themeColor="text1" w:themeTint="D8"/>
    </w:rPr>
  </w:style>
  <w:style w:type="paragraph" w:styleId="Titel">
    <w:name w:val="Title"/>
    <w:basedOn w:val="Standaard"/>
    <w:next w:val="Standaard"/>
    <w:link w:val="TitelChar"/>
    <w:uiPriority w:val="10"/>
    <w:qFormat/>
    <w:rsid w:val="00584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44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44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44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44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4445"/>
    <w:rPr>
      <w:i/>
      <w:iCs/>
      <w:color w:val="404040" w:themeColor="text1" w:themeTint="BF"/>
    </w:rPr>
  </w:style>
  <w:style w:type="paragraph" w:styleId="Lijstalinea">
    <w:name w:val="List Paragraph"/>
    <w:basedOn w:val="Standaard"/>
    <w:uiPriority w:val="34"/>
    <w:qFormat/>
    <w:rsid w:val="00584445"/>
    <w:pPr>
      <w:ind w:left="720"/>
      <w:contextualSpacing/>
    </w:pPr>
  </w:style>
  <w:style w:type="character" w:styleId="Intensievebenadrukking">
    <w:name w:val="Intense Emphasis"/>
    <w:basedOn w:val="Standaardalinea-lettertype"/>
    <w:uiPriority w:val="21"/>
    <w:qFormat/>
    <w:rsid w:val="00584445"/>
    <w:rPr>
      <w:i/>
      <w:iCs/>
      <w:color w:val="2F5496" w:themeColor="accent1" w:themeShade="BF"/>
    </w:rPr>
  </w:style>
  <w:style w:type="paragraph" w:styleId="Duidelijkcitaat">
    <w:name w:val="Intense Quote"/>
    <w:basedOn w:val="Standaard"/>
    <w:next w:val="Standaard"/>
    <w:link w:val="DuidelijkcitaatChar"/>
    <w:uiPriority w:val="30"/>
    <w:qFormat/>
    <w:rsid w:val="00584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84445"/>
    <w:rPr>
      <w:i/>
      <w:iCs/>
      <w:color w:val="2F5496" w:themeColor="accent1" w:themeShade="BF"/>
    </w:rPr>
  </w:style>
  <w:style w:type="character" w:styleId="Intensieveverwijzing">
    <w:name w:val="Intense Reference"/>
    <w:basedOn w:val="Standaardalinea-lettertype"/>
    <w:uiPriority w:val="32"/>
    <w:qFormat/>
    <w:rsid w:val="00584445"/>
    <w:rPr>
      <w:b/>
      <w:bCs/>
      <w:smallCaps/>
      <w:color w:val="2F5496" w:themeColor="accent1" w:themeShade="BF"/>
      <w:spacing w:val="5"/>
    </w:rPr>
  </w:style>
  <w:style w:type="paragraph" w:styleId="Koptekst">
    <w:name w:val="header"/>
    <w:basedOn w:val="Standaard"/>
    <w:link w:val="KoptekstChar"/>
    <w:rsid w:val="0058444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8444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8444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8444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8444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84445"/>
    <w:rPr>
      <w:rFonts w:ascii="Verdana" w:hAnsi="Verdana"/>
      <w:noProof/>
      <w:sz w:val="13"/>
      <w:szCs w:val="24"/>
      <w:lang w:eastAsia="nl-NL"/>
    </w:rPr>
  </w:style>
  <w:style w:type="paragraph" w:customStyle="1" w:styleId="Huisstijl-Gegeven">
    <w:name w:val="Huisstijl-Gegeven"/>
    <w:basedOn w:val="Standaard"/>
    <w:link w:val="Huisstijl-GegevenCharChar"/>
    <w:rsid w:val="0058444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8444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8444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8444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58444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58444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5844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806</ap:Words>
  <ap:Characters>4436</ap:Characters>
  <ap:DocSecurity>0</ap:DocSecurity>
  <ap:Lines>36</ap:Lines>
  <ap:Paragraphs>10</ap:Paragraphs>
  <ap:ScaleCrop>false</ap:ScaleCrop>
  <ap:LinksUpToDate>false</ap:LinksUpToDate>
  <ap:CharactersWithSpaces>5232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2025-07-08T13:52:00.0000000Z</dcterms:created>
  <dcterms:modified xsi:type="dcterms:W3CDTF">2025-07-08T13:53:00.0000000Z</dcterms:modified>
  <version/>
  <category/>
</coreProperties>
</file>