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AD1517" w:rsidP="00AD1517" w14:paraId="13BE8BF1" w14:textId="72A2A27B">
      <w:pPr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 xml:space="preserve"> Uitwerking amendementen, moties en toezeggingen Tweede en Eerste Kamer</w:t>
      </w:r>
    </w:p>
    <w:p w:rsidRPr="00B26D03" w:rsidR="00AD1517" w:rsidP="00AD1517" w14:paraId="100B6828" w14:textId="77777777">
      <w:pPr>
        <w:rPr>
          <w:i/>
          <w:iCs/>
        </w:rPr>
      </w:pPr>
      <w:r>
        <w:rPr>
          <w:i/>
          <w:iCs/>
        </w:rPr>
        <w:t xml:space="preserve">Tijdens de behandeling van de </w:t>
      </w:r>
      <w:r>
        <w:rPr>
          <w:i/>
          <w:iCs/>
        </w:rPr>
        <w:t>Wgiw</w:t>
      </w:r>
      <w:r>
        <w:rPr>
          <w:i/>
          <w:iCs/>
        </w:rPr>
        <w:t xml:space="preserve"> in de Tweede Kamer zijn ook andere moties aangenomen. Deze moties zijn of worden op andere wijze dan met het Besluit gemeentelijke instrumenten warmtetransitie ingevuld.</w:t>
      </w:r>
    </w:p>
    <w:tbl>
      <w:tblPr>
        <w:tblStyle w:val="TableGrid"/>
        <w:tblW w:w="14063" w:type="dxa"/>
        <w:tblLook w:val="04A0"/>
      </w:tblPr>
      <w:tblGrid>
        <w:gridCol w:w="1308"/>
        <w:gridCol w:w="5775"/>
        <w:gridCol w:w="6980"/>
      </w:tblGrid>
      <w:tr w:rsidTr="00AD1517" w14:paraId="49725A3B" w14:textId="77777777">
        <w:tblPrEx>
          <w:tblW w:w="14063" w:type="dxa"/>
          <w:tblLook w:val="04A0"/>
        </w:tblPrEx>
        <w:tc>
          <w:tcPr>
            <w:tcW w:w="1308" w:type="dxa"/>
          </w:tcPr>
          <w:p w:rsidR="00AD1517" w:rsidP="00664009" w14:paraId="20A78493" w14:textId="77777777">
            <w:r>
              <w:t>Kamerstuk</w:t>
            </w:r>
          </w:p>
        </w:tc>
        <w:tc>
          <w:tcPr>
            <w:tcW w:w="5775" w:type="dxa"/>
          </w:tcPr>
          <w:p w:rsidR="00AD1517" w:rsidP="00664009" w14:paraId="5595BE2A" w14:textId="77777777">
            <w:r>
              <w:t>Titel</w:t>
            </w:r>
          </w:p>
        </w:tc>
        <w:tc>
          <w:tcPr>
            <w:tcW w:w="6980" w:type="dxa"/>
          </w:tcPr>
          <w:p w:rsidR="00AD1517" w:rsidP="00664009" w14:paraId="6CAD2506" w14:textId="77777777">
            <w:r>
              <w:t>Nota van toelichting</w:t>
            </w:r>
          </w:p>
        </w:tc>
      </w:tr>
      <w:tr w:rsidTr="00AD1517" w14:paraId="64425BEE" w14:textId="77777777">
        <w:tblPrEx>
          <w:tblW w:w="14063" w:type="dxa"/>
          <w:tblLook w:val="04A0"/>
        </w:tblPrEx>
        <w:tc>
          <w:tcPr>
            <w:tcW w:w="1308" w:type="dxa"/>
          </w:tcPr>
          <w:p w:rsidR="00AD1517" w:rsidP="00664009" w14:paraId="42FC576F" w14:textId="77777777">
            <w:r>
              <w:t>36387-9</w:t>
            </w:r>
          </w:p>
        </w:tc>
        <w:tc>
          <w:tcPr>
            <w:tcW w:w="5775" w:type="dxa"/>
          </w:tcPr>
          <w:p w:rsidR="00AD1517" w:rsidP="00664009" w14:paraId="65B31A88" w14:textId="77777777">
            <w:r>
              <w:t>Amendement Erkens over een overgangstermijn van 8 jaar</w:t>
            </w:r>
          </w:p>
        </w:tc>
        <w:tc>
          <w:tcPr>
            <w:tcW w:w="6980" w:type="dxa"/>
          </w:tcPr>
          <w:p w:rsidR="00AD1517" w:rsidP="00664009" w14:paraId="230DD21D" w14:textId="77777777">
            <w:r>
              <w:t xml:space="preserve">Verder toegelicht onder waarborgen bij het aanwijzen van een wijk (2.7), meer specifiek over de redelijke termijn (2.7.7). </w:t>
            </w:r>
          </w:p>
        </w:tc>
      </w:tr>
      <w:tr w:rsidTr="00AD1517" w14:paraId="409A324C" w14:textId="77777777">
        <w:tblPrEx>
          <w:tblW w:w="14063" w:type="dxa"/>
          <w:tblLook w:val="04A0"/>
        </w:tblPrEx>
        <w:tc>
          <w:tcPr>
            <w:tcW w:w="1308" w:type="dxa"/>
          </w:tcPr>
          <w:p w:rsidR="00AD1517" w:rsidP="00664009" w14:paraId="60CD988B" w14:textId="77777777">
            <w:r>
              <w:t>36387-16</w:t>
            </w:r>
          </w:p>
        </w:tc>
        <w:tc>
          <w:tcPr>
            <w:tcW w:w="5775" w:type="dxa"/>
          </w:tcPr>
          <w:p w:rsidR="00AD1517" w:rsidP="00664009" w14:paraId="4A61F997" w14:textId="77777777">
            <w:r>
              <w:t xml:space="preserve">Amendement </w:t>
            </w:r>
            <w:r>
              <w:t>Flach</w:t>
            </w:r>
            <w:r>
              <w:t xml:space="preserve"> over warmteprogramma’s richten op doelmatige, haalbare en betaalbare verduurzaming</w:t>
            </w:r>
          </w:p>
        </w:tc>
        <w:tc>
          <w:tcPr>
            <w:tcW w:w="6980" w:type="dxa"/>
          </w:tcPr>
          <w:p w:rsidR="00AD1517" w:rsidP="00664009" w14:paraId="2BB101AE" w14:textId="22552E46">
            <w:r>
              <w:t xml:space="preserve">Verder toegelicht onder het warmteprogramma (2.2) dat </w:t>
            </w:r>
            <w:r w:rsidRPr="00B26D03">
              <w:t xml:space="preserve">een warmteprogramma </w:t>
            </w:r>
            <w:r>
              <w:t>gericht</w:t>
            </w:r>
            <w:r w:rsidRPr="00B26D03">
              <w:t xml:space="preserve"> moet zijn op een doelmatige en voor eigenaren en gebruikers haalbare en betaalbare verduurzaming van de warmtevoorziening van gebouwe</w:t>
            </w:r>
            <w:r>
              <w:t xml:space="preserve">n. </w:t>
            </w:r>
          </w:p>
        </w:tc>
      </w:tr>
      <w:tr w:rsidTr="00AD1517" w14:paraId="3D0B4E6A" w14:textId="77777777">
        <w:tblPrEx>
          <w:tblW w:w="14063" w:type="dxa"/>
          <w:tblLook w:val="04A0"/>
        </w:tblPrEx>
        <w:tc>
          <w:tcPr>
            <w:tcW w:w="1308" w:type="dxa"/>
          </w:tcPr>
          <w:p w:rsidR="00AD1517" w:rsidP="00664009" w14:paraId="76886F63" w14:textId="77777777">
            <w:r>
              <w:t>36387-20</w:t>
            </w:r>
          </w:p>
        </w:tc>
        <w:tc>
          <w:tcPr>
            <w:tcW w:w="5775" w:type="dxa"/>
          </w:tcPr>
          <w:p w:rsidR="00AD1517" w:rsidP="00664009" w14:paraId="6B262ABD" w14:textId="77777777">
            <w:r>
              <w:t>Amendement Erkens c.s. over het waarborgen van betaalbaarheid door het opstellen van instructieregels</w:t>
            </w:r>
          </w:p>
        </w:tc>
        <w:tc>
          <w:tcPr>
            <w:tcW w:w="6980" w:type="dxa"/>
          </w:tcPr>
          <w:p w:rsidR="00AD1517" w:rsidP="00664009" w14:paraId="32428594" w14:textId="77777777">
            <w:r>
              <w:t>Verder toegelicht onder waarborgen bij het aanwijzen van een wijk, meer specifiek over betaalbaarheid voor huishoudens in de wijk (2.7.5)</w:t>
            </w:r>
          </w:p>
        </w:tc>
      </w:tr>
      <w:tr w:rsidTr="00AD1517" w14:paraId="6AAE77ED" w14:textId="77777777">
        <w:tblPrEx>
          <w:tblW w:w="14063" w:type="dxa"/>
          <w:tblLook w:val="04A0"/>
        </w:tblPrEx>
        <w:tc>
          <w:tcPr>
            <w:tcW w:w="1308" w:type="dxa"/>
          </w:tcPr>
          <w:p w:rsidR="00AD1517" w:rsidP="00664009" w14:paraId="75CC1591" w14:textId="77777777">
            <w:r>
              <w:t>36387-26</w:t>
            </w:r>
          </w:p>
        </w:tc>
        <w:tc>
          <w:tcPr>
            <w:tcW w:w="5775" w:type="dxa"/>
          </w:tcPr>
          <w:p w:rsidR="00AD1517" w:rsidP="00664009" w14:paraId="31644C72" w14:textId="77777777">
            <w:r>
              <w:t xml:space="preserve">Motie </w:t>
            </w:r>
            <w:r>
              <w:t>Grinws</w:t>
            </w:r>
            <w:r>
              <w:t xml:space="preserve"> </w:t>
            </w:r>
            <w:r w:rsidRPr="008F4756">
              <w:t>over komen tot een helder afgebakende en juridisch bindende vergewisplicht van een alternatief voor aardgas</w:t>
            </w:r>
          </w:p>
        </w:tc>
        <w:tc>
          <w:tcPr>
            <w:tcW w:w="6980" w:type="dxa"/>
          </w:tcPr>
          <w:p w:rsidR="00AD1517" w:rsidP="00664009" w14:paraId="6FD57320" w14:textId="7869898B">
            <w:r>
              <w:t xml:space="preserve">Beschreven onder monitoring van de uitvoering (2.7.9.1) dat de </w:t>
            </w:r>
            <w:r w:rsidRPr="00B26D03">
              <w:t>essentiële onderdelen in het kader van de vergewisplicht toegevoegd</w:t>
            </w:r>
            <w:r>
              <w:t xml:space="preserve"> zijn</w:t>
            </w:r>
            <w:r w:rsidRPr="00B26D03">
              <w:t xml:space="preserve"> aan de monitoring</w:t>
            </w:r>
            <w:r>
              <w:t xml:space="preserve"> </w:t>
            </w:r>
          </w:p>
        </w:tc>
      </w:tr>
      <w:tr w:rsidTr="00AD1517" w14:paraId="4EDF744E" w14:textId="77777777">
        <w:tblPrEx>
          <w:tblW w:w="14063" w:type="dxa"/>
          <w:tblLook w:val="04A0"/>
        </w:tblPrEx>
        <w:tc>
          <w:tcPr>
            <w:tcW w:w="1308" w:type="dxa"/>
          </w:tcPr>
          <w:p w:rsidR="00AD1517" w:rsidP="00664009" w14:paraId="423BAF1E" w14:textId="77777777">
            <w:r>
              <w:t>36387-28</w:t>
            </w:r>
          </w:p>
        </w:tc>
        <w:tc>
          <w:tcPr>
            <w:tcW w:w="5775" w:type="dxa"/>
          </w:tcPr>
          <w:p w:rsidR="00AD1517" w:rsidP="00664009" w14:paraId="06B9DA95" w14:textId="77777777">
            <w:r>
              <w:t xml:space="preserve">Motie Postma </w:t>
            </w:r>
            <w:r w:rsidRPr="009C4DF8">
              <w:t>over het Besluit gemeentelijke instrumenten warmtetransitie in voorhang brengen gelijktijdig met of na de indiening van het wetsvoorstel Wet collectieve warmte</w:t>
            </w:r>
          </w:p>
        </w:tc>
        <w:tc>
          <w:tcPr>
            <w:tcW w:w="6980" w:type="dxa"/>
          </w:tcPr>
          <w:p w:rsidR="00AD1517" w:rsidP="00664009" w14:paraId="230340F3" w14:textId="77777777">
            <w:r>
              <w:t>Het Besluit gemeentelijke instrumenten warmtetransitie is hierbij na de indiening van het Wetsvoorstel Collectieve Warmte voorgehangen.</w:t>
            </w:r>
          </w:p>
        </w:tc>
      </w:tr>
      <w:tr w:rsidTr="00AD1517" w14:paraId="5F2B7A12" w14:textId="77777777">
        <w:tblPrEx>
          <w:tblW w:w="14063" w:type="dxa"/>
          <w:tblLook w:val="04A0"/>
        </w:tblPrEx>
        <w:tc>
          <w:tcPr>
            <w:tcW w:w="1308" w:type="dxa"/>
          </w:tcPr>
          <w:p w:rsidR="00AD1517" w:rsidP="00664009" w14:paraId="6D7DBFDB" w14:textId="77777777">
            <w:r>
              <w:t>36387-29</w:t>
            </w:r>
          </w:p>
        </w:tc>
        <w:tc>
          <w:tcPr>
            <w:tcW w:w="5775" w:type="dxa"/>
          </w:tcPr>
          <w:p w:rsidR="00AD1517" w:rsidP="00664009" w14:paraId="0C362781" w14:textId="77777777">
            <w:r>
              <w:t xml:space="preserve">Motie Postma </w:t>
            </w:r>
            <w:r w:rsidRPr="009C4DF8">
              <w:t>over een loket waar overstappers naar een collectieve warmteoplossing terechtkunnen voor hulp bij (financiële) vragen en het halen van hun recht (</w:t>
            </w:r>
          </w:p>
        </w:tc>
        <w:tc>
          <w:tcPr>
            <w:tcW w:w="6980" w:type="dxa"/>
          </w:tcPr>
          <w:p w:rsidR="00AD1517" w:rsidP="00664009" w14:paraId="1496258E" w14:textId="77777777">
            <w:r>
              <w:t xml:space="preserve">Beschreven onder uitvoering: </w:t>
            </w:r>
            <w:r>
              <w:t>doenvermogen</w:t>
            </w:r>
            <w:r>
              <w:t xml:space="preserve"> (6.1) en de loketrol van het energiehuis</w:t>
            </w:r>
          </w:p>
        </w:tc>
      </w:tr>
      <w:tr w:rsidTr="00AD1517" w14:paraId="2CBF49C4" w14:textId="77777777">
        <w:tblPrEx>
          <w:tblW w:w="14063" w:type="dxa"/>
          <w:tblLook w:val="04A0"/>
        </w:tblPrEx>
        <w:tc>
          <w:tcPr>
            <w:tcW w:w="1308" w:type="dxa"/>
          </w:tcPr>
          <w:p w:rsidR="00AD1517" w:rsidP="00664009" w14:paraId="21F6FB4D" w14:textId="77777777">
            <w:r>
              <w:t>36387-32</w:t>
            </w:r>
          </w:p>
        </w:tc>
        <w:tc>
          <w:tcPr>
            <w:tcW w:w="5775" w:type="dxa"/>
          </w:tcPr>
          <w:p w:rsidR="00AD1517" w:rsidP="00664009" w14:paraId="1B138EFE" w14:textId="77777777">
            <w:r>
              <w:t xml:space="preserve">Motie Postma </w:t>
            </w:r>
            <w:r w:rsidRPr="009C4DF8">
              <w:t>over de participatie-uitgangspunten van het Programma Aardgasvrije Wijken gebruiken en inzetten voor draagvlak voor aansluiting op het warmtenet</w:t>
            </w:r>
          </w:p>
        </w:tc>
        <w:tc>
          <w:tcPr>
            <w:tcW w:w="6980" w:type="dxa"/>
          </w:tcPr>
          <w:p w:rsidR="00AD1517" w:rsidP="00664009" w14:paraId="58616DD4" w14:textId="77777777">
            <w:r>
              <w:t xml:space="preserve">Beschreven onder uitvoering: </w:t>
            </w:r>
            <w:r>
              <w:t>doenvermogen</w:t>
            </w:r>
            <w:r>
              <w:t xml:space="preserve"> (6.1) dat gemeenten worden opgeroepen om de lessen uit de proeftuinen te gebruiken voor hun lokale participatiebeleid in relatie tot de wijkaanpak</w:t>
            </w:r>
          </w:p>
        </w:tc>
      </w:tr>
      <w:tr w:rsidTr="00AD1517" w14:paraId="60B9F58A" w14:textId="77777777">
        <w:tblPrEx>
          <w:tblW w:w="14063" w:type="dxa"/>
          <w:tblLook w:val="04A0"/>
        </w:tblPrEx>
        <w:tc>
          <w:tcPr>
            <w:tcW w:w="1308" w:type="dxa"/>
          </w:tcPr>
          <w:p w:rsidR="00AD1517" w:rsidP="00664009" w14:paraId="417D9F52" w14:textId="77777777">
            <w:r>
              <w:t>36387-D</w:t>
            </w:r>
          </w:p>
        </w:tc>
        <w:tc>
          <w:tcPr>
            <w:tcW w:w="5775" w:type="dxa"/>
          </w:tcPr>
          <w:p w:rsidRPr="00B26D03" w:rsidR="00AD1517" w:rsidP="00664009" w14:paraId="0B55F2B2" w14:textId="77777777">
            <w:pPr>
              <w:rPr>
                <w:b/>
                <w:bCs/>
              </w:rPr>
            </w:pPr>
            <w:r>
              <w:t xml:space="preserve">Motie de Vries </w:t>
            </w:r>
            <w:r w:rsidRPr="00B26D03">
              <w:t>over het ondersteunen van gemeenten bij de warmtetransitie gericht op kwetsbare huishoudens</w:t>
            </w:r>
          </w:p>
          <w:p w:rsidR="00AD1517" w:rsidP="00664009" w14:paraId="7B4C4B56" w14:textId="77777777"/>
        </w:tc>
        <w:tc>
          <w:tcPr>
            <w:tcW w:w="6980" w:type="dxa"/>
          </w:tcPr>
          <w:p w:rsidR="00AD1517" w:rsidP="00664009" w14:paraId="38F316AE" w14:textId="77777777">
            <w:r>
              <w:t xml:space="preserve">Beschreven onder uitvoering: ondersteuning gemeenten (6.2) dat gemeenten hierbij worden ondersteund door het Nationaal Programma Lokale Warmtetransitie. </w:t>
            </w:r>
          </w:p>
        </w:tc>
      </w:tr>
      <w:tr w:rsidTr="00AD1517" w14:paraId="0E506BA7" w14:textId="77777777">
        <w:tblPrEx>
          <w:tblW w:w="14063" w:type="dxa"/>
          <w:tblLook w:val="04A0"/>
        </w:tblPrEx>
        <w:tc>
          <w:tcPr>
            <w:tcW w:w="1308" w:type="dxa"/>
          </w:tcPr>
          <w:p w:rsidR="00AD1517" w:rsidP="00664009" w14:paraId="3E9D3B4C" w14:textId="636B2372">
            <w:r>
              <w:t>Toezegging Eerste Kamer</w:t>
            </w:r>
          </w:p>
        </w:tc>
        <w:tc>
          <w:tcPr>
            <w:tcW w:w="5775" w:type="dxa"/>
          </w:tcPr>
          <w:p w:rsidR="00AD1517" w:rsidP="00664009" w14:paraId="30F8A495" w14:textId="184156A8">
            <w:r>
              <w:t>Toezegging naar aanleiding</w:t>
            </w:r>
            <w:r w:rsidRPr="00AD1517">
              <w:t xml:space="preserve"> van de leden Aerdts (D66) en Van Strien (PVV), toe om in het eerste kwartaal van het aankomende jaar met instructieregels te komen met betrekking tot amendement-Erkens. </w:t>
            </w:r>
          </w:p>
        </w:tc>
        <w:tc>
          <w:tcPr>
            <w:tcW w:w="6980" w:type="dxa"/>
          </w:tcPr>
          <w:p w:rsidR="00AD1517" w:rsidP="00664009" w14:paraId="4DCEB707" w14:textId="2751A192">
            <w:r>
              <w:t xml:space="preserve">De instructieregels betaalbaarheid voor eindgebruikers zijn uitgewerkt in paragraaf Betaalbaarheid voor huishoudens in de wijk (2.7.5). </w:t>
            </w:r>
          </w:p>
        </w:tc>
      </w:tr>
    </w:tbl>
    <w:p w:rsidR="00AD1517" w:rsidP="00AD1517" w14:paraId="590D914A" w14:textId="77777777"/>
    <w:p w:rsidR="00B06701" w14:paraId="0EACE4FE" w14:textId="77777777"/>
    <w:sectPr w:rsidSect="00AD1517">
      <w:pgSz w:w="16840" w:h="11907" w:orient="landscape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17"/>
    <w:rsid w:val="00120D96"/>
    <w:rsid w:val="001E6A24"/>
    <w:rsid w:val="005E1214"/>
    <w:rsid w:val="00664009"/>
    <w:rsid w:val="00775462"/>
    <w:rsid w:val="008F4756"/>
    <w:rsid w:val="009C4DF8"/>
    <w:rsid w:val="00AD1517"/>
    <w:rsid w:val="00B06701"/>
    <w:rsid w:val="00B26D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EDCE94"/>
  <w15:chartTrackingRefBased/>
  <w15:docId w15:val="{14F31782-6A92-44DB-B766-08BF8DE0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hAnsi="Verdana" w:eastAsiaTheme="minorHAnsi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517"/>
    <w:rPr>
      <w:lang w:val="nl-NL"/>
    </w:rPr>
  </w:style>
  <w:style w:type="paragraph" w:styleId="Heading1">
    <w:name w:val="heading 1"/>
    <w:basedOn w:val="Normal"/>
    <w:next w:val="Normal"/>
    <w:link w:val="Kop1Char"/>
    <w:uiPriority w:val="9"/>
    <w:qFormat/>
    <w:rsid w:val="00AD1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Kop2Char"/>
    <w:uiPriority w:val="9"/>
    <w:semiHidden/>
    <w:unhideWhenUsed/>
    <w:qFormat/>
    <w:rsid w:val="00AD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Kop3Char"/>
    <w:uiPriority w:val="9"/>
    <w:semiHidden/>
    <w:unhideWhenUsed/>
    <w:qFormat/>
    <w:rsid w:val="00AD15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Kop4Char"/>
    <w:uiPriority w:val="9"/>
    <w:semiHidden/>
    <w:unhideWhenUsed/>
    <w:qFormat/>
    <w:rsid w:val="00AD15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Kop5Char"/>
    <w:uiPriority w:val="9"/>
    <w:semiHidden/>
    <w:unhideWhenUsed/>
    <w:qFormat/>
    <w:rsid w:val="00AD15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Kop6Char"/>
    <w:uiPriority w:val="9"/>
    <w:semiHidden/>
    <w:unhideWhenUsed/>
    <w:qFormat/>
    <w:rsid w:val="00AD15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Kop7Char"/>
    <w:uiPriority w:val="9"/>
    <w:semiHidden/>
    <w:unhideWhenUsed/>
    <w:qFormat/>
    <w:rsid w:val="00AD15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Kop8Char"/>
    <w:uiPriority w:val="9"/>
    <w:semiHidden/>
    <w:unhideWhenUsed/>
    <w:qFormat/>
    <w:rsid w:val="00AD15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Kop9Char"/>
    <w:uiPriority w:val="9"/>
    <w:semiHidden/>
    <w:unhideWhenUsed/>
    <w:qFormat/>
    <w:rsid w:val="00AD15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op1Char">
    <w:name w:val="Kop 1 Char"/>
    <w:basedOn w:val="DefaultParagraphFont"/>
    <w:link w:val="Heading1"/>
    <w:uiPriority w:val="9"/>
    <w:rsid w:val="00AD1517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nl-NL"/>
    </w:rPr>
  </w:style>
  <w:style w:type="character" w:customStyle="1" w:styleId="Kop2Char">
    <w:name w:val="Kop 2 Char"/>
    <w:basedOn w:val="DefaultParagraphFont"/>
    <w:link w:val="Heading2"/>
    <w:uiPriority w:val="9"/>
    <w:semiHidden/>
    <w:rsid w:val="00AD15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Kop3Char">
    <w:name w:val="Kop 3 Char"/>
    <w:basedOn w:val="DefaultParagraphFont"/>
    <w:link w:val="Heading3"/>
    <w:uiPriority w:val="9"/>
    <w:semiHidden/>
    <w:rsid w:val="00AD1517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nl-NL"/>
    </w:rPr>
  </w:style>
  <w:style w:type="character" w:customStyle="1" w:styleId="Kop4Char">
    <w:name w:val="Kop 4 Char"/>
    <w:basedOn w:val="DefaultParagraphFont"/>
    <w:link w:val="Heading4"/>
    <w:uiPriority w:val="9"/>
    <w:semiHidden/>
    <w:rsid w:val="00AD1517"/>
    <w:rPr>
      <w:rFonts w:asciiTheme="minorHAnsi" w:eastAsiaTheme="majorEastAsia" w:hAnsiTheme="minorHAnsi" w:cstheme="majorBidi"/>
      <w:i/>
      <w:iCs/>
      <w:color w:val="2E74B5" w:themeColor="accent1" w:themeShade="BF"/>
      <w:lang w:val="nl-NL"/>
    </w:rPr>
  </w:style>
  <w:style w:type="character" w:customStyle="1" w:styleId="Kop5Char">
    <w:name w:val="Kop 5 Char"/>
    <w:basedOn w:val="DefaultParagraphFont"/>
    <w:link w:val="Heading5"/>
    <w:uiPriority w:val="9"/>
    <w:semiHidden/>
    <w:rsid w:val="00AD1517"/>
    <w:rPr>
      <w:rFonts w:asciiTheme="minorHAnsi" w:eastAsiaTheme="majorEastAsia" w:hAnsiTheme="minorHAnsi" w:cstheme="majorBidi"/>
      <w:color w:val="2E74B5" w:themeColor="accent1" w:themeShade="BF"/>
      <w:lang w:val="nl-NL"/>
    </w:rPr>
  </w:style>
  <w:style w:type="character" w:customStyle="1" w:styleId="Kop6Char">
    <w:name w:val="Kop 6 Char"/>
    <w:basedOn w:val="DefaultParagraphFont"/>
    <w:link w:val="Heading6"/>
    <w:uiPriority w:val="9"/>
    <w:semiHidden/>
    <w:rsid w:val="00AD1517"/>
    <w:rPr>
      <w:rFonts w:asciiTheme="minorHAnsi" w:eastAsiaTheme="majorEastAsia" w:hAnsiTheme="minorHAnsi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DefaultParagraphFont"/>
    <w:link w:val="Heading7"/>
    <w:uiPriority w:val="9"/>
    <w:semiHidden/>
    <w:rsid w:val="00AD1517"/>
    <w:rPr>
      <w:rFonts w:asciiTheme="minorHAnsi" w:eastAsiaTheme="majorEastAsia" w:hAnsiTheme="minorHAnsi" w:cstheme="majorBidi"/>
      <w:color w:val="595959" w:themeColor="text1" w:themeTint="A6"/>
      <w:lang w:val="nl-NL"/>
    </w:rPr>
  </w:style>
  <w:style w:type="character" w:customStyle="1" w:styleId="Kop8Char">
    <w:name w:val="Kop 8 Char"/>
    <w:basedOn w:val="DefaultParagraphFont"/>
    <w:link w:val="Heading8"/>
    <w:uiPriority w:val="9"/>
    <w:semiHidden/>
    <w:rsid w:val="00AD1517"/>
    <w:rPr>
      <w:rFonts w:asciiTheme="minorHAnsi" w:eastAsiaTheme="majorEastAsia" w:hAnsiTheme="minorHAnsi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DefaultParagraphFont"/>
    <w:link w:val="Heading9"/>
    <w:uiPriority w:val="9"/>
    <w:semiHidden/>
    <w:rsid w:val="00AD1517"/>
    <w:rPr>
      <w:rFonts w:asciiTheme="minorHAnsi" w:eastAsiaTheme="majorEastAsia" w:hAnsiTheme="minorHAnsi" w:cstheme="majorBidi"/>
      <w:color w:val="272727" w:themeColor="text1" w:themeTint="D8"/>
      <w:lang w:val="nl-NL"/>
    </w:rPr>
  </w:style>
  <w:style w:type="paragraph" w:styleId="Title">
    <w:name w:val="Title"/>
    <w:basedOn w:val="Normal"/>
    <w:next w:val="Normal"/>
    <w:link w:val="TitelChar"/>
    <w:uiPriority w:val="10"/>
    <w:qFormat/>
    <w:rsid w:val="00AD1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DefaultParagraphFont"/>
    <w:link w:val="Title"/>
    <w:uiPriority w:val="10"/>
    <w:rsid w:val="00AD1517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Subtitle">
    <w:name w:val="Subtitle"/>
    <w:basedOn w:val="Normal"/>
    <w:next w:val="Normal"/>
    <w:link w:val="OndertitelChar"/>
    <w:uiPriority w:val="11"/>
    <w:qFormat/>
    <w:rsid w:val="00AD15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DefaultParagraphFont"/>
    <w:link w:val="Subtitle"/>
    <w:uiPriority w:val="11"/>
    <w:rsid w:val="00AD15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nl-NL"/>
    </w:rPr>
  </w:style>
  <w:style w:type="paragraph" w:styleId="Quote">
    <w:name w:val="Quote"/>
    <w:basedOn w:val="Normal"/>
    <w:next w:val="Normal"/>
    <w:link w:val="CitaatChar"/>
    <w:uiPriority w:val="29"/>
    <w:qFormat/>
    <w:rsid w:val="00AD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DefaultParagraphFont"/>
    <w:link w:val="Quote"/>
    <w:uiPriority w:val="29"/>
    <w:rsid w:val="00AD1517"/>
    <w:rPr>
      <w:i/>
      <w:iCs/>
      <w:color w:val="404040" w:themeColor="text1" w:themeTint="BF"/>
      <w:lang w:val="nl-NL"/>
    </w:rPr>
  </w:style>
  <w:style w:type="paragraph" w:styleId="ListParagraph">
    <w:name w:val="List Paragraph"/>
    <w:basedOn w:val="Normal"/>
    <w:uiPriority w:val="34"/>
    <w:qFormat/>
    <w:rsid w:val="00AD1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51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DuidelijkcitaatChar"/>
    <w:uiPriority w:val="30"/>
    <w:qFormat/>
    <w:rsid w:val="00AD15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DefaultParagraphFont"/>
    <w:link w:val="IntenseQuote"/>
    <w:uiPriority w:val="30"/>
    <w:rsid w:val="00AD1517"/>
    <w:rPr>
      <w:i/>
      <w:iCs/>
      <w:color w:val="2E74B5" w:themeColor="accent1" w:themeShade="BF"/>
      <w:lang w:val="nl-NL"/>
    </w:rPr>
  </w:style>
  <w:style w:type="character" w:styleId="IntenseReference">
    <w:name w:val="Intense Reference"/>
    <w:basedOn w:val="DefaultParagraphFont"/>
    <w:uiPriority w:val="32"/>
    <w:qFormat/>
    <w:rsid w:val="00AD1517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D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1517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AD15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AD1517"/>
    <w:rPr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theme" Target="theme/theme1.xml" Id="rId7" /><Relationship Type="http://schemas.openxmlformats.org/officeDocument/2006/relationships/styles" Target="styles.xml" Id="rI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450</ap:Words>
  <ap:Characters>2481</ap:Characters>
  <ap:DocSecurity>0</ap:DocSecurity>
  <ap:Lines>20</ap:Lines>
  <ap:Paragraphs>5</ap:Paragraphs>
  <ap:ScaleCrop>false</ap:ScaleCrop>
  <ap:LinksUpToDate>false</ap:LinksUpToDate>
  <ap:CharactersWithSpaces>2926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revision/>
  <dcterms:created xsi:type="dcterms:W3CDTF">2025-07-01T08:51:00.0000000Z</dcterms:created>
  <dcterms:modified xsi:type="dcterms:W3CDTF">2025-07-01T08:51:00.0000000Z</dcterms:modified>
  <dc:creator/>
  <lastModifiedBy/>
  <dc:description>------------------------</dc:description>
  <dc:subject/>
  <dc:title/>
  <keywords/>
  <version/>
  <category/>
</coreProperties>
</file>