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033765" w:rsidR="00F85A35" w14:paraId="4469E9F2" w14:textId="77777777">
      <w:sdt>
        <w:sdtPr>
          <w:id w:val="-213587210"/>
          <w:showingPlcHdr/>
          <w:dataBinding w:prefixMappings="xmlns:ns0='docgen-assistant'" w:xpath="/ns0:CustomXml[1]/ns0:Variables[1]/ns0:Variable[1]/ns0:Value[1]" w:storeItemID="{69D6EEC8-C9E1-4904-8281-341938F2DEB0}"/>
          <w:text/>
        </w:sdtPr>
        <w:sdtContent>
          <w:r w:rsidRPr="00033765" w:rsidR="005E3827">
            <w:t xml:space="preserve">     </w:t>
          </w:r>
        </w:sdtContent>
      </w:sdt>
    </w:p>
    <w:p w:rsidRPr="00033765" w:rsidR="00402A1F" w:rsidP="00402A1F" w14:paraId="2E40BD6F" w14:textId="77777777">
      <w:pPr>
        <w:pStyle w:val="WitregelW1bodytekst"/>
      </w:pPr>
      <w:r w:rsidRPr="00033765">
        <w:t xml:space="preserve">De afgelopen tijd </w:t>
      </w:r>
      <w:r w:rsidRPr="00033765" w:rsidR="003E5F06">
        <w:t xml:space="preserve">zijn in </w:t>
      </w:r>
      <w:r w:rsidRPr="00033765">
        <w:t>verschillende landen maatregelen genomen tegen sociale media platformen</w:t>
      </w:r>
      <w:r w:rsidR="001E3785">
        <w:t>,</w:t>
      </w:r>
      <w:r w:rsidRPr="00033765">
        <w:t xml:space="preserve"> omdat deze </w:t>
      </w:r>
      <w:r w:rsidRPr="00033765">
        <w:t>er van</w:t>
      </w:r>
      <w:r w:rsidRPr="00033765">
        <w:t xml:space="preserve"> verdacht worden de wet te hebben overtreden. Op 3 september jl. </w:t>
      </w:r>
      <w:r w:rsidRPr="00033765" w:rsidR="00CE7CAF">
        <w:t>verzocht</w:t>
      </w:r>
      <w:r w:rsidRPr="00033765">
        <w:t xml:space="preserve"> het lid </w:t>
      </w:r>
      <w:r w:rsidRPr="00033765" w:rsidR="005E3827">
        <w:t>V</w:t>
      </w:r>
      <w:r w:rsidRPr="00033765">
        <w:t>an Houwelingen om een brief over wat het lid van Houwelingen</w:t>
      </w:r>
      <w:r w:rsidRPr="00033765" w:rsidR="000915A3">
        <w:t xml:space="preserve"> (FVD)</w:t>
      </w:r>
      <w:r w:rsidRPr="00033765">
        <w:t xml:space="preserve"> “censuur wereldwijd op sociale media” noemt.</w:t>
      </w:r>
      <w:r w:rsidRPr="00033765" w:rsidR="002A3C6D">
        <w:t xml:space="preserve"> In deze brief ga ik</w:t>
      </w:r>
      <w:r w:rsidRPr="00033765" w:rsidR="00860931">
        <w:t xml:space="preserve">, mede namens de </w:t>
      </w:r>
      <w:r w:rsidRPr="00033765" w:rsidR="00823FB0">
        <w:t>m</w:t>
      </w:r>
      <w:r w:rsidRPr="00033765" w:rsidR="00860931">
        <w:t>inister voor Binnenlandse Zaken</w:t>
      </w:r>
      <w:r w:rsidR="001E3785">
        <w:t xml:space="preserve"> en Koninkrijksrelaties</w:t>
      </w:r>
      <w:r w:rsidRPr="00033765" w:rsidR="00860931">
        <w:t>,</w:t>
      </w:r>
      <w:r w:rsidRPr="00033765" w:rsidR="002A3C6D">
        <w:t xml:space="preserve"> in op dit verzoek.</w:t>
      </w:r>
      <w:r w:rsidRPr="00033765">
        <w:t xml:space="preserve"> </w:t>
      </w:r>
    </w:p>
    <w:p w:rsidRPr="00033765" w:rsidR="00402A1F" w:rsidP="00402A1F" w14:paraId="04B020F9" w14:textId="77777777">
      <w:pPr>
        <w:pStyle w:val="WitregelW1bodytekst"/>
      </w:pPr>
    </w:p>
    <w:p w:rsidRPr="00033765" w:rsidR="002A3C6D" w:rsidP="00402A1F" w14:paraId="73ED952B" w14:textId="77777777">
      <w:pPr>
        <w:pStyle w:val="WitregelW1bodytekst"/>
      </w:pPr>
      <w:r w:rsidRPr="00033765">
        <w:t xml:space="preserve">Het lid </w:t>
      </w:r>
      <w:r w:rsidRPr="00033765" w:rsidR="005E3827">
        <w:t>V</w:t>
      </w:r>
      <w:r w:rsidRPr="00033765">
        <w:t xml:space="preserve">an Houwelingen vraagt om in te gaan op drie gebeurtenissen: het </w:t>
      </w:r>
      <w:r w:rsidRPr="00033765" w:rsidR="00F11B83">
        <w:t xml:space="preserve">tijdelijke </w:t>
      </w:r>
      <w:r w:rsidRPr="00033765" w:rsidR="007D6629">
        <w:t>verbod op X</w:t>
      </w:r>
      <w:r w:rsidRPr="00033765">
        <w:t xml:space="preserve"> in Brazilië,</w:t>
      </w:r>
      <w:r w:rsidRPr="00033765">
        <w:t xml:space="preserve"> </w:t>
      </w:r>
      <w:r w:rsidRPr="00033765" w:rsidR="00262BBC">
        <w:t>de brief van</w:t>
      </w:r>
      <w:r w:rsidRPr="00033765">
        <w:t xml:space="preserve"> Mark </w:t>
      </w:r>
      <w:r w:rsidRPr="00033765">
        <w:t>Zuckerberg</w:t>
      </w:r>
      <w:r w:rsidRPr="00033765">
        <w:t xml:space="preserve"> </w:t>
      </w:r>
      <w:r w:rsidRPr="00033765" w:rsidR="00262BBC">
        <w:t>aan</w:t>
      </w:r>
      <w:r w:rsidRPr="00033765">
        <w:t xml:space="preserve"> het</w:t>
      </w:r>
      <w:r w:rsidRPr="00033765" w:rsidR="007D6629">
        <w:t xml:space="preserve"> Amerikaanse</w:t>
      </w:r>
      <w:r w:rsidRPr="00033765">
        <w:t xml:space="preserve"> Congres en de arrestatie van de topman van Telegram in Parijs.</w:t>
      </w:r>
      <w:r w:rsidRPr="00033765">
        <w:t xml:space="preserve"> Het lid van Roon </w:t>
      </w:r>
      <w:r w:rsidRPr="00033765" w:rsidR="000915A3">
        <w:t xml:space="preserve">(PVV) </w:t>
      </w:r>
      <w:r w:rsidRPr="00033765">
        <w:t xml:space="preserve">vraagt </w:t>
      </w:r>
      <w:r w:rsidRPr="00033765" w:rsidR="007D6629">
        <w:t>“</w:t>
      </w:r>
      <w:r w:rsidRPr="00033765">
        <w:t>om alle juridische ins en outs en ook hoe daar in Frankrijk naar wordt gekeken</w:t>
      </w:r>
      <w:r w:rsidRPr="00033765" w:rsidR="007D6629">
        <w:t>”</w:t>
      </w:r>
      <w:r w:rsidRPr="00033765">
        <w:t>.</w:t>
      </w:r>
    </w:p>
    <w:p w:rsidRPr="00033765" w:rsidR="00F85A35" w14:paraId="7C8092F8" w14:textId="77777777"/>
    <w:p w:rsidRPr="00033765" w:rsidR="003E5F06" w14:paraId="6B933A23" w14:textId="77777777">
      <w:pPr>
        <w:rPr>
          <w:i/>
          <w:iCs/>
        </w:rPr>
      </w:pPr>
      <w:r w:rsidRPr="00033765">
        <w:rPr>
          <w:i/>
          <w:iCs/>
        </w:rPr>
        <w:t>Vrijheid van meningsuiting en strafbare content</w:t>
      </w:r>
    </w:p>
    <w:p w:rsidRPr="00033765" w:rsidR="002A3C6D" w14:paraId="0A2A4F46" w14:textId="77777777">
      <w:r w:rsidRPr="00033765">
        <w:t xml:space="preserve">Ten aanzien van </w:t>
      </w:r>
      <w:r w:rsidRPr="00033765" w:rsidR="009F425B">
        <w:t>publicaties</w:t>
      </w:r>
      <w:r w:rsidRPr="00033765">
        <w:t xml:space="preserve"> op het internet geldt in Nederland</w:t>
      </w:r>
      <w:r w:rsidRPr="00033765" w:rsidR="009F425B">
        <w:t>,</w:t>
      </w:r>
      <w:r w:rsidRPr="00033765" w:rsidR="00CC40BE">
        <w:t xml:space="preserve"> net als in andere democratische rechtsstaten zoals de VS, Frankrijk </w:t>
      </w:r>
      <w:r w:rsidRPr="00033765" w:rsidR="006B5E32">
        <w:t>en</w:t>
      </w:r>
      <w:r w:rsidRPr="00033765" w:rsidR="00CC40BE">
        <w:t xml:space="preserve"> Brazilië,</w:t>
      </w:r>
      <w:r w:rsidRPr="00033765">
        <w:t xml:space="preserve"> als uitgangspunt de vrijheid van meningsuiting</w:t>
      </w:r>
      <w:r w:rsidRPr="00033765" w:rsidR="006B5E32">
        <w:t>.</w:t>
      </w:r>
      <w:r w:rsidRPr="00033765">
        <w:t xml:space="preserve"> </w:t>
      </w:r>
      <w:r w:rsidRPr="00033765" w:rsidR="006B5E32">
        <w:t>Dit grondrecht wordt</w:t>
      </w:r>
      <w:r w:rsidRPr="00033765" w:rsidR="00CC40BE">
        <w:t xml:space="preserve"> hier</w:t>
      </w:r>
      <w:r w:rsidRPr="00033765">
        <w:t xml:space="preserve"> o</w:t>
      </w:r>
      <w:r w:rsidRPr="00033765" w:rsidR="00C023AD">
        <w:t xml:space="preserve">nder meer </w:t>
      </w:r>
      <w:r w:rsidRPr="00033765">
        <w:t xml:space="preserve">gewaarborgd in artikel 7 van de Grondwet en in artikel 10 van het Europees Verdrag tot bescherming van de Rechten van de Mens en de fundamentele vrijheden (EVRM). De vrijheid van meningsuiting </w:t>
      </w:r>
      <w:r w:rsidRPr="00033765" w:rsidR="009F425B">
        <w:t xml:space="preserve">geldt als een belangrijk grondrecht in onze democratie en </w:t>
      </w:r>
      <w:r w:rsidRPr="00033765">
        <w:t xml:space="preserve">kan slechts worden beperkt </w:t>
      </w:r>
      <w:r w:rsidRPr="00033765" w:rsidR="009F425B">
        <w:t>als andere belangen, zoals de veiligheid, zwaarder wegen en die beperking kan alleen bij wet en als het proportioneel is</w:t>
      </w:r>
      <w:r w:rsidRPr="00033765">
        <w:t xml:space="preserve">. Daarbij wordt geen onderscheid gemaakt tussen uitingen in de fysieke wereld en online content: dat wat strafbaar en onrechtmatig is in de fysieke wereld is dat ook online. </w:t>
      </w:r>
    </w:p>
    <w:p w:rsidRPr="00033765" w:rsidR="00D71D73" w14:paraId="142FDBF7" w14:textId="77777777"/>
    <w:p w:rsidRPr="00033765" w:rsidR="00D71D73" w:rsidP="00D71D73" w14:paraId="0B165AAA" w14:textId="77777777">
      <w:pPr>
        <w:pStyle w:val="broodtekst"/>
      </w:pPr>
      <w:r w:rsidRPr="00033765">
        <w:t>In geval van een verdenking van een strafbaar feit als bedoeld in artikel 67, eerste lid Sv</w:t>
      </w:r>
      <w:r w:rsidRPr="00033765" w:rsidR="00C023AD">
        <w:t>,</w:t>
      </w:r>
      <w:r w:rsidRPr="00033765">
        <w:t xml:space="preserve"> kan </w:t>
      </w:r>
      <w:r w:rsidRPr="00033765">
        <w:rPr>
          <w:rFonts w:cs="DJMJD F+ Univers"/>
          <w:color w:val="211D1F"/>
          <w:lang w:eastAsia="en-US"/>
        </w:rPr>
        <w:t>de officier van justitie met een machtiging van de rechter-commissaris, een platform bevelen om gegevens ontoegankelijk te maken als dit noodzakelijk is voor de be</w:t>
      </w:r>
      <w:r w:rsidRPr="00033765">
        <w:rPr>
          <w:color w:val="211D1F"/>
        </w:rPr>
        <w:t>ë</w:t>
      </w:r>
      <w:r w:rsidRPr="00033765">
        <w:rPr>
          <w:rFonts w:cs="DJMJD F+ Univers"/>
          <w:color w:val="211D1F"/>
          <w:lang w:eastAsia="en-US"/>
        </w:rPr>
        <w:t>indiging van een strafbaar feit of ter voorkoming van nieuwe strafbare feiten (artikel 125p Sv)</w:t>
      </w:r>
      <w:r w:rsidRPr="00033765">
        <w:t>.</w:t>
      </w:r>
      <w:r w:rsidRPr="00033765" w:rsidR="006B699A">
        <w:t xml:space="preserve"> Voorbeelden van dergelijke strafbare content zijn beeldmateriaal van seksueel kindermisbruik, terroristische inhoud en </w:t>
      </w:r>
      <w:r w:rsidRPr="00033765" w:rsidR="006B699A">
        <w:t>hate</w:t>
      </w:r>
      <w:r w:rsidRPr="00033765" w:rsidR="006B699A">
        <w:t xml:space="preserve"> speech. </w:t>
      </w:r>
      <w:r w:rsidRPr="00033765">
        <w:t xml:space="preserve">Gelet op de belangen die bij een bevel tot </w:t>
      </w:r>
      <w:r w:rsidRPr="00033765" w:rsidR="00C023AD">
        <w:t xml:space="preserve">het </w:t>
      </w:r>
      <w:r w:rsidRPr="00033765">
        <w:t>ontoegankelijk</w:t>
      </w:r>
      <w:r w:rsidRPr="00033765" w:rsidR="00C023AD">
        <w:t xml:space="preserve"> maken</w:t>
      </w:r>
      <w:r w:rsidRPr="00033765">
        <w:t xml:space="preserve"> in het geding zijn </w:t>
      </w:r>
      <w:r w:rsidRPr="00033765" w:rsidR="00B309F4">
        <w:t xml:space="preserve">is </w:t>
      </w:r>
      <w:r w:rsidRPr="00033765">
        <w:t xml:space="preserve">een voorafgaande rechterlijke machtiging </w:t>
      </w:r>
      <w:r w:rsidRPr="00033765" w:rsidR="00B309F4">
        <w:t>vereist</w:t>
      </w:r>
      <w:r w:rsidRPr="00033765">
        <w:t xml:space="preserve">. Een rechter-commissaris </w:t>
      </w:r>
      <w:r w:rsidRPr="00033765" w:rsidR="006B699A">
        <w:t xml:space="preserve">is </w:t>
      </w:r>
      <w:r w:rsidRPr="00033765" w:rsidR="00262BBC">
        <w:t xml:space="preserve">nodig </w:t>
      </w:r>
      <w:r w:rsidRPr="00033765">
        <w:t xml:space="preserve">om een onpartijdige en zorgvuldige afweging tussen de verschillende belangen te maken. Hierbij kan het gaan om gevallen waarin verschil van inzicht bestaat over de strafbaarheid van de </w:t>
      </w:r>
      <w:r w:rsidRPr="00033765" w:rsidR="006B699A">
        <w:t>content</w:t>
      </w:r>
      <w:r w:rsidRPr="00033765">
        <w:t>. Daarbij kan de vrijheid van meningsuiting in het geding zijn.</w:t>
      </w:r>
      <w:r w:rsidRPr="00033765" w:rsidR="006B699A">
        <w:t xml:space="preserve"> Daarom zal de rechter-commissaris de aanbieder </w:t>
      </w:r>
      <w:r w:rsidRPr="00033765" w:rsidR="006B699A">
        <w:t>van de content ook in de gelegenheid stellen om te worden gehoord voordat een machtiging op basis van 125p Sv wordt afgegeven.</w:t>
      </w:r>
      <w:r w:rsidRPr="00033765">
        <w:t xml:space="preserve"> Met het vereiste van een rechterlijke machtiging is een zorgvuldige afweging van de belangen gewaarborgd.  </w:t>
      </w:r>
    </w:p>
    <w:p w:rsidRPr="00033765" w:rsidR="00F85A35" w14:paraId="73A0ED9E" w14:textId="77777777"/>
    <w:p w:rsidRPr="00033765" w:rsidR="002A3C6D" w14:paraId="7FC8B9A2" w14:textId="77777777">
      <w:r w:rsidRPr="00033765">
        <w:t xml:space="preserve">Censuur is het vooraf verbieden van het publiceren van informatie of meningen. In </w:t>
      </w:r>
      <w:r w:rsidRPr="00033765" w:rsidR="006312ED">
        <w:t>de drie aangehaalde voorbeelden</w:t>
      </w:r>
      <w:r w:rsidRPr="00033765">
        <w:t xml:space="preserve"> zijn uitingen niet van tevoren verboden. Wel </w:t>
      </w:r>
      <w:r w:rsidRPr="00033765" w:rsidR="009F425B">
        <w:t>wordt in</w:t>
      </w:r>
      <w:r w:rsidRPr="00033765" w:rsidR="007B71BC">
        <w:t xml:space="preserve"> een tweetal</w:t>
      </w:r>
      <w:r w:rsidRPr="00033765">
        <w:t xml:space="preserve"> gevallen </w:t>
      </w:r>
      <w:r w:rsidRPr="00033765" w:rsidR="009F425B">
        <w:t xml:space="preserve">gehandhaafd op inhoud die bij wet verboden is. </w:t>
      </w:r>
    </w:p>
    <w:p w:rsidRPr="00033765" w:rsidR="00CC40BE" w14:paraId="52868A24" w14:textId="77777777"/>
    <w:p w:rsidRPr="00033765" w:rsidR="007D6629" w14:paraId="0E6E5E86" w14:textId="77777777">
      <w:r w:rsidRPr="00033765">
        <w:t xml:space="preserve">Telegram CEO Pavel </w:t>
      </w:r>
      <w:r w:rsidRPr="00033765">
        <w:t>Durov</w:t>
      </w:r>
      <w:r w:rsidRPr="00033765" w:rsidR="00CC40BE">
        <w:t xml:space="preserve"> wordt</w:t>
      </w:r>
      <w:r w:rsidRPr="00033765" w:rsidR="00A01926">
        <w:t>, door de Franse justitie,</w:t>
      </w:r>
      <w:r w:rsidRPr="00033765" w:rsidR="00CC40BE">
        <w:t xml:space="preserve"> verdacht van medeplichtigheid aan fraude, witwassen en</w:t>
      </w:r>
      <w:r w:rsidRPr="00033765" w:rsidR="00346938">
        <w:t xml:space="preserve"> de verspreiding van</w:t>
      </w:r>
      <w:r w:rsidRPr="00033765" w:rsidR="00CC40BE">
        <w:t xml:space="preserve"> kinderporno</w:t>
      </w:r>
      <w:r>
        <w:rPr>
          <w:rStyle w:val="FootnoteReference"/>
        </w:rPr>
        <w:footnoteReference w:id="3"/>
      </w:r>
      <w:r w:rsidRPr="00033765" w:rsidR="00CC40BE">
        <w:t xml:space="preserve">. </w:t>
      </w:r>
      <w:r w:rsidRPr="00033765">
        <w:t>Telegram is een instant messaging-applicatie die in 2013 is gemaakt en die in meerdere zaken voorkomt met betrekking tot verschillende misdrijven (</w:t>
      </w:r>
      <w:r w:rsidRPr="00033765" w:rsidR="003E46BA">
        <w:t>seksueel kindermisbruik</w:t>
      </w:r>
      <w:r>
        <w:rPr>
          <w:rStyle w:val="FootnoteReference"/>
        </w:rPr>
        <w:footnoteReference w:id="4"/>
      </w:r>
      <w:r w:rsidRPr="00033765">
        <w:t xml:space="preserve">, mensenhandel, </w:t>
      </w:r>
      <w:r w:rsidRPr="00033765">
        <w:t>drugshandel, georganiseerde misdaad</w:t>
      </w:r>
      <w:r w:rsidRPr="00033765">
        <w:t>)</w:t>
      </w:r>
      <w:r w:rsidRPr="00033765" w:rsidR="006201FA">
        <w:t>.</w:t>
      </w:r>
      <w:r>
        <w:rPr>
          <w:rStyle w:val="FootnoteReference"/>
        </w:rPr>
        <w:footnoteReference w:id="5"/>
      </w:r>
      <w:r w:rsidRPr="00033765">
        <w:t xml:space="preserve"> </w:t>
      </w:r>
      <w:r w:rsidRPr="00033765" w:rsidR="009F425B">
        <w:t xml:space="preserve">De wet regelt dat internetdiensten </w:t>
      </w:r>
      <w:r w:rsidRPr="00033765" w:rsidR="007142DF">
        <w:t>strafbare inhoud zoals kinderporno weg moeten halen op verzoek van de politie</w:t>
      </w:r>
      <w:r>
        <w:rPr>
          <w:rStyle w:val="FootnoteReference"/>
        </w:rPr>
        <w:footnoteReference w:id="6"/>
      </w:r>
      <w:r w:rsidRPr="00033765" w:rsidR="007142DF">
        <w:t xml:space="preserve">. </w:t>
      </w:r>
      <w:r w:rsidRPr="00033765" w:rsidR="009F425B">
        <w:t>D</w:t>
      </w:r>
      <w:r w:rsidRPr="00033765">
        <w:t>e Franse justitie</w:t>
      </w:r>
      <w:r w:rsidRPr="00033765" w:rsidR="009F425B">
        <w:t>, Franse opsporingsdiensten en openbare klagers en diverse justitiepartners hebben vaker juridische verzoeken bij Telegram ingediend nadat Telegram gebruikers in opsporingsonderzoek tevoorschijn kwamen. Omdat geen van hen reactie kreeg, heeft de Franse justitie</w:t>
      </w:r>
      <w:r w:rsidRPr="00033765">
        <w:t xml:space="preserve"> een onderzoek geopend naar de mogelijke strafrechtelijke aansprakelijkheid van de beheerders van </w:t>
      </w:r>
      <w:r w:rsidRPr="00033765">
        <w:t>Telegram</w:t>
      </w:r>
      <w:r w:rsidRPr="00033765">
        <w:t xml:space="preserve"> bij het plegen van deze misdrijven. </w:t>
      </w:r>
    </w:p>
    <w:p w:rsidRPr="00033765" w:rsidR="002A3C6D" w14:paraId="3B2CED2F" w14:textId="77777777"/>
    <w:p w:rsidRPr="00033765" w:rsidR="002A3C6D" w14:paraId="4593E7E2" w14:textId="77777777">
      <w:r w:rsidRPr="00033765">
        <w:t xml:space="preserve">Ook </w:t>
      </w:r>
      <w:r w:rsidRPr="00033765" w:rsidR="007142DF">
        <w:t xml:space="preserve">in Nederland </w:t>
      </w:r>
      <w:r w:rsidRPr="00033765">
        <w:t>moeten platform</w:t>
      </w:r>
      <w:r w:rsidRPr="00033765" w:rsidR="00600865">
        <w:t>en</w:t>
      </w:r>
      <w:r w:rsidRPr="00033765">
        <w:t xml:space="preserve"> </w:t>
      </w:r>
      <w:r w:rsidRPr="00033765" w:rsidR="007142DF">
        <w:t xml:space="preserve">terroristische inhoud of </w:t>
      </w:r>
      <w:r w:rsidRPr="00033765" w:rsidR="007142DF">
        <w:t>kinderpornografisch</w:t>
      </w:r>
      <w:r w:rsidRPr="00033765" w:rsidR="007142DF">
        <w:t xml:space="preserve"> materiaal </w:t>
      </w:r>
      <w:r w:rsidRPr="00033765">
        <w:t xml:space="preserve">op verzoek </w:t>
      </w:r>
      <w:r w:rsidRPr="00033765" w:rsidR="00610708">
        <w:t>en/of verwijderbevel</w:t>
      </w:r>
      <w:r w:rsidRPr="00033765">
        <w:t xml:space="preserve"> van</w:t>
      </w:r>
      <w:r w:rsidRPr="00033765" w:rsidR="007142DF">
        <w:t xml:space="preserve"> de</w:t>
      </w:r>
      <w:r w:rsidRPr="00033765">
        <w:t xml:space="preserve"> politie, justitie of de Autoriteit </w:t>
      </w:r>
      <w:r w:rsidRPr="00033765" w:rsidR="00610708">
        <w:t xml:space="preserve">online </w:t>
      </w:r>
      <w:r w:rsidRPr="00033765">
        <w:t xml:space="preserve">Terroristisch en </w:t>
      </w:r>
      <w:r w:rsidRPr="00033765">
        <w:t>Kinderpornografisch</w:t>
      </w:r>
      <w:r w:rsidRPr="00033765">
        <w:t xml:space="preserve"> Materiaal</w:t>
      </w:r>
      <w:r w:rsidRPr="00033765" w:rsidR="00262BBC">
        <w:t xml:space="preserve"> </w:t>
      </w:r>
      <w:r w:rsidRPr="00033765" w:rsidR="00801432">
        <w:t xml:space="preserve">(ATKM) </w:t>
      </w:r>
      <w:r w:rsidRPr="00033765" w:rsidR="00262BBC">
        <w:t>verwijderen</w:t>
      </w:r>
      <w:r w:rsidRPr="00033765">
        <w:t xml:space="preserve">. </w:t>
      </w:r>
      <w:r w:rsidRPr="00033765">
        <w:t xml:space="preserve">Voor de aanpak van online </w:t>
      </w:r>
      <w:r w:rsidRPr="00033765" w:rsidR="00610708">
        <w:t xml:space="preserve">beeldmateriaal van seksueel kindermisbruik </w:t>
      </w:r>
      <w:r w:rsidRPr="00033765" w:rsidR="00CC40BE">
        <w:t>en terroristische content</w:t>
      </w:r>
      <w:r w:rsidRPr="00033765">
        <w:t xml:space="preserve"> verwij</w:t>
      </w:r>
      <w:r w:rsidR="005A3F32">
        <w:t>s ik</w:t>
      </w:r>
      <w:r w:rsidRPr="00033765">
        <w:t xml:space="preserve"> u naar de meest recente beleidsbrief over dit onderwerp van de minister van Justitie en Veiligheid</w:t>
      </w:r>
      <w:r w:rsidRPr="00033765" w:rsidR="00801432">
        <w:t>.</w:t>
      </w:r>
      <w:r>
        <w:rPr>
          <w:rStyle w:val="FootnoteReference"/>
        </w:rPr>
        <w:footnoteReference w:id="7"/>
      </w:r>
    </w:p>
    <w:p w:rsidRPr="00033765" w:rsidR="00F85A35" w14:paraId="5633B1B3" w14:textId="77777777"/>
    <w:p w:rsidRPr="00033765" w:rsidR="003E5F06" w14:paraId="18350FC0" w14:textId="77777777">
      <w:pPr>
        <w:rPr>
          <w:i/>
          <w:iCs/>
        </w:rPr>
      </w:pPr>
      <w:r w:rsidRPr="00033765">
        <w:rPr>
          <w:i/>
          <w:iCs/>
        </w:rPr>
        <w:t>Content moderatie en schadelijke content</w:t>
      </w:r>
    </w:p>
    <w:p w:rsidRPr="00033765" w:rsidR="00F85A35" w14:paraId="46A9E58F" w14:textId="77777777">
      <w:r w:rsidRPr="00033765">
        <w:t xml:space="preserve">In een brief aan het Amerikaanse Congres stelt Mark </w:t>
      </w:r>
      <w:r w:rsidRPr="00033765">
        <w:t>Zuckerberg</w:t>
      </w:r>
      <w:r w:rsidRPr="00033765">
        <w:t xml:space="preserve">, oprichter, voorzitter van de raad van bestuur en CEO van Meta, dat medewerkers van de Amerikaanse overheid tijdens de COVID pandemie ‘herhaaldelijk druk hebben uitgeoefend’ op teams van Meta om content weg te halen, en dat de FBI Meta heeft gewaarschuwd over mogelijke Russische desinformatie over de </w:t>
      </w:r>
      <w:r w:rsidRPr="00033765">
        <w:t>Biden</w:t>
      </w:r>
      <w:r w:rsidRPr="00033765">
        <w:t xml:space="preserve"> familie. </w:t>
      </w:r>
      <w:r w:rsidRPr="00033765">
        <w:t>Zuckerberg</w:t>
      </w:r>
      <w:r w:rsidRPr="00033765">
        <w:t xml:space="preserve"> geeft aan ‘dat het uiteindelijk de beslissing van Meta is om content wel of niet weg te halen’ en dat hij het beleid omtrent contentmoderatie op het platform sindsdien heeft aangepast.</w:t>
      </w:r>
    </w:p>
    <w:p w:rsidRPr="00033765" w:rsidR="003F4C34" w14:paraId="7ED86A40" w14:textId="77777777"/>
    <w:p w:rsidRPr="00033765" w:rsidR="00AB0051" w:rsidP="00AB0051" w14:paraId="4F710825" w14:textId="77777777">
      <w:r w:rsidRPr="00033765">
        <w:t xml:space="preserve">Naast illegale content is er ook schadelijke online content die </w:t>
      </w:r>
      <w:r w:rsidRPr="00033765" w:rsidR="00AF0D9C">
        <w:t>vaak legaal</w:t>
      </w:r>
      <w:r w:rsidRPr="00033765">
        <w:t xml:space="preserve"> is, zoals desinformatie.</w:t>
      </w:r>
      <w:r w:rsidRPr="00033765" w:rsidR="003F4C34">
        <w:t xml:space="preserve"> </w:t>
      </w:r>
      <w:r w:rsidRPr="00033765">
        <w:rPr>
          <w:shd w:val="clear" w:color="auto" w:fill="FFFFFF"/>
        </w:rPr>
        <w:t xml:space="preserve">Het lid </w:t>
      </w:r>
      <w:r w:rsidRPr="00033765" w:rsidR="005E3827">
        <w:rPr>
          <w:shd w:val="clear" w:color="auto" w:fill="FFFFFF"/>
        </w:rPr>
        <w:t>V</w:t>
      </w:r>
      <w:r w:rsidRPr="00033765">
        <w:rPr>
          <w:shd w:val="clear" w:color="auto" w:fill="FFFFFF"/>
        </w:rPr>
        <w:t xml:space="preserve">an Houwelingen vraagt </w:t>
      </w:r>
      <w:r w:rsidRPr="00033765" w:rsidR="00A01926">
        <w:rPr>
          <w:shd w:val="clear" w:color="auto" w:fill="FFFFFF"/>
        </w:rPr>
        <w:t>wat de positie van het kabinet is op</w:t>
      </w:r>
      <w:r w:rsidRPr="00033765">
        <w:rPr>
          <w:shd w:val="clear" w:color="auto" w:fill="FFFFFF"/>
        </w:rPr>
        <w:t xml:space="preserve"> het begrip "desinformatie". Het kabinet ziet desinformatie als misleidende informatie die doelbewust en veelal heimelijk wordt verspreid met de intentie schade toe te brengen aan het publieke debat, democratische processen, de open </w:t>
      </w:r>
      <w:r w:rsidRPr="00033765">
        <w:rPr>
          <w:shd w:val="clear" w:color="auto" w:fill="FFFFFF"/>
        </w:rPr>
        <w:t>en kenniseconomie of de volksgezondheid. Het is een vorm van schadelijke maar vaak legale content. Bij de aanpak van desinformatie dienen grondrechten zoals de vrijheid van meningsuiting centraal te staan.</w:t>
      </w:r>
      <w:r>
        <w:rPr>
          <w:rStyle w:val="FootnoteReference"/>
        </w:rPr>
        <w:footnoteReference w:id="8"/>
      </w:r>
      <w:r w:rsidRPr="00033765">
        <w:t xml:space="preserve"> </w:t>
      </w:r>
    </w:p>
    <w:p w:rsidRPr="00033765" w:rsidR="00AB0051" w:rsidP="003F4C34" w14:paraId="3E5246B0" w14:textId="77777777"/>
    <w:p w:rsidRPr="00033765" w:rsidR="006F01E4" w:rsidP="00AB0051" w14:paraId="756EA035" w14:textId="77777777">
      <w:r w:rsidRPr="00033765">
        <w:rPr>
          <w:color w:val="auto"/>
        </w:rPr>
        <w:t>Overheden hebben</w:t>
      </w:r>
      <w:r w:rsidRPr="00033765" w:rsidR="00BE6AAB">
        <w:rPr>
          <w:color w:val="auto"/>
        </w:rPr>
        <w:t xml:space="preserve"> met het oog op dit grondrecht</w:t>
      </w:r>
      <w:r w:rsidRPr="00033765">
        <w:rPr>
          <w:color w:val="auto"/>
        </w:rPr>
        <w:t xml:space="preserve"> geen bevoegdheid om schadelijke maar niet illegale content te laten verwijderen. </w:t>
      </w:r>
      <w:r w:rsidRPr="00033765" w:rsidR="00262BBC">
        <w:rPr>
          <w:color w:val="auto"/>
        </w:rPr>
        <w:t>S</w:t>
      </w:r>
      <w:r w:rsidRPr="00033765" w:rsidR="003F4C34">
        <w:rPr>
          <w:color w:val="auto"/>
        </w:rPr>
        <w:t xml:space="preserve">ociale mediabedrijven maken </w:t>
      </w:r>
      <w:r w:rsidRPr="00033765" w:rsidR="00AB0051">
        <w:rPr>
          <w:color w:val="auto"/>
        </w:rPr>
        <w:t xml:space="preserve">daarom </w:t>
      </w:r>
      <w:r w:rsidRPr="00033765" w:rsidR="003F4C34">
        <w:rPr>
          <w:color w:val="auto"/>
        </w:rPr>
        <w:t>altijd hun eigen onafhankelijke afweging o</w:t>
      </w:r>
      <w:r w:rsidRPr="00033765" w:rsidR="00262BBC">
        <w:rPr>
          <w:color w:val="auto"/>
        </w:rPr>
        <w:t>ver wat ze doen met schadelijke content</w:t>
      </w:r>
      <w:r w:rsidRPr="00033765" w:rsidR="00744282">
        <w:rPr>
          <w:color w:val="auto"/>
        </w:rPr>
        <w:t>,</w:t>
      </w:r>
      <w:r w:rsidRPr="00033765" w:rsidR="00AB0051">
        <w:rPr>
          <w:color w:val="auto"/>
        </w:rPr>
        <w:t xml:space="preserve"> zoals desinformatie</w:t>
      </w:r>
      <w:r w:rsidRPr="00033765" w:rsidR="00262BBC">
        <w:rPr>
          <w:color w:val="auto"/>
        </w:rPr>
        <w:t>. Hierover moeten ze gebruikers wel transparant informeren, bijvoorbeeld in gebruikersvoorwaarden</w:t>
      </w:r>
      <w:r w:rsidRPr="00033765" w:rsidR="00744282">
        <w:rPr>
          <w:color w:val="auto"/>
        </w:rPr>
        <w:t>.</w:t>
      </w:r>
      <w:r>
        <w:rPr>
          <w:rStyle w:val="FootnoteReference"/>
          <w:color w:val="auto"/>
        </w:rPr>
        <w:footnoteReference w:id="9"/>
      </w:r>
      <w:r w:rsidRPr="00033765" w:rsidR="00262BBC">
        <w:rPr>
          <w:color w:val="auto"/>
        </w:rPr>
        <w:t xml:space="preserve"> </w:t>
      </w:r>
      <w:r w:rsidRPr="00033765">
        <w:t>E</w:t>
      </w:r>
      <w:r w:rsidRPr="00033765">
        <w:t>en</w:t>
      </w:r>
      <w:r w:rsidRPr="00033765" w:rsidR="00047336">
        <w:t xml:space="preserve"> g</w:t>
      </w:r>
      <w:r w:rsidRPr="00033765" w:rsidR="007D7B78">
        <w:t>ebrek aan content-moderatie door platform</w:t>
      </w:r>
      <w:r w:rsidRPr="00033765" w:rsidR="00600865">
        <w:t>en</w:t>
      </w:r>
      <w:r w:rsidRPr="00033765" w:rsidR="007D7B78">
        <w:t xml:space="preserve"> kan </w:t>
      </w:r>
      <w:r w:rsidRPr="00033765">
        <w:t xml:space="preserve">evengoed negatieve gevolgen hebben voor </w:t>
      </w:r>
      <w:r w:rsidRPr="00033765" w:rsidR="00047336">
        <w:t>de vrijheid van meningsuiting</w:t>
      </w:r>
      <w:r w:rsidRPr="00033765">
        <w:t xml:space="preserve"> als te strenge moderatie</w:t>
      </w:r>
      <w:r w:rsidRPr="00033765" w:rsidR="00047336">
        <w:t xml:space="preserve">. </w:t>
      </w:r>
      <w:r w:rsidRPr="00033765">
        <w:t>Bijvoorbeeld w</w:t>
      </w:r>
      <w:r w:rsidRPr="00033765" w:rsidR="00047336">
        <w:t>anneer</w:t>
      </w:r>
      <w:r w:rsidRPr="00033765" w:rsidR="007D7B78">
        <w:t xml:space="preserve"> illegale of schadelijke online content normale uitingen overstemt </w:t>
      </w:r>
      <w:r w:rsidRPr="00033765">
        <w:t>of een vijandige sfeer creëert</w:t>
      </w:r>
      <w:r w:rsidRPr="00033765" w:rsidR="007D7B78">
        <w:t xml:space="preserve"> </w:t>
      </w:r>
      <w:r w:rsidRPr="00033765">
        <w:t>waardoor</w:t>
      </w:r>
      <w:r w:rsidRPr="00033765" w:rsidR="007D7B78">
        <w:t xml:space="preserve"> mensen zich terugtrekken uit het </w:t>
      </w:r>
      <w:r w:rsidRPr="00033765">
        <w:t xml:space="preserve">online </w:t>
      </w:r>
      <w:r w:rsidRPr="00033765" w:rsidR="007D7B78">
        <w:t>debat</w:t>
      </w:r>
      <w:r w:rsidRPr="00033765" w:rsidR="00047336">
        <w:t>. Burgers moeten het vrije en open debat in een veilige en vertrouwde online omgeving kunnen voeren.</w:t>
      </w:r>
      <w:r w:rsidRPr="00033765" w:rsidR="003F4C34">
        <w:rPr>
          <w:rFonts w:eastAsia="DejaVuSerifCondensed" w:cs="DejaVuSerifCondensed"/>
          <w:color w:val="auto"/>
        </w:rPr>
        <w:t xml:space="preserve"> </w:t>
      </w:r>
      <w:r w:rsidRPr="00033765" w:rsidR="003E5F06">
        <w:t xml:space="preserve">Het </w:t>
      </w:r>
      <w:r w:rsidRPr="00033765" w:rsidR="00A65024">
        <w:t>kabinet wil het daarom voor burgers makkelijker maken en burgers faciliteren zodat zij ergens terecht kunnen met klachten die platformen volgens hen onvoldoende oplossen. We brengen de content-moderatiepraktijken van verschillende digitale platformen in Nederland in kaart.</w:t>
      </w:r>
    </w:p>
    <w:p w:rsidRPr="00033765" w:rsidR="006F01E4" w:rsidP="00AB0051" w14:paraId="3004FC07" w14:textId="77777777"/>
    <w:p w:rsidRPr="00033765" w:rsidR="005273C2" w:rsidP="00AB0051" w14:paraId="4A456C3D" w14:textId="77777777">
      <w:pPr>
        <w:rPr>
          <w:rFonts w:eastAsia="DejaVuSerifCondensed" w:cs="DejaVuSerifCondensed"/>
          <w:color w:val="auto"/>
        </w:rPr>
      </w:pPr>
      <w:r w:rsidRPr="00033765">
        <w:t>Volgens</w:t>
      </w:r>
      <w:r w:rsidRPr="00033765" w:rsidR="006F01E4">
        <w:t xml:space="preserve"> de Digitale Dienstenverordening (DSA) </w:t>
      </w:r>
      <w:r w:rsidRPr="00033765">
        <w:t xml:space="preserve">moeten </w:t>
      </w:r>
      <w:r w:rsidRPr="00033765" w:rsidR="006F01E4">
        <w:rPr>
          <w:rFonts w:eastAsia="DejaVuSerifCondensed" w:cs="DejaVuSerifCondensed"/>
          <w:color w:val="auto"/>
        </w:rPr>
        <w:t>z</w:t>
      </w:r>
      <w:r w:rsidRPr="00033765" w:rsidR="003F4C34">
        <w:rPr>
          <w:rFonts w:eastAsia="DejaVuSerifCondensed" w:cs="DejaVuSerifCondensed"/>
          <w:color w:val="auto"/>
        </w:rPr>
        <w:t xml:space="preserve">eer grote online platformen zoals Instagram en Facebook </w:t>
      </w:r>
      <w:r w:rsidRPr="00033765" w:rsidR="006F01E4">
        <w:rPr>
          <w:rFonts w:eastAsia="DejaVuSerifCondensed" w:cs="DejaVuSerifCondensed"/>
          <w:color w:val="auto"/>
        </w:rPr>
        <w:t>ve</w:t>
      </w:r>
      <w:r w:rsidRPr="00033765" w:rsidR="003F4C34">
        <w:rPr>
          <w:rFonts w:eastAsia="DejaVuSerifCondensed" w:cs="DejaVuSerifCondensed"/>
          <w:color w:val="auto"/>
        </w:rPr>
        <w:t>rantwoordelijkheid nemen</w:t>
      </w:r>
      <w:r w:rsidRPr="00033765" w:rsidR="00C74D84">
        <w:rPr>
          <w:rFonts w:eastAsia="DejaVuSerifCondensed" w:cs="DejaVuSerifCondensed"/>
          <w:color w:val="auto"/>
        </w:rPr>
        <w:t xml:space="preserve"> voor hun content-moderatie en transparant zijn </w:t>
      </w:r>
      <w:r w:rsidRPr="00033765" w:rsidR="00E27D5F">
        <w:rPr>
          <w:rFonts w:eastAsia="DejaVuSerifCondensed" w:cs="DejaVuSerifCondensed"/>
          <w:color w:val="auto"/>
        </w:rPr>
        <w:t xml:space="preserve">over hun gebruikersvoorwaarden </w:t>
      </w:r>
      <w:r w:rsidRPr="00033765" w:rsidR="00C74D84">
        <w:rPr>
          <w:rFonts w:eastAsia="DejaVuSerifCondensed" w:cs="DejaVuSerifCondensed"/>
          <w:color w:val="auto"/>
        </w:rPr>
        <w:t>richting gebruikers</w:t>
      </w:r>
      <w:r w:rsidRPr="00033765" w:rsidR="00E27D5F">
        <w:rPr>
          <w:rFonts w:eastAsia="DejaVuSerifCondensed" w:cs="DejaVuSerifCondensed"/>
          <w:color w:val="auto"/>
        </w:rPr>
        <w:t xml:space="preserve">, ook </w:t>
      </w:r>
      <w:r w:rsidRPr="00033765" w:rsidR="006B5E32">
        <w:rPr>
          <w:rFonts w:eastAsia="DejaVuSerifCondensed" w:cs="DejaVuSerifCondensed"/>
          <w:color w:val="auto"/>
        </w:rPr>
        <w:t>wanneer</w:t>
      </w:r>
      <w:r w:rsidRPr="00033765" w:rsidR="00C74D84">
        <w:rPr>
          <w:rFonts w:eastAsia="DejaVuSerifCondensed" w:cs="DejaVuSerifCondensed"/>
          <w:color w:val="auto"/>
        </w:rPr>
        <w:t xml:space="preserve"> berichten </w:t>
      </w:r>
      <w:r w:rsidRPr="00033765" w:rsidR="00E27D5F">
        <w:rPr>
          <w:rFonts w:eastAsia="DejaVuSerifCondensed" w:cs="DejaVuSerifCondensed"/>
          <w:color w:val="auto"/>
        </w:rPr>
        <w:t xml:space="preserve">van gebruikers </w:t>
      </w:r>
      <w:r w:rsidRPr="00033765" w:rsidR="00C74D84">
        <w:rPr>
          <w:rFonts w:eastAsia="DejaVuSerifCondensed" w:cs="DejaVuSerifCondensed"/>
          <w:color w:val="auto"/>
        </w:rPr>
        <w:t xml:space="preserve">worden verwijderd of minder worden versterkt. </w:t>
      </w:r>
      <w:r w:rsidRPr="00033765" w:rsidR="006B5E32">
        <w:rPr>
          <w:rFonts w:eastAsia="DejaVuSerifCondensed" w:cs="DejaVuSerifCondensed"/>
          <w:color w:val="auto"/>
        </w:rPr>
        <w:t>G</w:t>
      </w:r>
      <w:r w:rsidRPr="00033765" w:rsidR="00C74D84">
        <w:rPr>
          <w:rFonts w:eastAsia="DejaVuSerifCondensed" w:cs="DejaVuSerifCondensed"/>
          <w:color w:val="auto"/>
        </w:rPr>
        <w:t xml:space="preserve">ebruikers </w:t>
      </w:r>
      <w:r w:rsidRPr="00033765" w:rsidR="006B5E32">
        <w:rPr>
          <w:rFonts w:eastAsia="DejaVuSerifCondensed" w:cs="DejaVuSerifCondensed"/>
          <w:color w:val="auto"/>
        </w:rPr>
        <w:t xml:space="preserve">moeten </w:t>
      </w:r>
      <w:r w:rsidRPr="00033765" w:rsidR="00C74D84">
        <w:rPr>
          <w:rFonts w:eastAsia="DejaVuSerifCondensed" w:cs="DejaVuSerifCondensed"/>
          <w:color w:val="auto"/>
        </w:rPr>
        <w:t>in bezwaar kunnen gaan tegen beslissingen van platformen</w:t>
      </w:r>
      <w:r w:rsidRPr="00033765" w:rsidR="00E27D5F">
        <w:rPr>
          <w:rFonts w:eastAsia="DejaVuSerifCondensed" w:cs="DejaVuSerifCondensed"/>
          <w:color w:val="auto"/>
        </w:rPr>
        <w:t xml:space="preserve">, en makkelijk melding kunnen doen van berichten die illegaal zijn of niet voldoen aan de </w:t>
      </w:r>
      <w:r w:rsidRPr="00033765" w:rsidR="00D920F9">
        <w:rPr>
          <w:rFonts w:eastAsia="DejaVuSerifCondensed" w:cs="DejaVuSerifCondensed"/>
          <w:color w:val="auto"/>
        </w:rPr>
        <w:t>gebruikers</w:t>
      </w:r>
      <w:r w:rsidRPr="00033765" w:rsidR="00E27D5F">
        <w:rPr>
          <w:rFonts w:eastAsia="DejaVuSerifCondensed" w:cs="DejaVuSerifCondensed"/>
          <w:color w:val="auto"/>
        </w:rPr>
        <w:t xml:space="preserve">voorwaarden van het platform. </w:t>
      </w:r>
      <w:r w:rsidRPr="00033765">
        <w:rPr>
          <w:rFonts w:eastAsia="DejaVuSerifCondensed" w:cs="DejaVuSerifCondensed"/>
          <w:color w:val="auto"/>
        </w:rPr>
        <w:t>Platformen moeten reageren op deze meldingen en</w:t>
      </w:r>
      <w:r w:rsidRPr="00033765" w:rsidR="00D920F9">
        <w:rPr>
          <w:rFonts w:eastAsia="DejaVuSerifCondensed" w:cs="DejaVuSerifCondensed"/>
          <w:color w:val="auto"/>
        </w:rPr>
        <w:t xml:space="preserve"> optreden</w:t>
      </w:r>
      <w:r w:rsidRPr="00033765">
        <w:rPr>
          <w:rFonts w:eastAsia="DejaVuSerifCondensed" w:cs="DejaVuSerifCondensed"/>
          <w:color w:val="auto"/>
        </w:rPr>
        <w:t xml:space="preserve"> wanneer het om illegale content gaat. </w:t>
      </w:r>
    </w:p>
    <w:p w:rsidRPr="00033765" w:rsidR="005273C2" w:rsidP="00283811" w14:paraId="645635E0" w14:textId="77777777">
      <w:pPr>
        <w:rPr>
          <w:rFonts w:eastAsia="DejaVuSerifCondensed" w:cs="DejaVuSerifCondensed"/>
          <w:color w:val="auto"/>
        </w:rPr>
      </w:pPr>
    </w:p>
    <w:p w:rsidRPr="00033765" w:rsidR="006F01E4" w:rsidP="00283811" w14:paraId="5A5DCAC9" w14:textId="77777777">
      <w:pPr>
        <w:rPr>
          <w:color w:val="auto"/>
        </w:rPr>
      </w:pPr>
      <w:r w:rsidRPr="00033765">
        <w:rPr>
          <w:rFonts w:eastAsia="DejaVuSerifCondensed" w:cs="DejaVuSerifCondensed"/>
          <w:color w:val="auto"/>
        </w:rPr>
        <w:t>Artikel 34 en 35 van de DSA</w:t>
      </w:r>
      <w:r w:rsidRPr="00033765" w:rsidR="003E5F06">
        <w:rPr>
          <w:rFonts w:eastAsia="DejaVuSerifCondensed" w:cs="DejaVuSerifCondensed"/>
          <w:color w:val="auto"/>
        </w:rPr>
        <w:t xml:space="preserve"> </w:t>
      </w:r>
      <w:r w:rsidRPr="00033765" w:rsidR="00D920F9">
        <w:rPr>
          <w:rFonts w:eastAsia="DejaVuSerifCondensed" w:cs="DejaVuSerifCondensed"/>
          <w:color w:val="auto"/>
        </w:rPr>
        <w:t>voegen daar voor</w:t>
      </w:r>
      <w:r w:rsidRPr="00033765" w:rsidR="00B805E4">
        <w:rPr>
          <w:rFonts w:eastAsia="DejaVuSerifCondensed" w:cs="DejaVuSerifCondensed"/>
          <w:color w:val="auto"/>
        </w:rPr>
        <w:t xml:space="preserve"> </w:t>
      </w:r>
      <w:r w:rsidRPr="00033765" w:rsidR="003E5F06">
        <w:rPr>
          <w:rFonts w:eastAsia="DejaVuSerifCondensed" w:cs="DejaVuSerifCondensed"/>
          <w:color w:val="auto"/>
        </w:rPr>
        <w:t>zeer grote online platformen</w:t>
      </w:r>
      <w:r w:rsidRPr="00033765" w:rsidR="00D920F9">
        <w:rPr>
          <w:rFonts w:eastAsia="DejaVuSerifCondensed" w:cs="DejaVuSerifCondensed"/>
          <w:color w:val="auto"/>
        </w:rPr>
        <w:t xml:space="preserve"> en zoekmachines verdere</w:t>
      </w:r>
      <w:r w:rsidRPr="00033765" w:rsidR="00B805E4">
        <w:rPr>
          <w:rFonts w:eastAsia="DejaVuSerifCondensed" w:cs="DejaVuSerifCondensed"/>
          <w:color w:val="auto"/>
        </w:rPr>
        <w:t xml:space="preserve"> verplichtingen aan toe</w:t>
      </w:r>
      <w:r w:rsidRPr="00033765" w:rsidR="003E5F06">
        <w:rPr>
          <w:rFonts w:eastAsia="DejaVuSerifCondensed" w:cs="DejaVuSerifCondensed"/>
          <w:color w:val="auto"/>
        </w:rPr>
        <w:t>.</w:t>
      </w:r>
      <w:r w:rsidRPr="00033765">
        <w:rPr>
          <w:rFonts w:eastAsia="DejaVuSerifCondensed" w:cs="DejaVuSerifCondensed"/>
          <w:color w:val="auto"/>
        </w:rPr>
        <w:t xml:space="preserve"> </w:t>
      </w:r>
      <w:r w:rsidRPr="00033765" w:rsidR="00B805E4">
        <w:rPr>
          <w:rFonts w:eastAsia="DejaVuSerifCondensed" w:cs="DejaVuSerifCondensed"/>
          <w:color w:val="auto"/>
        </w:rPr>
        <w:t>Deze zeer grote online platformen en zoekmachines</w:t>
      </w:r>
      <w:r w:rsidRPr="00033765">
        <w:rPr>
          <w:rFonts w:eastAsia="DejaVuSerifCondensed" w:cs="DejaVuSerifCondensed"/>
          <w:color w:val="auto"/>
        </w:rPr>
        <w:t xml:space="preserve"> </w:t>
      </w:r>
      <w:r w:rsidRPr="00033765" w:rsidR="005273C2">
        <w:rPr>
          <w:rFonts w:eastAsia="DejaVuSerifCondensed" w:cs="DejaVuSerifCondensed"/>
          <w:color w:val="auto"/>
        </w:rPr>
        <w:t xml:space="preserve">zijn verplicht om de </w:t>
      </w:r>
      <w:r w:rsidRPr="00033765" w:rsidR="00B805E4">
        <w:rPr>
          <w:rFonts w:eastAsia="DejaVuSerifCondensed" w:cs="DejaVuSerifCondensed"/>
          <w:color w:val="auto"/>
        </w:rPr>
        <w:t>systeem</w:t>
      </w:r>
      <w:r w:rsidRPr="00033765">
        <w:rPr>
          <w:rFonts w:eastAsia="DejaVuSerifCondensed" w:cs="DejaVuSerifCondensed"/>
          <w:color w:val="auto"/>
        </w:rPr>
        <w:t>risico’s in kaart te brengen</w:t>
      </w:r>
      <w:r w:rsidRPr="00033765" w:rsidR="005273C2">
        <w:rPr>
          <w:rFonts w:eastAsia="DejaVuSerifCondensed" w:cs="DejaVuSerifCondensed"/>
          <w:color w:val="auto"/>
        </w:rPr>
        <w:t xml:space="preserve"> van hun diensten</w:t>
      </w:r>
      <w:r w:rsidRPr="00033765">
        <w:rPr>
          <w:rFonts w:eastAsia="DejaVuSerifCondensed" w:cs="DejaVuSerifCondensed"/>
          <w:color w:val="auto"/>
        </w:rPr>
        <w:t xml:space="preserve"> voor</w:t>
      </w:r>
      <w:r w:rsidRPr="00033765" w:rsidR="003E5F06">
        <w:rPr>
          <w:rFonts w:eastAsia="DejaVuSerifCondensed" w:cs="DejaVuSerifCondensed"/>
          <w:color w:val="auto"/>
        </w:rPr>
        <w:t xml:space="preserve"> de</w:t>
      </w:r>
      <w:r w:rsidRPr="00033765" w:rsidR="006312ED">
        <w:rPr>
          <w:rFonts w:eastAsia="DejaVuSerifCondensed" w:cs="DejaVuSerifCondensed"/>
          <w:color w:val="auto"/>
        </w:rPr>
        <w:t xml:space="preserve"> </w:t>
      </w:r>
      <w:r w:rsidRPr="00033765" w:rsidR="00C74D84">
        <w:rPr>
          <w:rFonts w:eastAsia="DejaVuSerifCondensed" w:cs="DejaVuSerifCondensed"/>
          <w:color w:val="auto"/>
        </w:rPr>
        <w:t>grond</w:t>
      </w:r>
      <w:r w:rsidRPr="00033765">
        <w:rPr>
          <w:rFonts w:eastAsia="DejaVuSerifCondensed" w:cs="DejaVuSerifCondensed"/>
          <w:color w:val="auto"/>
        </w:rPr>
        <w:t>rechten van burgers</w:t>
      </w:r>
      <w:r w:rsidRPr="00033765" w:rsidR="00C74D84">
        <w:rPr>
          <w:rFonts w:eastAsia="DejaVuSerifCondensed" w:cs="DejaVuSerifCondensed"/>
          <w:color w:val="auto"/>
        </w:rPr>
        <w:t xml:space="preserve">, negatieve effecten op </w:t>
      </w:r>
      <w:r w:rsidRPr="00033765" w:rsidR="00B805E4">
        <w:rPr>
          <w:rFonts w:eastAsia="DejaVuSerifCondensed" w:cs="DejaVuSerifCondensed"/>
          <w:color w:val="auto"/>
        </w:rPr>
        <w:t xml:space="preserve">de burgerdialoog, </w:t>
      </w:r>
      <w:r w:rsidRPr="00033765" w:rsidR="00C74D84">
        <w:rPr>
          <w:rFonts w:eastAsia="DejaVuSerifCondensed" w:cs="DejaVuSerifCondensed"/>
          <w:color w:val="auto"/>
        </w:rPr>
        <w:t>verkiezingsprocessen, de openbare veiligheid, de bescherming van de volksgezondheid en minderjarigen en ernstige negatieve gevolgen voor het lichamelijke en geestelijke welzijn van een persoon. Zeer grote online platformen moeten</w:t>
      </w:r>
      <w:r w:rsidRPr="00033765">
        <w:rPr>
          <w:rFonts w:eastAsia="DejaVuSerifCondensed" w:cs="DejaVuSerifCondensed"/>
          <w:color w:val="auto"/>
        </w:rPr>
        <w:t xml:space="preserve"> </w:t>
      </w:r>
      <w:r w:rsidRPr="00033765" w:rsidR="008A6731">
        <w:rPr>
          <w:rFonts w:eastAsia="DejaVuSerifCondensed" w:cs="DejaVuSerifCondensed"/>
          <w:color w:val="auto"/>
        </w:rPr>
        <w:t>“redelijke, evenredige, en doeltreffende” risicobeperkende maatregelen nemen</w:t>
      </w:r>
      <w:r w:rsidRPr="00033765" w:rsidR="00C74D84">
        <w:rPr>
          <w:rFonts w:eastAsia="DejaVuSerifCondensed" w:cs="DejaVuSerifCondensed"/>
          <w:color w:val="auto"/>
        </w:rPr>
        <w:t xml:space="preserve">. </w:t>
      </w:r>
      <w:r w:rsidRPr="00033765" w:rsidR="00C74D84">
        <w:rPr>
          <w:color w:val="auto"/>
        </w:rPr>
        <w:t xml:space="preserve">Voorbeelden </w:t>
      </w:r>
      <w:r w:rsidRPr="00033765" w:rsidR="005273C2">
        <w:rPr>
          <w:color w:val="auto"/>
        </w:rPr>
        <w:t xml:space="preserve">van zulke maatregelen </w:t>
      </w:r>
      <w:r w:rsidRPr="00033765" w:rsidR="00C74D84">
        <w:rPr>
          <w:color w:val="auto"/>
        </w:rPr>
        <w:t xml:space="preserve">zijn snellere en kwalitatievere inhoudsmoderatie, aanpassingen van het algoritmisch systeem zodat bijvoorbeeld verspreiding van schadelijke content </w:t>
      </w:r>
      <w:r w:rsidRPr="00033765" w:rsidR="00744282">
        <w:rPr>
          <w:color w:val="auto"/>
        </w:rPr>
        <w:t xml:space="preserve">wordt </w:t>
      </w:r>
      <w:r w:rsidRPr="00033765" w:rsidR="00C74D84">
        <w:rPr>
          <w:color w:val="auto"/>
        </w:rPr>
        <w:t>verminderd zonder dat berichten worden verwijderd</w:t>
      </w:r>
      <w:r w:rsidRPr="00033765" w:rsidR="00B805E4">
        <w:rPr>
          <w:color w:val="auto"/>
        </w:rPr>
        <w:t>. Maar ook</w:t>
      </w:r>
      <w:r w:rsidRPr="00033765" w:rsidR="00C74D84">
        <w:rPr>
          <w:color w:val="auto"/>
        </w:rPr>
        <w:t xml:space="preserve"> aanpassingen van hun online interface, samenwerking met andere platform</w:t>
      </w:r>
      <w:r w:rsidRPr="00033765" w:rsidR="00600865">
        <w:rPr>
          <w:color w:val="auto"/>
        </w:rPr>
        <w:t>en</w:t>
      </w:r>
      <w:r w:rsidRPr="00033765" w:rsidR="00C74D84">
        <w:rPr>
          <w:color w:val="auto"/>
        </w:rPr>
        <w:t xml:space="preserve"> of organisaties, voorlichting en van context voorzien, aanpassing van hun reclamesystemen of het duidelijk als zodanig herkenbaar maken van gemanipuleerde ‘</w:t>
      </w:r>
      <w:r w:rsidRPr="00033765" w:rsidR="00C74D84">
        <w:rPr>
          <w:color w:val="auto"/>
        </w:rPr>
        <w:t>deepfake</w:t>
      </w:r>
      <w:r w:rsidRPr="00033765" w:rsidR="00C74D84">
        <w:rPr>
          <w:color w:val="auto"/>
        </w:rPr>
        <w:t>’ beelden.</w:t>
      </w:r>
      <w:r w:rsidRPr="00033765" w:rsidR="00B61566">
        <w:rPr>
          <w:color w:val="auto"/>
        </w:rPr>
        <w:t xml:space="preserve"> </w:t>
      </w:r>
    </w:p>
    <w:p w:rsidRPr="00033765" w:rsidR="006F01E4" w:rsidP="00B61566" w14:paraId="5B3956E3" w14:textId="77777777">
      <w:pPr>
        <w:spacing w:line="276" w:lineRule="auto"/>
        <w:rPr>
          <w:color w:val="auto"/>
        </w:rPr>
      </w:pPr>
    </w:p>
    <w:p w:rsidRPr="00033765" w:rsidR="003F4C34" w:rsidP="00B61566" w14:paraId="41C72273" w14:textId="77777777">
      <w:pPr>
        <w:spacing w:line="276" w:lineRule="auto"/>
        <w:rPr>
          <w:color w:val="auto"/>
        </w:rPr>
      </w:pPr>
      <w:r w:rsidRPr="00033765">
        <w:rPr>
          <w:rFonts w:eastAsia="DejaVuSerifCondensed" w:cs="DejaVuSerifCondensed"/>
          <w:color w:val="auto"/>
        </w:rPr>
        <w:t>De</w:t>
      </w:r>
      <w:r w:rsidRPr="00033765">
        <w:rPr>
          <w:rFonts w:eastAsia="DejaVuSerifCondensed" w:cs="DejaVuSerifCondensed"/>
          <w:color w:val="auto"/>
        </w:rPr>
        <w:t xml:space="preserve"> Europese Commissie </w:t>
      </w:r>
      <w:r w:rsidRPr="00033765">
        <w:rPr>
          <w:rFonts w:eastAsia="DejaVuSerifCondensed" w:cs="DejaVuSerifCondensed"/>
          <w:color w:val="auto"/>
        </w:rPr>
        <w:t xml:space="preserve">houdt </w:t>
      </w:r>
      <w:r w:rsidRPr="00033765">
        <w:rPr>
          <w:rFonts w:eastAsia="DejaVuSerifCondensed" w:cs="DejaVuSerifCondensed"/>
          <w:color w:val="auto"/>
        </w:rPr>
        <w:t xml:space="preserve">hierop toezicht vanuit de </w:t>
      </w:r>
      <w:r w:rsidRPr="00033765">
        <w:rPr>
          <w:rFonts w:eastAsia="DejaVuSerifCondensed" w:cs="DejaVuSerifCondensed"/>
          <w:color w:val="auto"/>
        </w:rPr>
        <w:t>DSA</w:t>
      </w:r>
      <w:r w:rsidRPr="00033765">
        <w:rPr>
          <w:rFonts w:eastAsia="DejaVuSerifCondensed" w:cs="DejaVuSerifCondensed"/>
          <w:color w:val="auto"/>
        </w:rPr>
        <w:t>.</w:t>
      </w:r>
      <w:r w:rsidRPr="00033765" w:rsidR="009867AC">
        <w:rPr>
          <w:rFonts w:eastAsia="DejaVuSerifCondensed" w:cs="DejaVuSerifCondensed"/>
          <w:color w:val="auto"/>
        </w:rPr>
        <w:t xml:space="preserve"> Dit gebeurt niet op het niveau van individuele berichten, maar op het niveau van de bedrijfs</w:t>
      </w:r>
      <w:r w:rsidRPr="00033765" w:rsidR="00B805E4">
        <w:rPr>
          <w:rFonts w:eastAsia="DejaVuSerifCondensed" w:cs="DejaVuSerifCondensed"/>
          <w:color w:val="auto"/>
        </w:rPr>
        <w:t xml:space="preserve">systemen en </w:t>
      </w:r>
      <w:r w:rsidRPr="00033765" w:rsidR="009867AC">
        <w:rPr>
          <w:rFonts w:eastAsia="DejaVuSerifCondensed" w:cs="DejaVuSerifCondensed"/>
          <w:color w:val="auto"/>
        </w:rPr>
        <w:t>processen die zeer grote platform</w:t>
      </w:r>
      <w:r w:rsidRPr="00033765" w:rsidR="00600865">
        <w:rPr>
          <w:rFonts w:eastAsia="DejaVuSerifCondensed" w:cs="DejaVuSerifCondensed"/>
          <w:color w:val="auto"/>
        </w:rPr>
        <w:t>en</w:t>
      </w:r>
      <w:r w:rsidRPr="00033765" w:rsidR="00B805E4">
        <w:rPr>
          <w:rFonts w:eastAsia="DejaVuSerifCondensed" w:cs="DejaVuSerifCondensed"/>
          <w:color w:val="auto"/>
        </w:rPr>
        <w:t xml:space="preserve"> en zoekmachines</w:t>
      </w:r>
      <w:r w:rsidRPr="00033765" w:rsidR="009867AC">
        <w:rPr>
          <w:rFonts w:eastAsia="DejaVuSerifCondensed" w:cs="DejaVuSerifCondensed"/>
          <w:color w:val="auto"/>
        </w:rPr>
        <w:t xml:space="preserve"> hebben ingericht om de door henzelf geconstateerde risico’s te mitigeren. Een door het platform gekozen onafhankelijke derde partij moet deze beoordelingen en maatregelen </w:t>
      </w:r>
      <w:r w:rsidRPr="00033765" w:rsidR="00B805E4">
        <w:rPr>
          <w:rFonts w:eastAsia="DejaVuSerifCondensed" w:cs="DejaVuSerifCondensed"/>
          <w:color w:val="auto"/>
        </w:rPr>
        <w:t>controleren</w:t>
      </w:r>
      <w:r w:rsidRPr="00033765" w:rsidR="009867AC">
        <w:rPr>
          <w:rFonts w:eastAsia="DejaVuSerifCondensed" w:cs="DejaVuSerifCondensed"/>
          <w:color w:val="auto"/>
        </w:rPr>
        <w:t xml:space="preserve">, </w:t>
      </w:r>
      <w:r w:rsidRPr="00033765" w:rsidR="009867AC">
        <w:rPr>
          <w:rFonts w:eastAsia="DejaVuSerifCondensed" w:cs="DejaVuSerifCondensed"/>
          <w:color w:val="auto"/>
        </w:rPr>
        <w:t xml:space="preserve">en wetenschappers moeten toegang hebben tot data om te kunnen onderzoeken hoe de keuzes van platformen impact hebben op de rechten van burgers. </w:t>
      </w:r>
      <w:r w:rsidRPr="00033765" w:rsidR="00B61566">
        <w:rPr>
          <w:color w:val="auto"/>
        </w:rPr>
        <w:t>Bij het treffen van maatregelen moeten platformen de rechten van burgers beschermen, zoals het recht op privacy en de vrijheid van meningsuiting</w:t>
      </w:r>
      <w:r w:rsidRPr="00033765" w:rsidR="00822E94">
        <w:rPr>
          <w:color w:val="auto"/>
        </w:rPr>
        <w:t xml:space="preserve">. </w:t>
      </w:r>
      <w:r w:rsidRPr="00033765" w:rsidR="00C74D84">
        <w:rPr>
          <w:color w:val="auto"/>
        </w:rPr>
        <w:t xml:space="preserve">Voor een volledige uitleg </w:t>
      </w:r>
      <w:r w:rsidRPr="00033765" w:rsidR="005A3F32">
        <w:rPr>
          <w:color w:val="auto"/>
        </w:rPr>
        <w:t>verwij</w:t>
      </w:r>
      <w:r w:rsidR="005A3F32">
        <w:rPr>
          <w:color w:val="auto"/>
        </w:rPr>
        <w:t>s</w:t>
      </w:r>
      <w:r w:rsidRPr="00033765" w:rsidR="005A3F32">
        <w:rPr>
          <w:color w:val="auto"/>
        </w:rPr>
        <w:t xml:space="preserve"> </w:t>
      </w:r>
      <w:r w:rsidR="005A3F32">
        <w:rPr>
          <w:color w:val="auto"/>
        </w:rPr>
        <w:t>ik</w:t>
      </w:r>
      <w:r w:rsidRPr="00033765" w:rsidR="00C74D84">
        <w:rPr>
          <w:color w:val="auto"/>
        </w:rPr>
        <w:t xml:space="preserve"> graag naar de wetstekst</w:t>
      </w:r>
      <w:r w:rsidRPr="00033765" w:rsidR="00744282">
        <w:rPr>
          <w:color w:val="auto"/>
        </w:rPr>
        <w:t>.</w:t>
      </w:r>
      <w:r>
        <w:rPr>
          <w:rStyle w:val="FootnoteReference"/>
          <w:color w:val="auto"/>
        </w:rPr>
        <w:footnoteReference w:id="10"/>
      </w:r>
      <w:r w:rsidRPr="00033765" w:rsidR="00C74D84">
        <w:rPr>
          <w:color w:val="auto"/>
        </w:rPr>
        <w:t xml:space="preserve"> </w:t>
      </w:r>
    </w:p>
    <w:p w:rsidRPr="00033765" w:rsidR="00B32AEB" w:rsidP="00B61566" w14:paraId="0F816368" w14:textId="77777777">
      <w:pPr>
        <w:spacing w:line="276" w:lineRule="auto"/>
        <w:rPr>
          <w:color w:val="auto"/>
        </w:rPr>
      </w:pPr>
    </w:p>
    <w:p w:rsidRPr="00033765" w:rsidR="00B32AEB" w:rsidP="00322ACD" w14:paraId="71CF4726" w14:textId="77777777">
      <w:r w:rsidRPr="00033765">
        <w:t xml:space="preserve">De Europese Commissie heeft op 30 april </w:t>
      </w:r>
      <w:r w:rsidRPr="00033765" w:rsidR="003100F0">
        <w:t xml:space="preserve">2024 </w:t>
      </w:r>
      <w:r w:rsidRPr="00033765">
        <w:t>vastgesteld dat Meta mogelijk de DSA overtreedt</w:t>
      </w:r>
      <w:r>
        <w:rPr>
          <w:rStyle w:val="FootnoteReference"/>
          <w:color w:val="auto"/>
        </w:rPr>
        <w:footnoteReference w:id="11"/>
      </w:r>
      <w:r w:rsidRPr="00033765">
        <w:t>. Het gaat om misleidende advertenties, desinformatie</w:t>
      </w:r>
      <w:r w:rsidRPr="00033765" w:rsidR="0028242C">
        <w:t xml:space="preserve">campagnes en </w:t>
      </w:r>
      <w:r w:rsidRPr="00033765" w:rsidR="00F31FA2">
        <w:t>gecoördineerd</w:t>
      </w:r>
      <w:r w:rsidRPr="00033765" w:rsidR="0028242C">
        <w:t xml:space="preserve"> niet authentiek gedrag</w:t>
      </w:r>
      <w:r w:rsidRPr="00033765">
        <w:t>, beperkte zichtbaarheid van politieke inhoud, en gebrekkige mechanismen om illegale content te melden. Zo keurde Meta pro-Russische propaganda goed als advertenties (zoals in de '</w:t>
      </w:r>
      <w:r w:rsidRPr="00033765">
        <w:t>Doppelganger</w:t>
      </w:r>
      <w:r w:rsidRPr="00033765">
        <w:t xml:space="preserve">'-campagne) en maakte het politieke </w:t>
      </w:r>
      <w:r w:rsidRPr="00033765">
        <w:t>posts</w:t>
      </w:r>
      <w:r w:rsidRPr="00033765">
        <w:t xml:space="preserve"> van burgers minder zichtbaar,</w:t>
      </w:r>
      <w:r w:rsidRPr="00033765" w:rsidR="0028242C">
        <w:t xml:space="preserve"> wat mogelijk niet verenigbaar is met de transparantie- en verhaalverplichtingen voor gebruikers en de verplichting om systeemrisico’s voor te verminderen.</w:t>
      </w:r>
      <w:r w:rsidRPr="00033765">
        <w:t xml:space="preserve"> De stopzetting van ‘</w:t>
      </w:r>
      <w:r w:rsidRPr="00033765">
        <w:t>CrowdTangle</w:t>
      </w:r>
      <w:r w:rsidRPr="00033765">
        <w:t>’ bemoeilijkt bovendien transparantie</w:t>
      </w:r>
      <w:r w:rsidRPr="00033765" w:rsidR="0028242C">
        <w:t>, onder andere rondom verkiezingen</w:t>
      </w:r>
      <w:r w:rsidRPr="00033765">
        <w:t>. De Commissie eist opheldering over zowel te lakse moderatie</w:t>
      </w:r>
      <w:r w:rsidRPr="00033765" w:rsidR="003212C3">
        <w:t xml:space="preserve"> als het intern klachtenafhandelingssysteem om klachten in te dienen tegen besluiten over inhoudsmoderatie, dat mogelijk niet doeltreffend is</w:t>
      </w:r>
      <w:r w:rsidRPr="00033765" w:rsidR="009728FB">
        <w:t>.</w:t>
      </w:r>
      <w:r w:rsidRPr="00033765">
        <w:t xml:space="preserve"> Op deze manier beschermt de </w:t>
      </w:r>
      <w:r w:rsidRPr="00033765">
        <w:t>DSA burgers</w:t>
      </w:r>
      <w:r w:rsidRPr="00033765">
        <w:t xml:space="preserve"> tegen mogelijke inbreuken op de vrijheid van meningsuiting door zeer grote online platformen als Facebook.</w:t>
      </w:r>
    </w:p>
    <w:p w:rsidRPr="00033765" w:rsidR="00F87D91" w14:paraId="37E969C0" w14:textId="77777777"/>
    <w:p w:rsidRPr="00033765" w:rsidR="00346938" w14:paraId="108AC8CA" w14:textId="77777777">
      <w:pPr>
        <w:rPr>
          <w:i/>
          <w:iCs/>
        </w:rPr>
      </w:pPr>
      <w:r w:rsidRPr="00033765">
        <w:rPr>
          <w:i/>
          <w:iCs/>
        </w:rPr>
        <w:t>Uitings- en platformverboden</w:t>
      </w:r>
    </w:p>
    <w:p w:rsidRPr="00033765" w:rsidR="00BF7F2C" w14:paraId="37459F49" w14:textId="77777777">
      <w:r w:rsidRPr="00033765">
        <w:t xml:space="preserve">In Brazilië heeft </w:t>
      </w:r>
      <w:r w:rsidRPr="00033765" w:rsidR="00F92E89">
        <w:t>het Hooggerechtshof besloten om X te blokkeren</w:t>
      </w:r>
      <w:r w:rsidRPr="00033765" w:rsidR="000D510F">
        <w:t xml:space="preserve"> na het negeren van gerechtelijke bevelen en het terugtrekken van een wettelijke vertegenwoordiger</w:t>
      </w:r>
      <w:r w:rsidRPr="00033765" w:rsidR="00BE6286">
        <w:t xml:space="preserve">. </w:t>
      </w:r>
      <w:r w:rsidRPr="00033765">
        <w:t>Net als in de EU zijn platformen als X in Brazilië verplicht om vertegenwoordigers aan te stellen</w:t>
      </w:r>
      <w:r w:rsidRPr="00033765" w:rsidR="00F31FA2">
        <w:t>. In Brazilië hebben deze ook de verantwoordelijkheid</w:t>
      </w:r>
      <w:r w:rsidRPr="00033765">
        <w:t xml:space="preserve"> actie </w:t>
      </w:r>
      <w:r w:rsidRPr="00033765" w:rsidR="00F31FA2">
        <w:t>te</w:t>
      </w:r>
      <w:r w:rsidR="00033765">
        <w:t xml:space="preserve"> </w:t>
      </w:r>
      <w:r w:rsidRPr="00033765">
        <w:t xml:space="preserve">ondernemen op basis van gerechtelijke bevelen. Het hooggerechtshof </w:t>
      </w:r>
      <w:r w:rsidRPr="00033765" w:rsidR="003212C3">
        <w:t xml:space="preserve">in Brazilië </w:t>
      </w:r>
      <w:r w:rsidRPr="00033765">
        <w:t xml:space="preserve">vroeg X om accounts te verwijderen die smadelijke nep-berichten verspreidden. </w:t>
      </w:r>
      <w:r w:rsidRPr="00033765" w:rsidR="007D7B78">
        <w:t xml:space="preserve">Inmiddels heeft X aan deze bevelen voldaan en </w:t>
      </w:r>
      <w:r w:rsidRPr="00033765" w:rsidR="00AB03C0">
        <w:t>is X na betaling van een boete weer toegankelijk</w:t>
      </w:r>
      <w:r w:rsidRPr="00033765" w:rsidR="007D7B78">
        <w:t xml:space="preserve">. </w:t>
      </w:r>
      <w:r w:rsidRPr="00033765">
        <w:t xml:space="preserve">Eerder is ook Whatsapp </w:t>
      </w:r>
      <w:r w:rsidRPr="00033765" w:rsidR="00A65024">
        <w:t>geblokkeerd</w:t>
      </w:r>
      <w:r w:rsidR="005A3F32">
        <w:t>,</w:t>
      </w:r>
      <w:r w:rsidRPr="00033765">
        <w:t xml:space="preserve"> omdat </w:t>
      </w:r>
      <w:r w:rsidR="00244944">
        <w:t>het</w:t>
      </w:r>
      <w:r w:rsidRPr="00033765" w:rsidR="00244944">
        <w:t xml:space="preserve"> </w:t>
      </w:r>
      <w:r w:rsidRPr="00033765">
        <w:t xml:space="preserve">niet reageerde op politieverzoeken en heeft Telegram een lokale vertegenwoordiger aangesteld nadat het bedrijf </w:t>
      </w:r>
      <w:r w:rsidRPr="00033765" w:rsidR="00A65024">
        <w:t>geblokkeerd</w:t>
      </w:r>
      <w:r w:rsidRPr="00033765">
        <w:t xml:space="preserve"> zou worden omdat </w:t>
      </w:r>
      <w:r w:rsidR="00244944">
        <w:t>het</w:t>
      </w:r>
      <w:r w:rsidRPr="00033765" w:rsidR="00244944">
        <w:t xml:space="preserve"> </w:t>
      </w:r>
      <w:r w:rsidRPr="00033765">
        <w:t xml:space="preserve">verzoeken van Braziliaanse autoriteiten negeerde.  </w:t>
      </w:r>
      <w:r w:rsidRPr="00033765" w:rsidR="00F92E89">
        <w:t xml:space="preserve"> </w:t>
      </w:r>
    </w:p>
    <w:p w:rsidRPr="00033765" w:rsidR="00C96C98" w14:paraId="04FC8C50" w14:textId="77777777">
      <w:pPr>
        <w:rPr>
          <w:rFonts w:eastAsia="DejaVuSerifCondensed" w:cs="DejaVuSerifCondensed"/>
          <w:color w:val="auto"/>
        </w:rPr>
      </w:pPr>
    </w:p>
    <w:p w:rsidRPr="00033765" w:rsidR="00AC6BD9" w14:paraId="679F95E7" w14:textId="77777777">
      <w:pPr>
        <w:rPr>
          <w:shd w:val="clear" w:color="auto" w:fill="FFFFFF"/>
        </w:rPr>
      </w:pPr>
      <w:r w:rsidRPr="00033765">
        <w:t>Zoals eerder beschreven, is het onder de DSA in de EU verplicht voor platformen om</w:t>
      </w:r>
      <w:r w:rsidRPr="00033765" w:rsidR="003212C3">
        <w:t xml:space="preserve"> tegen</w:t>
      </w:r>
      <w:r w:rsidRPr="00033765">
        <w:t xml:space="preserve"> illegale berichten</w:t>
      </w:r>
      <w:r w:rsidRPr="00033765" w:rsidR="003212C3">
        <w:t xml:space="preserve"> op te treden en onder het strafrecht om deze</w:t>
      </w:r>
      <w:r w:rsidRPr="00033765">
        <w:t xml:space="preserve"> te verwijderen, maar zijn platform</w:t>
      </w:r>
      <w:r w:rsidR="00937772">
        <w:t>en</w:t>
      </w:r>
      <w:r w:rsidRPr="00033765">
        <w:t xml:space="preserve"> niet verplicht </w:t>
      </w:r>
      <w:r w:rsidRPr="00033765">
        <w:rPr>
          <w:rFonts w:eastAsia="DejaVuSerifCondensed" w:cs="DejaVuSerifCondensed"/>
          <w:color w:val="auto"/>
        </w:rPr>
        <w:t xml:space="preserve">om niet-illegale schadelijke berichten te verwijderen. Lidstaten bepalen elk voor zich welke inhoud wel of niet illegaal is. Wanneer platformen niet voldoen aan de wettelijke bepalingen uit de DSA, is het mogelijk voor de Europese Commissie als toezichthouder </w:t>
      </w:r>
      <w:r w:rsidRPr="00033765" w:rsidR="005660D4">
        <w:rPr>
          <w:rFonts w:eastAsia="DejaVuSerifCondensed" w:cs="DejaVuSerifCondensed"/>
          <w:color w:val="auto"/>
        </w:rPr>
        <w:t xml:space="preserve">van zeer grote online platformen en zoekmachines </w:t>
      </w:r>
      <w:r w:rsidRPr="00033765">
        <w:rPr>
          <w:rFonts w:eastAsia="DejaVuSerifCondensed" w:cs="DejaVuSerifCondensed"/>
          <w:color w:val="auto"/>
        </w:rPr>
        <w:t>om geldboeten op te leggen die maximaal 6% bedragen van de totale wereldwijde omzet.</w:t>
      </w:r>
      <w:r w:rsidRPr="00033765" w:rsidR="005660D4">
        <w:rPr>
          <w:rFonts w:eastAsia="DejaVuSerifCondensed" w:cs="DejaVuSerifCondensed"/>
          <w:color w:val="auto"/>
        </w:rPr>
        <w:t xml:space="preserve"> Daarnaast is het mogelijk voor zeer grote online platformen en zoekmachines om </w:t>
      </w:r>
      <w:r w:rsidRPr="00033765" w:rsidR="00895DBB">
        <w:rPr>
          <w:rFonts w:eastAsia="DejaVuSerifCondensed" w:cs="DejaVuSerifCondensed"/>
          <w:color w:val="auto"/>
        </w:rPr>
        <w:t xml:space="preserve">toezeggingen te doen om de nalevering van de DSA te waarborgen. Dit is bijvoorbeeld recent gedaan in het onderzoek van de Europese Commissie naar </w:t>
      </w:r>
      <w:r w:rsidRPr="00033765" w:rsidR="00895DBB">
        <w:rPr>
          <w:rFonts w:eastAsia="DejaVuSerifCondensed" w:cs="DejaVuSerifCondensed"/>
          <w:color w:val="auto"/>
        </w:rPr>
        <w:t>AliExpress</w:t>
      </w:r>
      <w:r w:rsidRPr="00033765" w:rsidR="00895DBB">
        <w:rPr>
          <w:rFonts w:eastAsia="DejaVuSerifCondensed" w:cs="DejaVuSerifCondensed"/>
          <w:color w:val="auto"/>
        </w:rPr>
        <w:t xml:space="preserve">, waardoor </w:t>
      </w:r>
      <w:r w:rsidRPr="00033765" w:rsidR="00895DBB">
        <w:rPr>
          <w:rFonts w:eastAsia="DejaVuSerifCondensed" w:cs="DejaVuSerifCondensed"/>
          <w:color w:val="auto"/>
        </w:rPr>
        <w:t>AliExpress</w:t>
      </w:r>
      <w:r w:rsidRPr="00033765" w:rsidR="00895DBB">
        <w:rPr>
          <w:rFonts w:eastAsia="DejaVuSerifCondensed" w:cs="DejaVuSerifCondensed"/>
          <w:color w:val="auto"/>
        </w:rPr>
        <w:t xml:space="preserve"> aangeboden toezeggingen</w:t>
      </w:r>
      <w:r w:rsidR="005A3F32">
        <w:rPr>
          <w:rFonts w:eastAsia="DejaVuSerifCondensed" w:cs="DejaVuSerifCondensed"/>
          <w:color w:val="auto"/>
        </w:rPr>
        <w:t>,</w:t>
      </w:r>
      <w:r w:rsidRPr="00033765" w:rsidR="00895DBB">
        <w:rPr>
          <w:rFonts w:eastAsia="DejaVuSerifCondensed" w:cs="DejaVuSerifCondensed"/>
          <w:color w:val="auto"/>
        </w:rPr>
        <w:t xml:space="preserve"> zoals op het gebied van transparantie van </w:t>
      </w:r>
      <w:r w:rsidRPr="00033765" w:rsidR="00895DBB">
        <w:rPr>
          <w:rFonts w:eastAsia="DejaVuSerifCondensed" w:cs="DejaVuSerifCondensed"/>
          <w:color w:val="auto"/>
        </w:rPr>
        <w:t>advertenties</w:t>
      </w:r>
      <w:r w:rsidR="005A3F32">
        <w:rPr>
          <w:rFonts w:eastAsia="DejaVuSerifCondensed" w:cs="DejaVuSerifCondensed"/>
          <w:color w:val="auto"/>
        </w:rPr>
        <w:t>,</w:t>
      </w:r>
      <w:r w:rsidRPr="00033765" w:rsidR="00895DBB">
        <w:rPr>
          <w:rFonts w:eastAsia="DejaVuSerifCondensed" w:cs="DejaVuSerifCondensed"/>
          <w:color w:val="auto"/>
        </w:rPr>
        <w:t xml:space="preserve"> door de Europese Commissie bindend zijn gemaakt.</w:t>
      </w:r>
      <w:r>
        <w:rPr>
          <w:rStyle w:val="FootnoteReference"/>
          <w:rFonts w:eastAsia="DejaVuSerifCondensed" w:cs="DejaVuSerifCondensed"/>
          <w:color w:val="auto"/>
        </w:rPr>
        <w:footnoteReference w:id="12"/>
      </w:r>
      <w:r w:rsidRPr="00033765">
        <w:rPr>
          <w:rFonts w:eastAsia="DejaVuSerifCondensed" w:cs="DejaVuSerifCondensed"/>
          <w:color w:val="auto"/>
        </w:rPr>
        <w:t xml:space="preserve"> </w:t>
      </w:r>
      <w:r w:rsidRPr="00033765">
        <w:rPr>
          <w:shd w:val="clear" w:color="auto" w:fill="FFFFFF"/>
        </w:rPr>
        <w:t>Indien alle bevoegdheden om een einde te maken aan een inbreuk op deze verordening zijn uitgeput, de inbreuk voortduurt en ernstige schade veroorzaakt</w:t>
      </w:r>
      <w:r w:rsidR="005A3F32">
        <w:rPr>
          <w:shd w:val="clear" w:color="auto" w:fill="FFFFFF"/>
        </w:rPr>
        <w:t>,</w:t>
      </w:r>
      <w:r w:rsidRPr="00033765">
        <w:rPr>
          <w:shd w:val="clear" w:color="auto" w:fill="FFFFFF"/>
        </w:rPr>
        <w:t xml:space="preserve"> en die inbreuk neerkomt op een strafbaar feit waarbij het leven of de veiligheid van personen wordt bedreigd, kan de Europese Commissie de digitale dienstencoördinator van het land van vestiging van het platform verzoeken om de toegang tot de online-interface van de aanbieder van </w:t>
      </w:r>
      <w:r w:rsidRPr="00033765">
        <w:rPr>
          <w:shd w:val="clear" w:color="auto" w:fill="FFFFFF"/>
        </w:rPr>
        <w:t>tussenhandeldiensten</w:t>
      </w:r>
      <w:r w:rsidRPr="00033765">
        <w:rPr>
          <w:shd w:val="clear" w:color="auto" w:fill="FFFFFF"/>
        </w:rPr>
        <w:t xml:space="preserve"> waarop de inbreuk plaatsvindt, tijdelijk te beperken.</w:t>
      </w:r>
    </w:p>
    <w:p w:rsidRPr="00033765" w:rsidR="00AC6BD9" w14:paraId="7046ABA3" w14:textId="77777777">
      <w:pPr>
        <w:rPr>
          <w:rFonts w:eastAsia="DejaVuSerifCondensed" w:cs="DejaVuSerifCondensed"/>
          <w:color w:val="auto"/>
        </w:rPr>
      </w:pPr>
    </w:p>
    <w:p w:rsidRPr="00033765" w:rsidR="00C96C98" w14:paraId="62337B8E" w14:textId="77777777">
      <w:pPr>
        <w:rPr>
          <w:shd w:val="clear" w:color="auto" w:fill="FFFFFF"/>
        </w:rPr>
      </w:pPr>
      <w:r w:rsidRPr="00033765">
        <w:rPr>
          <w:shd w:val="clear" w:color="auto" w:fill="FFFFFF"/>
        </w:rPr>
        <w:t xml:space="preserve">Ten aanzien van de </w:t>
      </w:r>
      <w:r w:rsidRPr="00033765">
        <w:rPr>
          <w:shd w:val="clear" w:color="auto" w:fill="FFFFFF"/>
        </w:rPr>
        <w:t>vraag van het lid van Houwelingen</w:t>
      </w:r>
      <w:r w:rsidRPr="00033765" w:rsidR="00AB03C0">
        <w:t xml:space="preserve"> over de vrijheid van meningsuiting en platformen</w:t>
      </w:r>
      <w:r w:rsidRPr="00033765">
        <w:rPr>
          <w:shd w:val="clear" w:color="auto" w:fill="FFFFFF"/>
        </w:rPr>
        <w:t>, kan ik u verzekeren dat ook in Nederland p</w:t>
      </w:r>
      <w:r w:rsidRPr="00033765" w:rsidR="00BB775F">
        <w:rPr>
          <w:shd w:val="clear" w:color="auto" w:fill="FFFFFF"/>
        </w:rPr>
        <w:t>latform</w:t>
      </w:r>
      <w:r w:rsidRPr="00033765" w:rsidR="00600865">
        <w:rPr>
          <w:shd w:val="clear" w:color="auto" w:fill="FFFFFF"/>
        </w:rPr>
        <w:t>en</w:t>
      </w:r>
      <w:r w:rsidRPr="00033765" w:rsidR="00BB775F">
        <w:rPr>
          <w:shd w:val="clear" w:color="auto" w:fill="FFFFFF"/>
        </w:rPr>
        <w:t xml:space="preserve"> niet boven de wet</w:t>
      </w:r>
      <w:r w:rsidRPr="00033765">
        <w:rPr>
          <w:shd w:val="clear" w:color="auto" w:fill="FFFFFF"/>
        </w:rPr>
        <w:t xml:space="preserve"> staan</w:t>
      </w:r>
      <w:r w:rsidRPr="00033765" w:rsidR="00BB775F">
        <w:rPr>
          <w:shd w:val="clear" w:color="auto" w:fill="FFFFFF"/>
        </w:rPr>
        <w:t>.</w:t>
      </w:r>
      <w:r w:rsidRPr="00033765">
        <w:rPr>
          <w:shd w:val="clear" w:color="auto" w:fill="FFFFFF"/>
        </w:rPr>
        <w:t xml:space="preserve"> Indien </w:t>
      </w:r>
      <w:r w:rsidR="00244944">
        <w:rPr>
          <w:shd w:val="clear" w:color="auto" w:fill="FFFFFF"/>
        </w:rPr>
        <w:t>aan</w:t>
      </w:r>
      <w:r w:rsidRPr="00033765" w:rsidR="00244944">
        <w:rPr>
          <w:shd w:val="clear" w:color="auto" w:fill="FFFFFF"/>
        </w:rPr>
        <w:t xml:space="preserve"> </w:t>
      </w:r>
      <w:r w:rsidRPr="00033765">
        <w:rPr>
          <w:shd w:val="clear" w:color="auto" w:fill="FFFFFF"/>
        </w:rPr>
        <w:t>gerechtelijk</w:t>
      </w:r>
      <w:r w:rsidR="00244944">
        <w:rPr>
          <w:shd w:val="clear" w:color="auto" w:fill="FFFFFF"/>
        </w:rPr>
        <w:t>e</w:t>
      </w:r>
      <w:r w:rsidRPr="00033765">
        <w:rPr>
          <w:shd w:val="clear" w:color="auto" w:fill="FFFFFF"/>
        </w:rPr>
        <w:t xml:space="preserve"> bevelen herhaaldelijk en in lijn met </w:t>
      </w:r>
      <w:r w:rsidRPr="00033765">
        <w:rPr>
          <w:shd w:val="clear" w:color="auto" w:fill="FFFFFF"/>
        </w:rPr>
        <w:t xml:space="preserve">de </w:t>
      </w:r>
      <w:r w:rsidRPr="00033765">
        <w:rPr>
          <w:shd w:val="clear" w:color="auto" w:fill="FFFFFF"/>
        </w:rPr>
        <w:t>situatie van Telegram geen opvolging wordt gegeven</w:t>
      </w:r>
      <w:r w:rsidRPr="00033765">
        <w:rPr>
          <w:shd w:val="clear" w:color="auto" w:fill="FFFFFF"/>
        </w:rPr>
        <w:t>,</w:t>
      </w:r>
      <w:r w:rsidRPr="00033765">
        <w:rPr>
          <w:shd w:val="clear" w:color="auto" w:fill="FFFFFF"/>
        </w:rPr>
        <w:t xml:space="preserve"> zou </w:t>
      </w:r>
      <w:r w:rsidRPr="00033765" w:rsidR="000D42E8">
        <w:rPr>
          <w:shd w:val="clear" w:color="auto" w:fill="FFFFFF"/>
        </w:rPr>
        <w:t xml:space="preserve">een </w:t>
      </w:r>
      <w:r w:rsidRPr="00033765" w:rsidR="00B309F4">
        <w:rPr>
          <w:shd w:val="clear" w:color="auto" w:fill="FFFFFF"/>
        </w:rPr>
        <w:t>arrestatiebevel</w:t>
      </w:r>
      <w:r w:rsidRPr="00033765">
        <w:rPr>
          <w:shd w:val="clear" w:color="auto" w:fill="FFFFFF"/>
        </w:rPr>
        <w:t xml:space="preserve"> mogelijk kunnen zijn</w:t>
      </w:r>
      <w:r w:rsidRPr="00033765" w:rsidR="00BB775F">
        <w:rPr>
          <w:shd w:val="clear" w:color="auto" w:fill="FFFFFF"/>
        </w:rPr>
        <w:t xml:space="preserve"> volgens het strafrecht</w:t>
      </w:r>
      <w:r w:rsidRPr="00033765">
        <w:rPr>
          <w:shd w:val="clear" w:color="auto" w:fill="FFFFFF"/>
        </w:rPr>
        <w:t>. Ook kan in lijn met de hierboven beschreven procedure</w:t>
      </w:r>
      <w:r w:rsidRPr="00033765" w:rsidR="00BB775F">
        <w:rPr>
          <w:shd w:val="clear" w:color="auto" w:fill="FFFFFF"/>
        </w:rPr>
        <w:t xml:space="preserve"> vanuit de DSA</w:t>
      </w:r>
      <w:r w:rsidRPr="00033765">
        <w:rPr>
          <w:shd w:val="clear" w:color="auto" w:fill="FFFFFF"/>
        </w:rPr>
        <w:t xml:space="preserve"> </w:t>
      </w:r>
      <w:r w:rsidRPr="00033765" w:rsidR="00307001">
        <w:rPr>
          <w:shd w:val="clear" w:color="auto" w:fill="FFFFFF"/>
        </w:rPr>
        <w:t xml:space="preserve">de toegang tot </w:t>
      </w:r>
      <w:r w:rsidRPr="00033765">
        <w:rPr>
          <w:shd w:val="clear" w:color="auto" w:fill="FFFFFF"/>
        </w:rPr>
        <w:t xml:space="preserve">een platform, wanneer alle andere juridische mogelijkheden zijn uitgeput en na uitvoerig hoor-en-wederhoor, </w:t>
      </w:r>
      <w:r w:rsidRPr="00033765" w:rsidR="00DB480F">
        <w:rPr>
          <w:shd w:val="clear" w:color="auto" w:fill="FFFFFF"/>
        </w:rPr>
        <w:t xml:space="preserve">tijdelijk </w:t>
      </w:r>
      <w:r w:rsidRPr="00033765">
        <w:rPr>
          <w:shd w:val="clear" w:color="auto" w:fill="FFFFFF"/>
        </w:rPr>
        <w:t xml:space="preserve">worden </w:t>
      </w:r>
      <w:r w:rsidRPr="00033765" w:rsidR="00307001">
        <w:rPr>
          <w:shd w:val="clear" w:color="auto" w:fill="FFFFFF"/>
        </w:rPr>
        <w:t>geblokkeerd</w:t>
      </w:r>
      <w:r w:rsidRPr="00033765">
        <w:rPr>
          <w:shd w:val="clear" w:color="auto" w:fill="FFFFFF"/>
        </w:rPr>
        <w:t xml:space="preserve">.  </w:t>
      </w:r>
    </w:p>
    <w:p w:rsidRPr="00033765" w:rsidR="00C96C98" w14:paraId="6C17F3CA" w14:textId="77777777">
      <w:pPr>
        <w:rPr>
          <w:shd w:val="clear" w:color="auto" w:fill="FFFFFF"/>
        </w:rPr>
      </w:pPr>
    </w:p>
    <w:p w:rsidRPr="00033765" w:rsidR="005B5C4A" w14:paraId="6DF07A3A" w14:textId="77777777">
      <w:pPr>
        <w:rPr>
          <w:color w:val="auto"/>
        </w:rPr>
      </w:pPr>
      <w:r w:rsidRPr="00033765">
        <w:rPr>
          <w:shd w:val="clear" w:color="auto" w:fill="FFFFFF"/>
        </w:rPr>
        <w:t xml:space="preserve">De Europese Commissie is </w:t>
      </w:r>
      <w:r w:rsidRPr="00033765">
        <w:rPr>
          <w:rFonts w:eastAsia="DejaVuSerifCondensed" w:cstheme="minorBidi"/>
          <w:color w:val="auto"/>
        </w:rPr>
        <w:t>op 18 december 2023 een formele procedure ge</w:t>
      </w:r>
      <w:r w:rsidRPr="00033765">
        <w:rPr>
          <w:color w:val="auto"/>
        </w:rPr>
        <w:t xml:space="preserve">start tegen X. Deze procedure loopt nog. Op 12 juli </w:t>
      </w:r>
      <w:r w:rsidRPr="00033765" w:rsidR="00823FB0">
        <w:rPr>
          <w:color w:val="auto"/>
        </w:rPr>
        <w:t>2024</w:t>
      </w:r>
      <w:r w:rsidRPr="00033765">
        <w:rPr>
          <w:color w:val="auto"/>
        </w:rPr>
        <w:t xml:space="preserve"> heeft de Europese Commissie zijn voorlopige bevindingen naar X gestuurd</w:t>
      </w:r>
      <w:r w:rsidRPr="00033765" w:rsidR="00DB480F">
        <w:rPr>
          <w:color w:val="auto"/>
        </w:rPr>
        <w:t>, waarbij zij verschillende wetsovertredingen heeft geconstateerd waarbij X onvoldoende transparant is gebleken.</w:t>
      </w:r>
      <w:r>
        <w:rPr>
          <w:rStyle w:val="FootnoteReference"/>
          <w:color w:val="auto"/>
        </w:rPr>
        <w:footnoteReference w:id="13"/>
      </w:r>
      <w:r w:rsidRPr="00033765" w:rsidR="00DB480F">
        <w:rPr>
          <w:color w:val="auto"/>
        </w:rPr>
        <w:t xml:space="preserve"> Zoals het onvoldoende toegang geven tot publieke onderzoeks-data aan wetenschappers en het niet bieden van transparantie over advertenties op het platform.</w:t>
      </w:r>
      <w:r w:rsidRPr="00033765">
        <w:rPr>
          <w:color w:val="auto"/>
        </w:rPr>
        <w:t xml:space="preserve"> </w:t>
      </w:r>
      <w:r w:rsidRPr="00033765" w:rsidR="00895DBB">
        <w:rPr>
          <w:color w:val="auto"/>
        </w:rPr>
        <w:t>X heeft nu de kans om hierop te reageren.</w:t>
      </w:r>
      <w:r w:rsidRPr="00033765" w:rsidR="009728FB">
        <w:rPr>
          <w:color w:val="auto"/>
        </w:rPr>
        <w:t xml:space="preserve"> Op 17 januari jl.</w:t>
      </w:r>
      <w:r>
        <w:rPr>
          <w:rStyle w:val="FootnoteReference"/>
          <w:color w:val="auto"/>
          <w:lang w:val="en-US"/>
        </w:rPr>
        <w:footnoteReference w:id="14"/>
      </w:r>
      <w:r w:rsidRPr="00033765" w:rsidR="009728FB">
        <w:rPr>
          <w:color w:val="auto"/>
        </w:rPr>
        <w:t xml:space="preserve"> </w:t>
      </w:r>
      <w:r w:rsidRPr="00033765" w:rsidR="009728FB">
        <w:rPr>
          <w:rFonts w:cs="Arial"/>
        </w:rPr>
        <w:t xml:space="preserve">heeft de Commissie aanvullende </w:t>
      </w:r>
      <w:r w:rsidRPr="00033765" w:rsidR="00895DBB">
        <w:rPr>
          <w:rFonts w:cs="Arial"/>
        </w:rPr>
        <w:t xml:space="preserve">informatie opgevraagd </w:t>
      </w:r>
      <w:r w:rsidRPr="00033765" w:rsidR="009728FB">
        <w:rPr>
          <w:rFonts w:cs="Arial"/>
        </w:rPr>
        <w:t>met betrekking tot de aanbevelingsalgoritmen van X. X moe</w:t>
      </w:r>
      <w:r w:rsidRPr="00033765" w:rsidR="00895DBB">
        <w:rPr>
          <w:rFonts w:cs="Arial"/>
        </w:rPr>
        <w:t>s</w:t>
      </w:r>
      <w:r w:rsidRPr="00033765" w:rsidR="009728FB">
        <w:rPr>
          <w:rFonts w:cs="Arial"/>
        </w:rPr>
        <w:t xml:space="preserve">t interne documentatie over het algoritme en recente wijzigingen aanleveren voor 15 februari, alle documentatie er over dit hele jaar bewaren, en de Commissie toegang verschaffen tot alle technische interfaces die het mogelijk maken om feiten over content-moderatie op X vast te stellen. </w:t>
      </w:r>
    </w:p>
    <w:p w:rsidRPr="00033765" w:rsidR="00F64B57" w14:paraId="3D8DE800" w14:textId="77777777"/>
    <w:p w:rsidRPr="00033765" w:rsidR="009728FB" w14:paraId="080A1541" w14:textId="77777777"/>
    <w:p w:rsidRPr="00033765" w:rsidR="00F64B57" w:rsidP="00F64B57" w14:paraId="05DE1C82" w14:textId="77777777">
      <w:r w:rsidRPr="00033765">
        <w:t xml:space="preserve">De </w:t>
      </w:r>
      <w:r w:rsidRPr="00033765" w:rsidR="00823FB0">
        <w:t>s</w:t>
      </w:r>
      <w:r w:rsidRPr="00033765" w:rsidR="00860931">
        <w:t>taatssecretaris</w:t>
      </w:r>
      <w:r w:rsidRPr="00033765">
        <w:t xml:space="preserve"> van Binnenlandse Zaken en Koninkrijksrelaties,</w:t>
      </w:r>
    </w:p>
    <w:p w:rsidRPr="00033765" w:rsidR="00F64B57" w:rsidP="00F64B57" w14:paraId="34F85C0D" w14:textId="77777777">
      <w:pPr>
        <w:rPr>
          <w:i/>
          <w:iCs/>
        </w:rPr>
      </w:pPr>
      <w:r w:rsidRPr="00033765">
        <w:rPr>
          <w:i/>
          <w:iCs/>
        </w:rPr>
        <w:t xml:space="preserve">Herstel Groningen, </w:t>
      </w:r>
      <w:r w:rsidRPr="00033765" w:rsidR="00500B6B">
        <w:rPr>
          <w:i/>
          <w:iCs/>
        </w:rPr>
        <w:t>Koninkrijksrelaties</w:t>
      </w:r>
      <w:r w:rsidRPr="00033765">
        <w:rPr>
          <w:i/>
          <w:iCs/>
        </w:rPr>
        <w:t xml:space="preserve"> en Digitalisering</w:t>
      </w:r>
    </w:p>
    <w:p w:rsidRPr="00033765" w:rsidR="00F64B57" w:rsidP="00F64B57" w14:paraId="36F03ABC" w14:textId="77777777"/>
    <w:p w:rsidRPr="00033765" w:rsidR="00F64B57" w:rsidP="00F64B57" w14:paraId="390A1A3C" w14:textId="77777777"/>
    <w:p w:rsidRPr="00033765" w:rsidR="00F64B57" w:rsidP="00F64B57" w14:paraId="539D44C4" w14:textId="77777777"/>
    <w:p w:rsidRPr="00033765" w:rsidR="00823FB0" w:rsidP="00F64B57" w14:paraId="5363EC4B" w14:textId="77777777"/>
    <w:p w:rsidRPr="00033765" w:rsidR="00823FB0" w:rsidP="00F64B57" w14:paraId="3B6CD1F6" w14:textId="77777777"/>
    <w:p w:rsidRPr="00F87D91" w:rsidR="00F85A35" w:rsidP="00860931" w14:paraId="58BFA69A" w14:textId="77777777">
      <w:r w:rsidRPr="00033765">
        <w:t>Eddie van Marum</w:t>
      </w:r>
    </w:p>
    <w:sectPr>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JMJD F+ Univers">
    <w:altName w:val="Univers"/>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F06" w14:paraId="53B3113C"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981257012" name="Tekstvak 198125701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307001" w:rsidRPr="00307001" w:rsidP="00307001" w14:textId="77777777">
                          <w:pPr>
                            <w:rPr>
                              <w:rFonts w:ascii="Calibri" w:eastAsia="Calibri" w:hAnsi="Calibri" w:cs="Calibri"/>
                              <w:noProof/>
                              <w:sz w:val="20"/>
                              <w:szCs w:val="20"/>
                            </w:rPr>
                          </w:pPr>
                          <w:r w:rsidRPr="00307001">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981257012" o:spid="_x0000_s205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307001" w:rsidRPr="00307001" w:rsidP="00307001" w14:paraId="51D348ED" w14:textId="77777777">
                    <w:pPr>
                      <w:rPr>
                        <w:rFonts w:ascii="Calibri" w:eastAsia="Calibri" w:hAnsi="Calibri" w:cs="Calibri"/>
                        <w:noProof/>
                        <w:sz w:val="20"/>
                        <w:szCs w:val="20"/>
                      </w:rPr>
                    </w:pPr>
                    <w:r w:rsidRPr="00307001">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A35" w14:paraId="4CEF72A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F06" w14:paraId="597E079C"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87782400" name="Tekstvak 87782400"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307001" w:rsidRPr="00307001" w:rsidP="00307001" w14:textId="7777777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87782400" o:spid="_x0000_s2061"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307001" w:rsidRPr="00307001" w:rsidP="00307001" w14:paraId="08B3EA62" w14:textId="77777777">
                    <w:pPr>
                      <w:rPr>
                        <w:rFonts w:ascii="Calibri" w:eastAsia="Calibri" w:hAnsi="Calibri" w:cs="Calibri"/>
                        <w:noProo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7402" w14:paraId="076DDF21" w14:textId="77777777">
      <w:pPr>
        <w:spacing w:line="240" w:lineRule="auto"/>
      </w:pPr>
      <w:r>
        <w:separator/>
      </w:r>
    </w:p>
  </w:footnote>
  <w:footnote w:type="continuationSeparator" w:id="1">
    <w:p w:rsidR="00547402" w14:paraId="612C4313" w14:textId="77777777">
      <w:pPr>
        <w:spacing w:line="240" w:lineRule="auto"/>
      </w:pPr>
      <w:r>
        <w:continuationSeparator/>
      </w:r>
    </w:p>
  </w:footnote>
  <w:footnote w:type="continuationNotice" w:id="2">
    <w:p w:rsidR="00547402" w14:paraId="3ECA9E4B" w14:textId="77777777">
      <w:pPr>
        <w:spacing w:line="240" w:lineRule="auto"/>
      </w:pPr>
    </w:p>
  </w:footnote>
  <w:footnote w:id="3">
    <w:p w:rsidR="004E6BBF" w:rsidRPr="009C5A30" w14:paraId="69ACE4D0" w14:textId="77777777">
      <w:pPr>
        <w:pStyle w:val="FootnoteText"/>
        <w:rPr>
          <w:sz w:val="16"/>
          <w:szCs w:val="16"/>
        </w:rPr>
      </w:pPr>
      <w:r w:rsidRPr="009C5A30">
        <w:rPr>
          <w:rStyle w:val="FootnoteReference"/>
          <w:sz w:val="16"/>
          <w:szCs w:val="16"/>
        </w:rPr>
        <w:footnoteRef/>
      </w:r>
      <w:r w:rsidRPr="009C5A30">
        <w:rPr>
          <w:sz w:val="16"/>
          <w:szCs w:val="16"/>
        </w:rPr>
        <w:t xml:space="preserve"> </w:t>
      </w:r>
      <w:hyperlink r:id="rId1" w:history="1">
        <w:r w:rsidRPr="009C5A30">
          <w:rPr>
            <w:rStyle w:val="Hyperlink"/>
            <w:sz w:val="16"/>
            <w:szCs w:val="16"/>
          </w:rPr>
          <w:t>https://www.tribunal-de-paris.justice.fr/sites/default/files/2024-08/2024-08-26%20-%20CP%20TELEGRAM%20.pdf</w:t>
        </w:r>
      </w:hyperlink>
      <w:r w:rsidRPr="009C5A30">
        <w:rPr>
          <w:sz w:val="16"/>
          <w:szCs w:val="16"/>
        </w:rPr>
        <w:t xml:space="preserve"> </w:t>
      </w:r>
    </w:p>
  </w:footnote>
  <w:footnote w:id="4">
    <w:p w:rsidR="006201FA" w:rsidRPr="00CC3595" w14:paraId="28D2EEAF" w14:textId="77777777">
      <w:pPr>
        <w:pStyle w:val="FootnoteText"/>
        <w:rPr>
          <w:sz w:val="16"/>
          <w:szCs w:val="16"/>
        </w:rPr>
      </w:pPr>
      <w:r w:rsidRPr="00CC3595">
        <w:rPr>
          <w:rStyle w:val="FootnoteReference"/>
          <w:sz w:val="16"/>
          <w:szCs w:val="16"/>
        </w:rPr>
        <w:footnoteRef/>
      </w:r>
      <w:r w:rsidRPr="00CC3595">
        <w:rPr>
          <w:sz w:val="16"/>
          <w:szCs w:val="16"/>
        </w:rPr>
        <w:t xml:space="preserve"> </w:t>
      </w:r>
      <w:hyperlink r:id="rId2" w:history="1">
        <w:r w:rsidRPr="00CC3595">
          <w:rPr>
            <w:rStyle w:val="Hyperlink"/>
            <w:sz w:val="16"/>
            <w:szCs w:val="16"/>
          </w:rPr>
          <w:t>OM eist 4 jaar cel tegen man uit Zoetermeer voor delen gewelddadige kinderporno | Nieuwsbericht | Openbaar Ministerie</w:t>
        </w:r>
      </w:hyperlink>
    </w:p>
  </w:footnote>
  <w:footnote w:id="5">
    <w:p w:rsidR="006201FA" w:rsidRPr="00CC3595" w14:paraId="3F1B715D" w14:textId="77777777">
      <w:pPr>
        <w:pStyle w:val="FootnoteText"/>
        <w:rPr>
          <w:sz w:val="16"/>
          <w:szCs w:val="16"/>
        </w:rPr>
      </w:pPr>
      <w:r w:rsidRPr="00CC3595">
        <w:rPr>
          <w:rStyle w:val="FootnoteReference"/>
          <w:sz w:val="16"/>
          <w:szCs w:val="16"/>
        </w:rPr>
        <w:footnoteRef/>
      </w:r>
      <w:r w:rsidRPr="00CC3595">
        <w:rPr>
          <w:sz w:val="16"/>
          <w:szCs w:val="16"/>
        </w:rPr>
        <w:t xml:space="preserve"> </w:t>
      </w:r>
      <w:hyperlink r:id="rId3" w:history="1">
        <w:r w:rsidRPr="00CC3595">
          <w:rPr>
            <w:rStyle w:val="Hyperlink"/>
            <w:sz w:val="16"/>
            <w:szCs w:val="16"/>
          </w:rPr>
          <w:t>Drugs, vuurwapens, illegaal vuurwerk en bangalijsten: maar als de politie Telegram belt, is er geen gehoor | Het Parool</w:t>
        </w:r>
      </w:hyperlink>
    </w:p>
  </w:footnote>
  <w:footnote w:id="6">
    <w:p w:rsidR="00AB03C0" w:rsidRPr="009C5A30" w:rsidP="00AB03C0" w14:paraId="1AD8C2B2" w14:textId="77777777">
      <w:pPr>
        <w:pStyle w:val="FootnoteText"/>
        <w:rPr>
          <w:sz w:val="16"/>
          <w:szCs w:val="16"/>
        </w:rPr>
      </w:pPr>
      <w:r w:rsidRPr="00CC3595">
        <w:rPr>
          <w:rStyle w:val="FootnoteReference"/>
          <w:sz w:val="16"/>
          <w:szCs w:val="16"/>
        </w:rPr>
        <w:footnoteRef/>
      </w:r>
      <w:r w:rsidRPr="00CC3595">
        <w:rPr>
          <w:sz w:val="16"/>
          <w:szCs w:val="16"/>
        </w:rPr>
        <w:t xml:space="preserve"> </w:t>
      </w:r>
      <w:r w:rsidRPr="009C5A30">
        <w:rPr>
          <w:sz w:val="16"/>
          <w:szCs w:val="16"/>
        </w:rPr>
        <w:t>Ook de</w:t>
      </w:r>
      <w:r w:rsidRPr="009C5A30" w:rsidR="00F35166">
        <w:rPr>
          <w:sz w:val="16"/>
          <w:szCs w:val="16"/>
        </w:rPr>
        <w:t xml:space="preserve"> Europese</w:t>
      </w:r>
      <w:r w:rsidRPr="009C5A30">
        <w:rPr>
          <w:sz w:val="16"/>
          <w:szCs w:val="16"/>
        </w:rPr>
        <w:t xml:space="preserve"> Digitale Dienstenverordening (zie onder) verplicht digitale dienstverleners om</w:t>
      </w:r>
      <w:r w:rsidRPr="009C5A30" w:rsidR="002B501E">
        <w:rPr>
          <w:sz w:val="16"/>
          <w:szCs w:val="16"/>
        </w:rPr>
        <w:t xml:space="preserve"> op te treden tegen</w:t>
      </w:r>
      <w:r w:rsidRPr="009C5A30">
        <w:rPr>
          <w:sz w:val="16"/>
          <w:szCs w:val="16"/>
        </w:rPr>
        <w:t xml:space="preserve"> illegale inhoud wanneer daar melding van wordt gedaan. </w:t>
      </w:r>
    </w:p>
  </w:footnote>
  <w:footnote w:id="7">
    <w:p w:rsidR="005E686B" w:rsidRPr="00AB03C0" w14:paraId="08B1EC34" w14:textId="77777777">
      <w:pPr>
        <w:pStyle w:val="FootnoteText"/>
        <w:rPr>
          <w:sz w:val="16"/>
          <w:szCs w:val="16"/>
        </w:rPr>
      </w:pPr>
      <w:r w:rsidRPr="009C5A30">
        <w:rPr>
          <w:rStyle w:val="FootnoteReference"/>
          <w:sz w:val="16"/>
          <w:szCs w:val="16"/>
        </w:rPr>
        <w:footnoteRef/>
      </w:r>
      <w:r w:rsidRPr="009C5A30">
        <w:rPr>
          <w:sz w:val="16"/>
          <w:szCs w:val="16"/>
        </w:rPr>
        <w:t xml:space="preserve"> </w:t>
      </w:r>
      <w:hyperlink r:id="rId4" w:history="1">
        <w:r w:rsidRPr="009C5A30">
          <w:rPr>
            <w:rStyle w:val="Hyperlink"/>
            <w:sz w:val="16"/>
            <w:szCs w:val="16"/>
          </w:rPr>
          <w:t>https://www.rijksoverheid.nl/documenten/kamerstukken/2023/07/07/tk-bestuursrechtelijke-aanpak-online-kinderpornografisch-materiaal</w:t>
        </w:r>
      </w:hyperlink>
      <w:r w:rsidRPr="00AB03C0">
        <w:rPr>
          <w:sz w:val="16"/>
          <w:szCs w:val="16"/>
        </w:rPr>
        <w:t xml:space="preserve"> </w:t>
      </w:r>
    </w:p>
  </w:footnote>
  <w:footnote w:id="8">
    <w:p w:rsidR="00AB0051" w:rsidRPr="009C5A30" w:rsidP="00AB0051" w14:paraId="2CBF2995" w14:textId="77777777">
      <w:pPr>
        <w:pStyle w:val="FootnoteText"/>
        <w:rPr>
          <w:sz w:val="16"/>
          <w:szCs w:val="16"/>
        </w:rPr>
      </w:pPr>
      <w:r w:rsidRPr="009C5A30">
        <w:rPr>
          <w:rStyle w:val="FootnoteReference"/>
          <w:sz w:val="16"/>
          <w:szCs w:val="16"/>
        </w:rPr>
        <w:footnoteRef/>
      </w:r>
      <w:r w:rsidRPr="009C5A30">
        <w:rPr>
          <w:sz w:val="16"/>
          <w:szCs w:val="16"/>
        </w:rPr>
        <w:t xml:space="preserve"> Kamerstukken II, 2023-2024, 30 821, nr. 230.</w:t>
      </w:r>
    </w:p>
  </w:footnote>
  <w:footnote w:id="9">
    <w:p w:rsidR="001A7983" w:rsidRPr="00A91B26" w14:paraId="3CAB16CA" w14:textId="77777777">
      <w:pPr>
        <w:pStyle w:val="FootnoteText"/>
        <w:rPr>
          <w:sz w:val="16"/>
          <w:szCs w:val="16"/>
        </w:rPr>
      </w:pPr>
      <w:r w:rsidRPr="009C5A30">
        <w:rPr>
          <w:rStyle w:val="FootnoteReference"/>
          <w:sz w:val="16"/>
          <w:szCs w:val="16"/>
        </w:rPr>
        <w:footnoteRef/>
      </w:r>
      <w:r w:rsidRPr="009C5A30">
        <w:rPr>
          <w:sz w:val="16"/>
          <w:szCs w:val="16"/>
        </w:rPr>
        <w:t xml:space="preserve"> </w:t>
      </w:r>
      <w:hyperlink r:id="rId5" w:history="1">
        <w:r w:rsidRPr="009C5A30">
          <w:rPr>
            <w:rStyle w:val="Hyperlink"/>
            <w:sz w:val="16"/>
            <w:szCs w:val="16"/>
          </w:rPr>
          <w:t>https://transparency.meta.com/nl-nl/policies/community-standards/misinformation/</w:t>
        </w:r>
      </w:hyperlink>
      <w:r w:rsidRPr="00A91B26">
        <w:rPr>
          <w:sz w:val="16"/>
          <w:szCs w:val="16"/>
        </w:rPr>
        <w:t xml:space="preserve"> </w:t>
      </w:r>
    </w:p>
  </w:footnote>
  <w:footnote w:id="10">
    <w:p w:rsidR="00C74D84" w:rsidRPr="009C5A30" w14:paraId="0A961F2C" w14:textId="77777777">
      <w:pPr>
        <w:pStyle w:val="FootnoteText"/>
        <w:rPr>
          <w:sz w:val="16"/>
          <w:szCs w:val="16"/>
        </w:rPr>
      </w:pPr>
      <w:r w:rsidRPr="009C5A30">
        <w:rPr>
          <w:rStyle w:val="FootnoteReference"/>
          <w:sz w:val="16"/>
          <w:szCs w:val="16"/>
        </w:rPr>
        <w:footnoteRef/>
      </w:r>
      <w:r w:rsidRPr="009C5A30">
        <w:rPr>
          <w:sz w:val="16"/>
          <w:szCs w:val="16"/>
        </w:rPr>
        <w:t xml:space="preserve"> </w:t>
      </w:r>
      <w:hyperlink r:id="rId6" w:anchor="d1e3491-1-1" w:history="1">
        <w:r w:rsidRPr="009C5A30">
          <w:rPr>
            <w:rStyle w:val="Hyperlink"/>
            <w:sz w:val="16"/>
            <w:szCs w:val="16"/>
          </w:rPr>
          <w:t>https://eur-lex.europa.eu/legal-content/NL/TXT/HTML/?uri=CELEX:32022R2065#d1e3491-1-1</w:t>
        </w:r>
      </w:hyperlink>
      <w:r w:rsidRPr="009C5A30">
        <w:rPr>
          <w:sz w:val="16"/>
          <w:szCs w:val="16"/>
        </w:rPr>
        <w:t xml:space="preserve"> </w:t>
      </w:r>
    </w:p>
  </w:footnote>
  <w:footnote w:id="11">
    <w:p w:rsidR="000760C8" w:rsidRPr="00B32AEB" w:rsidP="000760C8" w14:paraId="3C36A204" w14:textId="77777777">
      <w:pPr>
        <w:pStyle w:val="FootnoteText"/>
      </w:pPr>
      <w:r w:rsidRPr="00CC3595">
        <w:rPr>
          <w:rStyle w:val="FootnoteReference"/>
          <w:sz w:val="16"/>
          <w:szCs w:val="16"/>
        </w:rPr>
        <w:footnoteRef/>
      </w:r>
      <w:r w:rsidRPr="00CC3595">
        <w:rPr>
          <w:sz w:val="16"/>
          <w:szCs w:val="16"/>
        </w:rPr>
        <w:t xml:space="preserve"> </w:t>
      </w:r>
      <w:hyperlink r:id="rId7" w:history="1">
        <w:r w:rsidRPr="009C5A30">
          <w:rPr>
            <w:rStyle w:val="Hyperlink"/>
            <w:sz w:val="16"/>
            <w:szCs w:val="16"/>
          </w:rPr>
          <w:t>https://digital-strategy.ec.europa.eu/en/news/commission-opens-formal-proceedings-against-facebook-and-instagram-under-digital-services-act</w:t>
        </w:r>
      </w:hyperlink>
      <w:r w:rsidRPr="00322ACD">
        <w:rPr>
          <w:sz w:val="16"/>
          <w:szCs w:val="16"/>
        </w:rPr>
        <w:t xml:space="preserve"> </w:t>
      </w:r>
    </w:p>
  </w:footnote>
  <w:footnote w:id="12">
    <w:p w:rsidR="00895DBB" w:rsidRPr="00CC3595" w14:paraId="16F254CA" w14:textId="77777777">
      <w:pPr>
        <w:pStyle w:val="FootnoteText"/>
        <w:rPr>
          <w:sz w:val="16"/>
          <w:szCs w:val="16"/>
        </w:rPr>
      </w:pPr>
      <w:r w:rsidRPr="00CC3595">
        <w:rPr>
          <w:rStyle w:val="FootnoteReference"/>
          <w:sz w:val="16"/>
          <w:szCs w:val="16"/>
        </w:rPr>
        <w:footnoteRef/>
      </w:r>
      <w:r w:rsidRPr="00CC3595">
        <w:rPr>
          <w:sz w:val="16"/>
          <w:szCs w:val="16"/>
        </w:rPr>
        <w:t xml:space="preserve"> </w:t>
      </w:r>
      <w:hyperlink r:id="rId8" w:history="1">
        <w:r w:rsidRPr="00CC3595">
          <w:rPr>
            <w:rStyle w:val="Hyperlink"/>
            <w:sz w:val="16"/>
            <w:szCs w:val="16"/>
          </w:rPr>
          <w:t xml:space="preserve">Commissie aanvaardt toezeggingen van </w:t>
        </w:r>
        <w:r w:rsidRPr="00CC3595">
          <w:rPr>
            <w:rStyle w:val="Hyperlink"/>
            <w:sz w:val="16"/>
            <w:szCs w:val="16"/>
          </w:rPr>
          <w:t>AliExpress</w:t>
        </w:r>
        <w:r w:rsidRPr="00CC3595">
          <w:rPr>
            <w:rStyle w:val="Hyperlink"/>
            <w:sz w:val="16"/>
            <w:szCs w:val="16"/>
          </w:rPr>
          <w:t xml:space="preserve"> in het kader van de digitaledienstenverordening en neemt verdere maatregelen</w:t>
        </w:r>
      </w:hyperlink>
      <w:r w:rsidRPr="00CC3595">
        <w:rPr>
          <w:sz w:val="16"/>
          <w:szCs w:val="16"/>
        </w:rPr>
        <w:t xml:space="preserve"> </w:t>
      </w:r>
    </w:p>
  </w:footnote>
  <w:footnote w:id="13">
    <w:p w:rsidR="00C96C98" w:rsidRPr="009C5A30" w:rsidP="00C96C98" w14:paraId="69AB7AFC" w14:textId="77777777">
      <w:pPr>
        <w:pStyle w:val="FootnoteText"/>
        <w:rPr>
          <w:sz w:val="16"/>
          <w:szCs w:val="16"/>
        </w:rPr>
      </w:pPr>
      <w:r w:rsidRPr="009C5A30">
        <w:rPr>
          <w:rStyle w:val="FootnoteReference"/>
          <w:sz w:val="16"/>
          <w:szCs w:val="16"/>
        </w:rPr>
        <w:footnoteRef/>
      </w:r>
      <w:r w:rsidRPr="009C5A30">
        <w:rPr>
          <w:sz w:val="16"/>
          <w:szCs w:val="16"/>
        </w:rPr>
        <w:t xml:space="preserve"> </w:t>
      </w:r>
      <w:hyperlink r:id="rId9" w:history="1">
        <w:r w:rsidRPr="009C5A30">
          <w:rPr>
            <w:rStyle w:val="Hyperlink"/>
            <w:sz w:val="16"/>
            <w:szCs w:val="16"/>
          </w:rPr>
          <w:t>https://digital-strategy.ec.europa.eu/en/news/commission-sends-preliminary-findings-x-breach-digital-services-act</w:t>
        </w:r>
      </w:hyperlink>
      <w:r w:rsidRPr="009C5A30">
        <w:rPr>
          <w:sz w:val="16"/>
          <w:szCs w:val="16"/>
        </w:rPr>
        <w:t xml:space="preserve">. </w:t>
      </w:r>
    </w:p>
  </w:footnote>
  <w:footnote w:id="14">
    <w:p w:rsidR="009728FB" w:rsidRPr="001930D6" w:rsidP="009728FB" w14:paraId="7299F8D3" w14:textId="77777777">
      <w:pPr>
        <w:pStyle w:val="FootnoteText"/>
      </w:pPr>
      <w:r w:rsidRPr="00CC3595">
        <w:rPr>
          <w:rStyle w:val="FootnoteReference"/>
          <w:sz w:val="16"/>
          <w:szCs w:val="16"/>
        </w:rPr>
        <w:footnoteRef/>
      </w:r>
      <w:r w:rsidRPr="00CC3595">
        <w:rPr>
          <w:sz w:val="16"/>
          <w:szCs w:val="16"/>
        </w:rPr>
        <w:t xml:space="preserve"> </w:t>
      </w:r>
      <w:hyperlink r:id="rId10" w:history="1">
        <w:r w:rsidRPr="009C5A30">
          <w:rPr>
            <w:rStyle w:val="Hyperlink"/>
            <w:sz w:val="16"/>
            <w:szCs w:val="16"/>
          </w:rPr>
          <w:t>https://digital-strategy.ec.europa.eu/en/news/commission-addresses-additional-investigatory-measures-x-ongoing-proceedings-under-digital-services</w:t>
        </w:r>
      </w:hyperlink>
      <w:r w:rsidRPr="001930D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A35" w14:paraId="12A49E14"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Tekstvak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85A35" w14:textId="77777777">
                          <w:pPr>
                            <w:pStyle w:val="WitregelW2"/>
                          </w:pPr>
                        </w:p>
                        <w:p w:rsidR="0078007E" w:rsidP="0078007E" w14:textId="77777777">
                          <w:pPr>
                            <w:pStyle w:val="Referentiegegevensbold"/>
                            <w:rPr>
                              <w:b w:val="0"/>
                            </w:rPr>
                          </w:pPr>
                          <w:r>
                            <w:t>Datum</w:t>
                          </w:r>
                        </w:p>
                        <w:p w:rsidR="0078007E" w:rsidP="0078007E" w14:textId="77777777">
                          <w:pPr>
                            <w:pStyle w:val="Referentiegegevensbold"/>
                            <w:rPr>
                              <w:b w:val="0"/>
                            </w:rPr>
                          </w:pPr>
                        </w:p>
                        <w:p w:rsidR="00F85A35" w:rsidP="0078007E" w14:textId="77777777">
                          <w:pPr>
                            <w:pStyle w:val="Referentiegegevensbold"/>
                          </w:pPr>
                          <w:r>
                            <w:rPr>
                              <w:b w:val="0"/>
                            </w:rPr>
                            <w:t>O</w:t>
                          </w:r>
                          <w:r w:rsidR="008A2E44">
                            <w:t>nze referentie</w:t>
                          </w:r>
                        </w:p>
                        <w:p w:rsidR="00B618F4" w14:textId="77777777">
                          <w:pPr>
                            <w:pStyle w:val="Referentiegegevens"/>
                          </w:pPr>
                          <w:r>
                            <w:fldChar w:fldCharType="begin"/>
                          </w:r>
                          <w:r>
                            <w:instrText xml:space="preserve"> DOCPROPERTY  "Kenmerk"  \* MERGEFORMAT </w:instrText>
                          </w:r>
                          <w:r>
                            <w:fldChar w:fldCharType="separate"/>
                          </w:r>
                          <w:r>
                            <w:t>2025-0000422746</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1"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85A35" w14:paraId="46F2B6D4" w14:textId="77777777">
                    <w:pPr>
                      <w:pStyle w:val="WitregelW2"/>
                    </w:pPr>
                  </w:p>
                  <w:p w:rsidR="0078007E" w:rsidP="0078007E" w14:paraId="685CBA15" w14:textId="77777777">
                    <w:pPr>
                      <w:pStyle w:val="Referentiegegevensbold"/>
                      <w:rPr>
                        <w:b w:val="0"/>
                      </w:rPr>
                    </w:pPr>
                    <w:r>
                      <w:t>Datum</w:t>
                    </w:r>
                  </w:p>
                  <w:p w:rsidR="0078007E" w:rsidP="0078007E" w14:paraId="485B9404" w14:textId="77777777">
                    <w:pPr>
                      <w:pStyle w:val="Referentiegegevensbold"/>
                      <w:rPr>
                        <w:b w:val="0"/>
                      </w:rPr>
                    </w:pPr>
                  </w:p>
                  <w:p w:rsidR="00F85A35" w:rsidP="0078007E" w14:paraId="7C4A35DD" w14:textId="77777777">
                    <w:pPr>
                      <w:pStyle w:val="Referentiegegevensbold"/>
                    </w:pPr>
                    <w:r>
                      <w:rPr>
                        <w:b w:val="0"/>
                      </w:rPr>
                      <w:t>O</w:t>
                    </w:r>
                    <w:r w:rsidR="008A2E44">
                      <w:t>nze referentie</w:t>
                    </w:r>
                  </w:p>
                  <w:p w:rsidR="00B618F4" w14:paraId="46016C60" w14:textId="77777777">
                    <w:pPr>
                      <w:pStyle w:val="Referentiegegevens"/>
                    </w:pPr>
                    <w:r>
                      <w:fldChar w:fldCharType="begin"/>
                    </w:r>
                    <w:r>
                      <w:instrText xml:space="preserve"> DOCPROPERTY  "Kenmerk"  \* MERGEFORMAT </w:instrText>
                    </w:r>
                    <w:r>
                      <w:fldChar w:fldCharType="separate"/>
                    </w:r>
                    <w:r>
                      <w:t>2025-0000422746</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Tekstvak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B618F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Tekstvak 2"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618F4" w14:paraId="16FCD41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Tekstvak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618F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Tekstvak 3"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B618F4" w14:paraId="325B92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A35" w14:paraId="03ACAD47"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Tekstvak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F85A35" w14:textId="77777777">
                          <w:r>
                            <w:t xml:space="preserve">Aan de </w:t>
                          </w:r>
                          <w:sdt>
                            <w:sdtPr>
                              <w:id w:val="-1959024268"/>
                              <w:dataBinding w:prefixMappings="xmlns:ns0='docgen-assistant'" w:xpath="/ns0:CustomXml[1]/ns0:Variables[1]/ns0:Variable[2]/ns0:Value[1]" w:storeItemID="{69D6EEC8-C9E1-4904-8281-341938F2DEB0}"/>
                              <w:text/>
                            </w:sdtPr>
                            <w:sdtContent>
                              <w:r w:rsidR="00581192">
                                <w:t>Voorzitter van de Tweede Kamer der Staten-Generaal</w:t>
                              </w:r>
                            </w:sdtContent>
                          </w:sdt>
                        </w:p>
                        <w:p w:rsidR="00F85A35" w14:textId="77777777">
                          <w:sdt>
                            <w:sdtPr>
                              <w:id w:val="576261450"/>
                              <w:dataBinding w:prefixMappings="xmlns:ns0='docgen-assistant'" w:xpath="/ns0:CustomXml[1]/ns0:Variables[1]/ns0:Variable[3]/ns0:Value[1]" w:storeItemID="{69D6EEC8-C9E1-4904-8281-341938F2DEB0}"/>
                              <w:text/>
                            </w:sdtPr>
                            <w:sdtContent>
                              <w:r w:rsidR="00581192">
                                <w:t xml:space="preserve">Postbus 20018 </w:t>
                              </w:r>
                            </w:sdtContent>
                          </w:sdt>
                        </w:p>
                        <w:p w:rsidR="00F85A35" w14:textId="77777777">
                          <w:sdt>
                            <w:sdtPr>
                              <w:id w:val="420990065"/>
                              <w:dataBinding w:prefixMappings="xmlns:ns0='docgen-assistant'" w:xpath="/ns0:CustomXml[1]/ns0:Variables[1]/ns0:Variable[4]/ns0:Value[1]" w:storeItemID="{69D6EEC8-C9E1-4904-8281-341938F2DEB0}"/>
                              <w:text/>
                            </w:sdtPr>
                            <w:sdtContent>
                              <w:r w:rsidR="00581192">
                                <w:t>2500 EA</w:t>
                              </w:r>
                            </w:sdtContent>
                          </w:sdt>
                          <w:r w:rsidR="008A2E44">
                            <w:t xml:space="preserve">  </w:t>
                          </w:r>
                          <w:sdt>
                            <w:sdtPr>
                              <w:id w:val="2031673895"/>
                              <w:dataBinding w:prefixMappings="xmlns:ns0='docgen-assistant'" w:xpath="/ns0:CustomXml[1]/ns0:Variables[1]/ns0:Variable[5]/ns0:Value[1]" w:storeItemID="{69D6EEC8-C9E1-4904-8281-341938F2DEB0}"/>
                              <w:text/>
                            </w:sdtPr>
                            <w:sdtContent>
                              <w:r w:rsidR="00581192">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4" o:spid="_x0000_s2053"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85A35" w14:paraId="1C6E1BEE" w14:textId="77777777">
                    <w:r>
                      <w:t xml:space="preserve">Aan de </w:t>
                    </w:r>
                    <w:sdt>
                      <w:sdtPr>
                        <w:id w:val="1616411871"/>
                        <w:dataBinding w:prefixMappings="xmlns:ns0='docgen-assistant'" w:xpath="/ns0:CustomXml[1]/ns0:Variables[1]/ns0:Variable[2]/ns0:Value[1]" w:storeItemID="{69D6EEC8-C9E1-4904-8281-341938F2DEB0}"/>
                        <w:text/>
                      </w:sdtPr>
                      <w:sdtContent>
                        <w:r w:rsidR="00581192">
                          <w:t>Voorzitter van de Tweede Kamer der Staten-Generaal</w:t>
                        </w:r>
                      </w:sdtContent>
                    </w:sdt>
                  </w:p>
                  <w:p w:rsidR="00F85A35" w14:paraId="47324810" w14:textId="77777777">
                    <w:sdt>
                      <w:sdtPr>
                        <w:id w:val="1220511688"/>
                        <w:dataBinding w:prefixMappings="xmlns:ns0='docgen-assistant'" w:xpath="/ns0:CustomXml[1]/ns0:Variables[1]/ns0:Variable[3]/ns0:Value[1]" w:storeItemID="{69D6EEC8-C9E1-4904-8281-341938F2DEB0}"/>
                        <w:text/>
                      </w:sdtPr>
                      <w:sdtContent>
                        <w:r w:rsidR="00581192">
                          <w:t xml:space="preserve">Postbus 20018 </w:t>
                        </w:r>
                      </w:sdtContent>
                    </w:sdt>
                  </w:p>
                  <w:p w:rsidR="00F85A35" w14:paraId="6F03560A" w14:textId="77777777">
                    <w:sdt>
                      <w:sdtPr>
                        <w:id w:val="1480934011"/>
                        <w:dataBinding w:prefixMappings="xmlns:ns0='docgen-assistant'" w:xpath="/ns0:CustomXml[1]/ns0:Variables[1]/ns0:Variable[4]/ns0:Value[1]" w:storeItemID="{69D6EEC8-C9E1-4904-8281-341938F2DEB0}"/>
                        <w:text/>
                      </w:sdtPr>
                      <w:sdtContent>
                        <w:r w:rsidR="00581192">
                          <w:t>2500 EA</w:t>
                        </w:r>
                      </w:sdtContent>
                    </w:sdt>
                    <w:r w:rsidR="008A2E44">
                      <w:t xml:space="preserve">  </w:t>
                    </w:r>
                    <w:sdt>
                      <w:sdtPr>
                        <w:id w:val="1124988065"/>
                        <w:dataBinding w:prefixMappings="xmlns:ns0='docgen-assistant'" w:xpath="/ns0:CustomXml[1]/ns0:Variables[1]/ns0:Variable[5]/ns0:Value[1]" w:storeItemID="{69D6EEC8-C9E1-4904-8281-341938F2DEB0}"/>
                        <w:text/>
                      </w:sdtPr>
                      <w:sdtContent>
                        <w:r w:rsidR="00581192">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3355975</wp:posOffset>
              </wp:positionV>
              <wp:extent cx="4772025" cy="539115"/>
              <wp:effectExtent l="0" t="0" r="0" b="0"/>
              <wp:wrapNone/>
              <wp:docPr id="5" name="Tekstvak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39115"/>
                      </a:xfrm>
                      <a:prstGeom prst="rect">
                        <a:avLst/>
                      </a:prstGeom>
                      <a:noFill/>
                    </wps:spPr>
                    <wps:txbx>
                      <w:txbxContent>
                        <w:tbl>
                          <w:tblPr>
                            <w:tblW w:w="0" w:type="auto"/>
                            <w:tblLayout w:type="fixed"/>
                            <w:tblLook w:val="07E0"/>
                          </w:tblPr>
                          <w:tblGrid>
                            <w:gridCol w:w="1140"/>
                            <w:gridCol w:w="5918"/>
                          </w:tblGrid>
                          <w:tr w14:paraId="69D3B516" w14:textId="77777777">
                            <w:tblPrEx>
                              <w:tblW w:w="0" w:type="auto"/>
                              <w:tblLayout w:type="fixed"/>
                              <w:tblLook w:val="07E0"/>
                            </w:tblPrEx>
                            <w:trPr>
                              <w:trHeight w:val="240"/>
                            </w:trPr>
                            <w:tc>
                              <w:tcPr>
                                <w:tcW w:w="1140" w:type="dxa"/>
                              </w:tcPr>
                              <w:p w:rsidR="00F85A35" w14:textId="77777777">
                                <w:r>
                                  <w:t>Datum</w:t>
                                </w:r>
                              </w:p>
                            </w:tc>
                            <w:tc>
                              <w:tcPr>
                                <w:tcW w:w="5918" w:type="dxa"/>
                              </w:tcPr>
                              <w:p w:rsidR="00FA4127" w14:textId="57E16ADA">
                                <w:r>
                                  <w:t>4 juli 2025</w:t>
                                </w:r>
                              </w:p>
                            </w:tc>
                          </w:tr>
                          <w:tr w14:paraId="7C579474" w14:textId="77777777">
                            <w:tblPrEx>
                              <w:tblW w:w="0" w:type="auto"/>
                              <w:tblLayout w:type="fixed"/>
                              <w:tblLook w:val="07E0"/>
                            </w:tblPrEx>
                            <w:trPr>
                              <w:trHeight w:val="240"/>
                            </w:trPr>
                            <w:tc>
                              <w:tcPr>
                                <w:tcW w:w="1140" w:type="dxa"/>
                              </w:tcPr>
                              <w:p w:rsidR="00F85A35" w14:textId="77777777">
                                <w:r>
                                  <w:t>Betreft</w:t>
                                </w:r>
                              </w:p>
                            </w:tc>
                            <w:tc>
                              <w:tcPr>
                                <w:tcW w:w="5918" w:type="dxa"/>
                              </w:tcPr>
                              <w:p w:rsidR="00F85A35" w14:textId="77777777">
                                <w:bookmarkStart w:id="0" w:name="_Hlk202526717"/>
                                <w:r>
                                  <w:t>Handhaving</w:t>
                                </w:r>
                                <w:r w:rsidR="00FA107A">
                                  <w:t xml:space="preserve"> en vrijheid van meningsuiting op online platformen</w:t>
                                </w:r>
                                <w:bookmarkEnd w:id="0"/>
                              </w:p>
                            </w:tc>
                          </w:tr>
                        </w:tbl>
                        <w:p w:rsidR="00087652" w14:textId="77777777"/>
                      </w:txbxContent>
                    </wps:txbx>
                    <wps:bodyPr vert="horz" wrap="square" lIns="0" tIns="0" rIns="0" bIns="0" anchor="t" anchorCtr="0"/>
                  </wps:wsp>
                </a:graphicData>
              </a:graphic>
              <wp14:sizeRelV relativeFrom="margin">
                <wp14:pctHeight>0</wp14:pctHeight>
              </wp14:sizeRelV>
            </wp:anchor>
          </w:drawing>
        </mc:Choice>
        <mc:Fallback>
          <w:pict>
            <v:shape id="Tekstvak 5" o:spid="_x0000_s2054" type="#_x0000_t202" style="width:375.75pt;height:42.45pt;margin-top:264.25pt;margin-left:79.45pt;mso-height-percent:0;mso-height-relative:margin;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69D3B515" w14:textId="77777777">
                      <w:tblPrEx>
                        <w:tblW w:w="0" w:type="auto"/>
                        <w:tblLayout w:type="fixed"/>
                        <w:tblLook w:val="07E0"/>
                      </w:tblPrEx>
                      <w:trPr>
                        <w:trHeight w:val="240"/>
                      </w:trPr>
                      <w:tc>
                        <w:tcPr>
                          <w:tcW w:w="1140" w:type="dxa"/>
                        </w:tcPr>
                        <w:p w:rsidR="00F85A35" w14:paraId="60FD05C3" w14:textId="77777777">
                          <w:r>
                            <w:t>Datum</w:t>
                          </w:r>
                        </w:p>
                      </w:tc>
                      <w:tc>
                        <w:tcPr>
                          <w:tcW w:w="5918" w:type="dxa"/>
                        </w:tcPr>
                        <w:p w:rsidR="00FA4127" w14:paraId="65D2FA28" w14:textId="57E16ADA">
                          <w:r>
                            <w:t>4 juli 2025</w:t>
                          </w:r>
                        </w:p>
                      </w:tc>
                    </w:tr>
                    <w:tr w14:paraId="7C579473" w14:textId="77777777">
                      <w:tblPrEx>
                        <w:tblW w:w="0" w:type="auto"/>
                        <w:tblLayout w:type="fixed"/>
                        <w:tblLook w:val="07E0"/>
                      </w:tblPrEx>
                      <w:trPr>
                        <w:trHeight w:val="240"/>
                      </w:trPr>
                      <w:tc>
                        <w:tcPr>
                          <w:tcW w:w="1140" w:type="dxa"/>
                        </w:tcPr>
                        <w:p w:rsidR="00F85A35" w14:paraId="79D6DDB0" w14:textId="77777777">
                          <w:r>
                            <w:t>Betreft</w:t>
                          </w:r>
                        </w:p>
                      </w:tc>
                      <w:tc>
                        <w:tcPr>
                          <w:tcW w:w="5918" w:type="dxa"/>
                        </w:tcPr>
                        <w:p w:rsidR="00F85A35" w14:paraId="43039AD4" w14:textId="77777777">
                          <w:bookmarkStart w:id="0" w:name="_Hlk202526717"/>
                          <w:r>
                            <w:t>Handhaving</w:t>
                          </w:r>
                          <w:r w:rsidR="00FA107A">
                            <w:t xml:space="preserve"> en vrijheid van meningsuiting op online platformen</w:t>
                          </w:r>
                          <w:bookmarkEnd w:id="0"/>
                        </w:p>
                      </w:tc>
                    </w:tr>
                  </w:tbl>
                  <w:p w:rsidR="00087652" w14:paraId="46E6ED06"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85A35" w14:textId="77777777">
                          <w:pPr>
                            <w:pStyle w:val="Referentiegegevensbold"/>
                          </w:pPr>
                          <w:r>
                            <w:t>DG Digitalisering &amp; Overheidsorganisatie</w:t>
                          </w:r>
                        </w:p>
                        <w:p w:rsidR="00F85A35" w14:textId="77777777">
                          <w:pPr>
                            <w:pStyle w:val="Referentiegegevens"/>
                          </w:pPr>
                          <w:r>
                            <w:t>DGDOO-DS</w:t>
                          </w:r>
                        </w:p>
                        <w:p w:rsidR="00F85A35" w14:textId="77777777">
                          <w:pPr>
                            <w:pStyle w:val="WitregelW1"/>
                          </w:pPr>
                        </w:p>
                        <w:p w:rsidR="00F85A35" w14:textId="77777777">
                          <w:pPr>
                            <w:pStyle w:val="Referentiegegevens"/>
                          </w:pPr>
                          <w:r>
                            <w:t>Turfmarkt 147</w:t>
                          </w:r>
                        </w:p>
                        <w:p w:rsidR="00F85A35" w14:textId="77777777">
                          <w:pPr>
                            <w:pStyle w:val="Referentiegegevens"/>
                          </w:pPr>
                          <w:r>
                            <w:t>2511 DP  Den Haag</w:t>
                          </w:r>
                        </w:p>
                        <w:p w:rsidR="00F85A35" w14:textId="77777777">
                          <w:pPr>
                            <w:pStyle w:val="WitregelW2"/>
                          </w:pPr>
                        </w:p>
                        <w:p w:rsidR="00F85A35" w14:textId="77777777">
                          <w:pPr>
                            <w:pStyle w:val="Referentiegegevensbold"/>
                          </w:pPr>
                          <w:r>
                            <w:t>Onze referentie</w:t>
                          </w:r>
                        </w:p>
                        <w:bookmarkStart w:id="1" w:name="_Hlk202526730"/>
                        <w:p w:rsidR="00B618F4" w14:textId="77777777">
                          <w:pPr>
                            <w:pStyle w:val="Referentiegegevens"/>
                          </w:pPr>
                          <w:r>
                            <w:fldChar w:fldCharType="begin"/>
                          </w:r>
                          <w:r>
                            <w:instrText xml:space="preserve"> DOCPROPERTY  "Kenmerk"  \* MERGEFORMAT </w:instrText>
                          </w:r>
                          <w:r>
                            <w:fldChar w:fldCharType="separate"/>
                          </w:r>
                          <w:r>
                            <w:t>2025-0000422746</w:t>
                          </w:r>
                          <w:r>
                            <w:fldChar w:fldCharType="end"/>
                          </w:r>
                        </w:p>
                        <w:bookmarkEnd w:id="1"/>
                        <w:p w:rsidR="00F85A35" w14:textId="77777777">
                          <w:pPr>
                            <w:pStyle w:val="WitregelW1"/>
                          </w:pPr>
                        </w:p>
                        <w:p w:rsidR="00F85A35" w14:textId="77777777">
                          <w:pPr>
                            <w:pStyle w:val="Referentiegegevensbold"/>
                          </w:pPr>
                          <w:r>
                            <w:t>Uw referentie</w:t>
                          </w:r>
                        </w:p>
                        <w:p w:rsidR="00F85A35" w14:textId="77777777">
                          <w:pPr>
                            <w:pStyle w:val="Referentiegegevens"/>
                          </w:pPr>
                          <w:r>
                            <w:t>2024Z12848</w:t>
                          </w:r>
                        </w:p>
                      </w:txbxContent>
                    </wps:txbx>
                    <wps:bodyPr vert="horz" wrap="square" lIns="0" tIns="0" rIns="0" bIns="0" anchor="t" anchorCtr="0"/>
                  </wps:wsp>
                </a:graphicData>
              </a:graphic>
            </wp:anchor>
          </w:drawing>
        </mc:Choice>
        <mc:Fallback>
          <w:pict>
            <v:shape id="Tekstvak 6" o:spid="_x0000_s2055"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85A35" w14:paraId="73E3F159" w14:textId="77777777">
                    <w:pPr>
                      <w:pStyle w:val="Referentiegegevensbold"/>
                    </w:pPr>
                    <w:r>
                      <w:t>DG Digitalisering &amp; Overheidsorganisatie</w:t>
                    </w:r>
                  </w:p>
                  <w:p w:rsidR="00F85A35" w14:paraId="0AAEE3FD" w14:textId="77777777">
                    <w:pPr>
                      <w:pStyle w:val="Referentiegegevens"/>
                    </w:pPr>
                    <w:r>
                      <w:t>DGDOO-DS</w:t>
                    </w:r>
                  </w:p>
                  <w:p w:rsidR="00F85A35" w14:paraId="726D0FBD" w14:textId="77777777">
                    <w:pPr>
                      <w:pStyle w:val="WitregelW1"/>
                    </w:pPr>
                  </w:p>
                  <w:p w:rsidR="00F85A35" w14:paraId="5D01B3A7" w14:textId="77777777">
                    <w:pPr>
                      <w:pStyle w:val="Referentiegegevens"/>
                    </w:pPr>
                    <w:r>
                      <w:t>Turfmarkt 147</w:t>
                    </w:r>
                  </w:p>
                  <w:p w:rsidR="00F85A35" w14:paraId="25560063" w14:textId="77777777">
                    <w:pPr>
                      <w:pStyle w:val="Referentiegegevens"/>
                    </w:pPr>
                    <w:r>
                      <w:t>2511 DP  Den Haag</w:t>
                    </w:r>
                  </w:p>
                  <w:p w:rsidR="00F85A35" w14:paraId="6F598CF6" w14:textId="77777777">
                    <w:pPr>
                      <w:pStyle w:val="WitregelW2"/>
                    </w:pPr>
                  </w:p>
                  <w:p w:rsidR="00F85A35" w14:paraId="59819FA5" w14:textId="77777777">
                    <w:pPr>
                      <w:pStyle w:val="Referentiegegevensbold"/>
                    </w:pPr>
                    <w:r>
                      <w:t>Onze referentie</w:t>
                    </w:r>
                  </w:p>
                  <w:bookmarkStart w:id="1" w:name="_Hlk202526730"/>
                  <w:p w:rsidR="00B618F4" w14:paraId="5CD65488" w14:textId="77777777">
                    <w:pPr>
                      <w:pStyle w:val="Referentiegegevens"/>
                    </w:pPr>
                    <w:r>
                      <w:fldChar w:fldCharType="begin"/>
                    </w:r>
                    <w:r>
                      <w:instrText xml:space="preserve"> DOCPROPERTY  "Kenmerk"  \* MERGEFORMAT </w:instrText>
                    </w:r>
                    <w:r>
                      <w:fldChar w:fldCharType="separate"/>
                    </w:r>
                    <w:r>
                      <w:t>2025-0000422746</w:t>
                    </w:r>
                    <w:r>
                      <w:fldChar w:fldCharType="end"/>
                    </w:r>
                  </w:p>
                  <w:bookmarkEnd w:id="1"/>
                  <w:p w:rsidR="00F85A35" w14:paraId="2575CC36" w14:textId="77777777">
                    <w:pPr>
                      <w:pStyle w:val="WitregelW1"/>
                    </w:pPr>
                  </w:p>
                  <w:p w:rsidR="00F85A35" w14:paraId="3327EF30" w14:textId="77777777">
                    <w:pPr>
                      <w:pStyle w:val="Referentiegegevensbold"/>
                    </w:pPr>
                    <w:r>
                      <w:t>Uw referentie</w:t>
                    </w:r>
                  </w:p>
                  <w:p w:rsidR="00F85A35" w14:paraId="1E0FC76D" w14:textId="77777777">
                    <w:pPr>
                      <w:pStyle w:val="Referentiegegevens"/>
                    </w:pPr>
                    <w:r>
                      <w:t>2024Z12848</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Tekstvak 7"/>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B618F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Tekstvak 7" o:spid="_x0000_s2056"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618F4" w14:paraId="7F7954F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Tekstvak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618F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Tekstvak 8" o:spid="_x0000_s2057"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B618F4" w14:paraId="3C76C03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Tekstvak 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85A35" w14:textId="77777777">
                          <w:pPr>
                            <w:spacing w:line="240" w:lineRule="auto"/>
                          </w:pPr>
                          <w:r>
                            <w:rPr>
                              <w:noProof/>
                            </w:rPr>
                            <w:drawing>
                              <wp:inline distT="0" distB="0" distL="0" distR="0">
                                <wp:extent cx="467995" cy="1583865"/>
                                <wp:effectExtent l="0" t="0" r="0" b="0"/>
                                <wp:docPr id="116716852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6716852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Tekstvak 9" o:spid="_x0000_s2058"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F85A35" w14:paraId="596CC7D4" w14:textId="77777777">
                    <w:pPr>
                      <w:spacing w:line="240" w:lineRule="auto"/>
                    </w:pPr>
                    <w:drawing>
                      <wp:inline distT="0" distB="0" distL="0" distR="0">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Tekstvak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85A35" w14:textId="77777777">
                          <w:pPr>
                            <w:spacing w:line="240" w:lineRule="auto"/>
                          </w:pPr>
                          <w:r>
                            <w:rPr>
                              <w:noProof/>
                            </w:rPr>
                            <w:drawing>
                              <wp:inline distT="0" distB="0" distL="0" distR="0">
                                <wp:extent cx="2339975" cy="1582834"/>
                                <wp:effectExtent l="0" t="0" r="0" b="0"/>
                                <wp:docPr id="1256582150" name="Afbeelding 12"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5658215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Tekstvak 11" o:spid="_x0000_s2059"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85A35" w14:paraId="1C7FD650" w14:textId="77777777">
                    <w:pPr>
                      <w:spacing w:line="240" w:lineRule="auto"/>
                    </w:pPr>
                    <w:drawing>
                      <wp:inline distT="0" distB="0" distL="0" distR="0">
                        <wp:extent cx="2339975" cy="1582834"/>
                        <wp:effectExtent l="0" t="0" r="0" b="0"/>
                        <wp:docPr id="12" name="Afbeelding 12"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Tekstvak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F85A35"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Tekstvak 13" o:spid="_x0000_s2060"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85A35" w14:paraId="0B98D326"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1FEA3ED"/>
    <w:multiLevelType w:val="multilevel"/>
    <w:tmpl w:val="BB446B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F324D1F9"/>
    <w:multiLevelType w:val="multilevel"/>
    <w:tmpl w:val="643656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3139F04"/>
    <w:multiLevelType w:val="multilevel"/>
    <w:tmpl w:val="0265E18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6A3FBD3"/>
    <w:multiLevelType w:val="multilevel"/>
    <w:tmpl w:val="0909EA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2A2206EE"/>
    <w:multiLevelType w:val="multilevel"/>
    <w:tmpl w:val="4CCD21D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55362456">
    <w:abstractNumId w:val="2"/>
  </w:num>
  <w:num w:numId="2" w16cid:durableId="1640113523">
    <w:abstractNumId w:val="0"/>
  </w:num>
  <w:num w:numId="3" w16cid:durableId="1044599378">
    <w:abstractNumId w:val="4"/>
  </w:num>
  <w:num w:numId="4" w16cid:durableId="1419520880">
    <w:abstractNumId w:val="3"/>
  </w:num>
  <w:num w:numId="5" w16cid:durableId="90788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7A"/>
    <w:rsid w:val="0000514A"/>
    <w:rsid w:val="00007312"/>
    <w:rsid w:val="00007811"/>
    <w:rsid w:val="00022CA7"/>
    <w:rsid w:val="00031E89"/>
    <w:rsid w:val="00033765"/>
    <w:rsid w:val="00044B21"/>
    <w:rsid w:val="00047336"/>
    <w:rsid w:val="000760C8"/>
    <w:rsid w:val="00087652"/>
    <w:rsid w:val="000915A3"/>
    <w:rsid w:val="0009371A"/>
    <w:rsid w:val="000D42E8"/>
    <w:rsid w:val="000D510F"/>
    <w:rsid w:val="000E3764"/>
    <w:rsid w:val="001274A6"/>
    <w:rsid w:val="00142D99"/>
    <w:rsid w:val="00152B44"/>
    <w:rsid w:val="00161E3F"/>
    <w:rsid w:val="001930D6"/>
    <w:rsid w:val="00193361"/>
    <w:rsid w:val="001A3047"/>
    <w:rsid w:val="001A7983"/>
    <w:rsid w:val="001C6BAE"/>
    <w:rsid w:val="001E3785"/>
    <w:rsid w:val="001E4251"/>
    <w:rsid w:val="00242B66"/>
    <w:rsid w:val="00244944"/>
    <w:rsid w:val="00262BBC"/>
    <w:rsid w:val="002717E0"/>
    <w:rsid w:val="0028242C"/>
    <w:rsid w:val="00283811"/>
    <w:rsid w:val="00285770"/>
    <w:rsid w:val="00291F20"/>
    <w:rsid w:val="00297A31"/>
    <w:rsid w:val="002A3C6D"/>
    <w:rsid w:val="002A4718"/>
    <w:rsid w:val="002B501E"/>
    <w:rsid w:val="002C4AD8"/>
    <w:rsid w:val="002E683F"/>
    <w:rsid w:val="002F1D76"/>
    <w:rsid w:val="00307001"/>
    <w:rsid w:val="003100F0"/>
    <w:rsid w:val="00314C3F"/>
    <w:rsid w:val="003212C3"/>
    <w:rsid w:val="00322ACD"/>
    <w:rsid w:val="00322D2E"/>
    <w:rsid w:val="0034226E"/>
    <w:rsid w:val="00346938"/>
    <w:rsid w:val="003653CD"/>
    <w:rsid w:val="00394DD9"/>
    <w:rsid w:val="003A338C"/>
    <w:rsid w:val="003B0271"/>
    <w:rsid w:val="003E46BA"/>
    <w:rsid w:val="003E5F06"/>
    <w:rsid w:val="003F4C34"/>
    <w:rsid w:val="00401A65"/>
    <w:rsid w:val="00402A1F"/>
    <w:rsid w:val="004152EE"/>
    <w:rsid w:val="00424D73"/>
    <w:rsid w:val="00477DB4"/>
    <w:rsid w:val="0048306B"/>
    <w:rsid w:val="004912DF"/>
    <w:rsid w:val="00491861"/>
    <w:rsid w:val="004B525C"/>
    <w:rsid w:val="004B73BF"/>
    <w:rsid w:val="004D395F"/>
    <w:rsid w:val="004E1975"/>
    <w:rsid w:val="004E6BBF"/>
    <w:rsid w:val="00500889"/>
    <w:rsid w:val="00500B6B"/>
    <w:rsid w:val="00516748"/>
    <w:rsid w:val="005273C2"/>
    <w:rsid w:val="00547402"/>
    <w:rsid w:val="005522E7"/>
    <w:rsid w:val="005660D4"/>
    <w:rsid w:val="00581192"/>
    <w:rsid w:val="005A0072"/>
    <w:rsid w:val="005A3F32"/>
    <w:rsid w:val="005A48B2"/>
    <w:rsid w:val="005B5C4A"/>
    <w:rsid w:val="005E3827"/>
    <w:rsid w:val="005E686B"/>
    <w:rsid w:val="005F1A89"/>
    <w:rsid w:val="005F52A0"/>
    <w:rsid w:val="00600865"/>
    <w:rsid w:val="00601608"/>
    <w:rsid w:val="00610708"/>
    <w:rsid w:val="006201FA"/>
    <w:rsid w:val="0062352F"/>
    <w:rsid w:val="006312ED"/>
    <w:rsid w:val="006317A3"/>
    <w:rsid w:val="00634F8B"/>
    <w:rsid w:val="00635D1C"/>
    <w:rsid w:val="0063768C"/>
    <w:rsid w:val="00674E4D"/>
    <w:rsid w:val="00683220"/>
    <w:rsid w:val="00697826"/>
    <w:rsid w:val="006A25CD"/>
    <w:rsid w:val="006A3857"/>
    <w:rsid w:val="006B5E32"/>
    <w:rsid w:val="006B699A"/>
    <w:rsid w:val="006D3D7A"/>
    <w:rsid w:val="006E26D3"/>
    <w:rsid w:val="006E3E69"/>
    <w:rsid w:val="006F01E4"/>
    <w:rsid w:val="007142DF"/>
    <w:rsid w:val="00716BC7"/>
    <w:rsid w:val="007265F8"/>
    <w:rsid w:val="00744282"/>
    <w:rsid w:val="0078007E"/>
    <w:rsid w:val="00794ADC"/>
    <w:rsid w:val="007B2E93"/>
    <w:rsid w:val="007B71BC"/>
    <w:rsid w:val="007D3260"/>
    <w:rsid w:val="007D6629"/>
    <w:rsid w:val="007D7B78"/>
    <w:rsid w:val="007F44A8"/>
    <w:rsid w:val="00801432"/>
    <w:rsid w:val="00822E94"/>
    <w:rsid w:val="00823FB0"/>
    <w:rsid w:val="00840ABB"/>
    <w:rsid w:val="00840F10"/>
    <w:rsid w:val="008452F7"/>
    <w:rsid w:val="00860931"/>
    <w:rsid w:val="00883EEA"/>
    <w:rsid w:val="00885003"/>
    <w:rsid w:val="008935D7"/>
    <w:rsid w:val="00895DBB"/>
    <w:rsid w:val="00896F71"/>
    <w:rsid w:val="008A2E44"/>
    <w:rsid w:val="008A6731"/>
    <w:rsid w:val="008C4730"/>
    <w:rsid w:val="008D14F1"/>
    <w:rsid w:val="008E0329"/>
    <w:rsid w:val="008F2408"/>
    <w:rsid w:val="008F77EF"/>
    <w:rsid w:val="00937772"/>
    <w:rsid w:val="00957577"/>
    <w:rsid w:val="00957ED9"/>
    <w:rsid w:val="009728FB"/>
    <w:rsid w:val="009867AC"/>
    <w:rsid w:val="009A29A9"/>
    <w:rsid w:val="009A7C20"/>
    <w:rsid w:val="009C5A30"/>
    <w:rsid w:val="009C706D"/>
    <w:rsid w:val="009D2F75"/>
    <w:rsid w:val="009D60E0"/>
    <w:rsid w:val="009F425B"/>
    <w:rsid w:val="009F4F25"/>
    <w:rsid w:val="00A01926"/>
    <w:rsid w:val="00A15841"/>
    <w:rsid w:val="00A42436"/>
    <w:rsid w:val="00A54E4E"/>
    <w:rsid w:val="00A65024"/>
    <w:rsid w:val="00A91B26"/>
    <w:rsid w:val="00AA5E5F"/>
    <w:rsid w:val="00AB0051"/>
    <w:rsid w:val="00AB03C0"/>
    <w:rsid w:val="00AC6BD9"/>
    <w:rsid w:val="00AE219C"/>
    <w:rsid w:val="00AF0217"/>
    <w:rsid w:val="00AF0D9C"/>
    <w:rsid w:val="00B15AF0"/>
    <w:rsid w:val="00B21004"/>
    <w:rsid w:val="00B309F4"/>
    <w:rsid w:val="00B32AEB"/>
    <w:rsid w:val="00B509A3"/>
    <w:rsid w:val="00B53FC8"/>
    <w:rsid w:val="00B61566"/>
    <w:rsid w:val="00B616D7"/>
    <w:rsid w:val="00B618F4"/>
    <w:rsid w:val="00B6462B"/>
    <w:rsid w:val="00B64F64"/>
    <w:rsid w:val="00B6537D"/>
    <w:rsid w:val="00B805E4"/>
    <w:rsid w:val="00B810E3"/>
    <w:rsid w:val="00B95D82"/>
    <w:rsid w:val="00BA0161"/>
    <w:rsid w:val="00BB775F"/>
    <w:rsid w:val="00BC4585"/>
    <w:rsid w:val="00BD1D8D"/>
    <w:rsid w:val="00BD7E6A"/>
    <w:rsid w:val="00BE6286"/>
    <w:rsid w:val="00BE6AAB"/>
    <w:rsid w:val="00BE73B9"/>
    <w:rsid w:val="00BF301F"/>
    <w:rsid w:val="00BF3714"/>
    <w:rsid w:val="00BF7F2C"/>
    <w:rsid w:val="00C023AD"/>
    <w:rsid w:val="00C45A40"/>
    <w:rsid w:val="00C62B22"/>
    <w:rsid w:val="00C6590B"/>
    <w:rsid w:val="00C74D84"/>
    <w:rsid w:val="00C851EB"/>
    <w:rsid w:val="00C8558F"/>
    <w:rsid w:val="00C941B4"/>
    <w:rsid w:val="00C96C98"/>
    <w:rsid w:val="00CC3595"/>
    <w:rsid w:val="00CC40BE"/>
    <w:rsid w:val="00CC71DB"/>
    <w:rsid w:val="00CE7CAF"/>
    <w:rsid w:val="00CF289E"/>
    <w:rsid w:val="00D4192E"/>
    <w:rsid w:val="00D633C1"/>
    <w:rsid w:val="00D67795"/>
    <w:rsid w:val="00D71D73"/>
    <w:rsid w:val="00D74F7C"/>
    <w:rsid w:val="00D920F9"/>
    <w:rsid w:val="00DB480F"/>
    <w:rsid w:val="00DC6F1D"/>
    <w:rsid w:val="00DD2046"/>
    <w:rsid w:val="00E27D5F"/>
    <w:rsid w:val="00E34504"/>
    <w:rsid w:val="00E50C41"/>
    <w:rsid w:val="00E538DB"/>
    <w:rsid w:val="00E57993"/>
    <w:rsid w:val="00E7419D"/>
    <w:rsid w:val="00E86B25"/>
    <w:rsid w:val="00E93359"/>
    <w:rsid w:val="00F11B83"/>
    <w:rsid w:val="00F31FA2"/>
    <w:rsid w:val="00F35166"/>
    <w:rsid w:val="00F40F34"/>
    <w:rsid w:val="00F456B7"/>
    <w:rsid w:val="00F56B51"/>
    <w:rsid w:val="00F64B57"/>
    <w:rsid w:val="00F77E5E"/>
    <w:rsid w:val="00F85A35"/>
    <w:rsid w:val="00F86624"/>
    <w:rsid w:val="00F87D91"/>
    <w:rsid w:val="00F91558"/>
    <w:rsid w:val="00F92E89"/>
    <w:rsid w:val="00FA107A"/>
    <w:rsid w:val="00FA4127"/>
    <w:rsid w:val="00FD4F19"/>
    <w:rsid w:val="00FF5AE6"/>
    <w:rsid w:val="16053AE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1EE64EF"/>
  <w15:docId w15:val="{C5CAA3C5-D5B2-40B3-BE93-0BA4D8A4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A107A"/>
    <w:pPr>
      <w:tabs>
        <w:tab w:val="center" w:pos="4536"/>
        <w:tab w:val="right" w:pos="9072"/>
      </w:tabs>
      <w:spacing w:line="240" w:lineRule="auto"/>
    </w:pPr>
  </w:style>
  <w:style w:type="character" w:customStyle="1" w:styleId="KoptekstChar">
    <w:name w:val="Koptekst Char"/>
    <w:basedOn w:val="DefaultParagraphFont"/>
    <w:link w:val="Header"/>
    <w:uiPriority w:val="99"/>
    <w:rsid w:val="00FA107A"/>
    <w:rPr>
      <w:rFonts w:ascii="Verdana" w:hAnsi="Verdana"/>
      <w:color w:val="000000"/>
      <w:sz w:val="18"/>
      <w:szCs w:val="18"/>
    </w:rPr>
  </w:style>
  <w:style w:type="paragraph" w:styleId="Footer">
    <w:name w:val="footer"/>
    <w:basedOn w:val="Normal"/>
    <w:link w:val="VoettekstChar"/>
    <w:uiPriority w:val="99"/>
    <w:unhideWhenUsed/>
    <w:rsid w:val="00FA107A"/>
    <w:pPr>
      <w:tabs>
        <w:tab w:val="center" w:pos="4536"/>
        <w:tab w:val="right" w:pos="9072"/>
      </w:tabs>
      <w:spacing w:line="240" w:lineRule="auto"/>
    </w:pPr>
  </w:style>
  <w:style w:type="character" w:customStyle="1" w:styleId="VoettekstChar">
    <w:name w:val="Voettekst Char"/>
    <w:basedOn w:val="DefaultParagraphFont"/>
    <w:link w:val="Footer"/>
    <w:uiPriority w:val="99"/>
    <w:rsid w:val="00FA107A"/>
    <w:rPr>
      <w:rFonts w:ascii="Verdana" w:hAnsi="Verdana"/>
      <w:color w:val="000000"/>
      <w:sz w:val="18"/>
      <w:szCs w:val="18"/>
    </w:rPr>
  </w:style>
  <w:style w:type="character" w:styleId="CommentReference">
    <w:name w:val="annotation reference"/>
    <w:basedOn w:val="DefaultParagraphFont"/>
    <w:uiPriority w:val="99"/>
    <w:semiHidden/>
    <w:unhideWhenUsed/>
    <w:rsid w:val="00FA107A"/>
    <w:rPr>
      <w:sz w:val="16"/>
      <w:szCs w:val="16"/>
    </w:rPr>
  </w:style>
  <w:style w:type="paragraph" w:styleId="CommentText">
    <w:name w:val="annotation text"/>
    <w:basedOn w:val="Normal"/>
    <w:link w:val="TekstopmerkingChar"/>
    <w:uiPriority w:val="99"/>
    <w:unhideWhenUsed/>
    <w:rsid w:val="00FA107A"/>
    <w:pPr>
      <w:spacing w:line="240" w:lineRule="auto"/>
    </w:pPr>
    <w:rPr>
      <w:sz w:val="20"/>
      <w:szCs w:val="20"/>
    </w:rPr>
  </w:style>
  <w:style w:type="character" w:customStyle="1" w:styleId="TekstopmerkingChar">
    <w:name w:val="Tekst opmerking Char"/>
    <w:basedOn w:val="DefaultParagraphFont"/>
    <w:link w:val="CommentText"/>
    <w:uiPriority w:val="99"/>
    <w:rsid w:val="00FA107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A107A"/>
    <w:rPr>
      <w:b/>
      <w:bCs/>
    </w:rPr>
  </w:style>
  <w:style w:type="character" w:customStyle="1" w:styleId="OnderwerpvanopmerkingChar">
    <w:name w:val="Onderwerp van opmerking Char"/>
    <w:basedOn w:val="TekstopmerkingChar"/>
    <w:link w:val="CommentSubject"/>
    <w:uiPriority w:val="99"/>
    <w:semiHidden/>
    <w:rsid w:val="00FA107A"/>
    <w:rPr>
      <w:rFonts w:ascii="Verdana" w:hAnsi="Verdana"/>
      <w:b/>
      <w:bCs/>
      <w:color w:val="000000"/>
    </w:rPr>
  </w:style>
  <w:style w:type="paragraph" w:styleId="FootnoteText">
    <w:name w:val="footnote text"/>
    <w:basedOn w:val="Normal"/>
    <w:link w:val="VoetnoottekstChar"/>
    <w:uiPriority w:val="99"/>
    <w:unhideWhenUsed/>
    <w:rsid w:val="004E6BBF"/>
    <w:pPr>
      <w:spacing w:line="240" w:lineRule="auto"/>
    </w:pPr>
    <w:rPr>
      <w:sz w:val="20"/>
      <w:szCs w:val="20"/>
    </w:rPr>
  </w:style>
  <w:style w:type="character" w:customStyle="1" w:styleId="VoetnoottekstChar">
    <w:name w:val="Voetnoottekst Char"/>
    <w:basedOn w:val="DefaultParagraphFont"/>
    <w:link w:val="FootnoteText"/>
    <w:uiPriority w:val="99"/>
    <w:rsid w:val="004E6BBF"/>
    <w:rPr>
      <w:rFonts w:ascii="Verdana" w:hAnsi="Verdana"/>
      <w:color w:val="000000"/>
    </w:rPr>
  </w:style>
  <w:style w:type="character" w:styleId="FootnoteReference">
    <w:name w:val="footnote reference"/>
    <w:basedOn w:val="DefaultParagraphFont"/>
    <w:uiPriority w:val="99"/>
    <w:semiHidden/>
    <w:unhideWhenUsed/>
    <w:rsid w:val="004E6BBF"/>
    <w:rPr>
      <w:vertAlign w:val="superscript"/>
    </w:rPr>
  </w:style>
  <w:style w:type="character" w:styleId="UnresolvedMention">
    <w:name w:val="Unresolved Mention"/>
    <w:basedOn w:val="DefaultParagraphFont"/>
    <w:uiPriority w:val="99"/>
    <w:semiHidden/>
    <w:unhideWhenUsed/>
    <w:rsid w:val="004E6BBF"/>
    <w:rPr>
      <w:color w:val="605E5C"/>
      <w:shd w:val="clear" w:color="auto" w:fill="E1DFDD"/>
    </w:rPr>
  </w:style>
  <w:style w:type="character" w:styleId="FollowedHyperlink">
    <w:name w:val="FollowedHyperlink"/>
    <w:basedOn w:val="DefaultParagraphFont"/>
    <w:uiPriority w:val="99"/>
    <w:semiHidden/>
    <w:unhideWhenUsed/>
    <w:rsid w:val="00DB480F"/>
    <w:rPr>
      <w:color w:val="954F72" w:themeColor="followedHyperlink"/>
      <w:u w:val="single"/>
    </w:rPr>
  </w:style>
  <w:style w:type="paragraph" w:styleId="Revision">
    <w:name w:val="Revision"/>
    <w:hidden/>
    <w:uiPriority w:val="99"/>
    <w:semiHidden/>
    <w:rsid w:val="0009371A"/>
    <w:pPr>
      <w:autoSpaceDN/>
      <w:textAlignment w:val="auto"/>
    </w:pPr>
    <w:rPr>
      <w:rFonts w:ascii="Verdana" w:hAnsi="Verdana"/>
      <w:color w:val="000000"/>
      <w:sz w:val="18"/>
      <w:szCs w:val="18"/>
    </w:rPr>
  </w:style>
  <w:style w:type="paragraph" w:customStyle="1" w:styleId="broodtekst">
    <w:name w:val="broodtekst"/>
    <w:basedOn w:val="Normal"/>
    <w:qFormat/>
    <w:rsid w:val="00AE219C"/>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footer" Target="foot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ribunal-de-paris.justice.fr/sites/default/files/2024-08/2024-08-26%20-%20CP%20TELEGRAM%20.pdf" TargetMode="External" /><Relationship Id="rId10" Type="http://schemas.openxmlformats.org/officeDocument/2006/relationships/hyperlink" Target="https://digital-strategy.ec.europa.eu/en/news/commission-addresses-additional-investigatory-measures-x-ongoing-proceedings-under-digital-services" TargetMode="External" /><Relationship Id="rId2" Type="http://schemas.openxmlformats.org/officeDocument/2006/relationships/hyperlink" Target="https://www.om.nl/actueel/nieuws/2024/12/06/om-eist-4-jaar-cel-tegen-man-uit-zoetermeer-voor-delen-gewelddadige-kinderporno" TargetMode="External" /><Relationship Id="rId3" Type="http://schemas.openxmlformats.org/officeDocument/2006/relationships/hyperlink" Target="https://www.parool.nl/topverhalen/drugs-vuurwapens-illegaal-vuurwerk-en-bangalijsten-maar-als-de-politie-telegram-belt-is-er-geen-gehoor~b7132f94/" TargetMode="External" /><Relationship Id="rId4" Type="http://schemas.openxmlformats.org/officeDocument/2006/relationships/hyperlink" Target="https://www.rijksoverheid.nl/documenten/kamerstukken/2023/07/07/tk-bestuursrechtelijke-aanpak-online-kinderpornografisch-materiaal" TargetMode="External" /><Relationship Id="rId5" Type="http://schemas.openxmlformats.org/officeDocument/2006/relationships/hyperlink" Target="https://transparency.meta.com/nl-nl/policies/community-standards/misinformation/" TargetMode="External" /><Relationship Id="rId6" Type="http://schemas.openxmlformats.org/officeDocument/2006/relationships/hyperlink" Target="https://eur-lex.europa.eu/legal-content/NL/TXT/HTML/?uri=CELEX:32022R2065" TargetMode="External" /><Relationship Id="rId7" Type="http://schemas.openxmlformats.org/officeDocument/2006/relationships/hyperlink" Target="https://digital-strategy.ec.europa.eu/en/news/commission-opens-formal-proceedings-against-facebook-and-instagram-under-digital-services-act" TargetMode="External" /><Relationship Id="rId8" Type="http://schemas.openxmlformats.org/officeDocument/2006/relationships/hyperlink" Target="https://ec.europa.eu/commission/presscorner/detail/nl/ip_25_1551" TargetMode="External" /><Relationship Id="rId9" Type="http://schemas.openxmlformats.org/officeDocument/2006/relationships/hyperlink" Target="https://digital-strategy.ec.europa.eu/en/news/commission-sends-preliminary-findings-x-breach-digital-services-act"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2198</ap:Words>
  <ap:Characters>12093</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Brief aan Parlement - Regulering en censuur op sociale media</vt:lpstr>
    </vt:vector>
  </ap:TitlesOfParts>
  <ap:LinksUpToDate>false</ap:LinksUpToDate>
  <ap:CharactersWithSpaces>14263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2025-07-01T05:58:00.0000000Z</dcterms:created>
  <dcterms:modified xsi:type="dcterms:W3CDTF">2025-07-04T11:05:00.0000000Z</dcterms:modified>
  <dc:creator/>
  <lastModifiedBy/>
  <dc:description>------------------------</dc:description>
  <dc:subject/>
  <keywords/>
  <version/>
  <category/>
</coreProperties>
</file>