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2025Z14251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juli 2025)</w:t>
        <w:br/>
      </w:r>
    </w:p>
    <w:p>
      <w:r>
        <w:t xml:space="preserve">Vragen van het lid Bromet (GroenLinks-PvdA) aan de minister-president en de minister van Landbouw, Visserij, Voedselzekerheid en Natuur over het overleg met maatschappelijke partijen in het kader van stikstof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Hoe is het overleg met maatschappelijke partijen in het kader van stikstof deze week verlopen? 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Heeft bij dit overleg een maatregelenpakket op tafel gelegen? Zo ja, uit welke maatregelen bestaat dit pakket?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Deelt u de mening dat het voor een geloofwaardig stikstofpakket voor Prinsjesdag, en voor een gedegen controle van dit pakket door de Kamer, van belang is dat verscheidene maatregelopties zijn doorgerekend? 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Zijn de maatregelen op de groslijst van de ministeriële commissie economie en natuurherstel (MCE&amp;N) doorgerekend? Zo ja, kan deze doorrekening / kunnen deze doorrekeningen per ommegaande met de Kamer worden gedeeld? Zo nee, waarom niet?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Welke zwaarwegende belangen verzetten zich daartegen als de groslijst is doorgerekend maar deze doorrekening niet met de Kamer kan worden gedeeld?</w:t>
      </w:r>
      <w:r>
        <w:br/>
      </w:r>
    </w:p>
    <w:p>
      <w:pPr>
        <w:pStyle w:val="ListParagraph"/>
        <w:numPr>
          <w:ilvl w:val="0"/>
          <w:numId w:val="100482620"/>
        </w:numPr>
        <w:ind w:left="360"/>
      </w:pPr>
      <w:r>
        <w:t xml:space="preserve">Kunt u deze vragen één voor één en uiterlijk 4 juli 2025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6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600">
    <w:abstractNumId w:val="1004826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