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0B1D" w:rsidR="008C0B1D" w:rsidP="008C0B1D" w:rsidRDefault="00E930A9" w14:paraId="654F82F3" w14:textId="0A53411B">
      <w:r w:rsidRPr="00E930A9">
        <w:t>31765</w:t>
      </w:r>
      <w:r w:rsidR="008C0B1D">
        <w:tab/>
      </w:r>
      <w:r w:rsidR="008C0B1D">
        <w:tab/>
      </w:r>
      <w:r w:rsidR="008C0B1D">
        <w:tab/>
      </w:r>
      <w:r w:rsidRPr="008C0B1D" w:rsidR="008C0B1D">
        <w:t>Kwaliteit van zorg</w:t>
      </w:r>
    </w:p>
    <w:p w:rsidRPr="008C0B1D" w:rsidR="008C0B1D" w:rsidP="008C0B1D" w:rsidRDefault="008C0B1D" w14:paraId="6786ECB6" w14:textId="4108A38D">
      <w:pPr>
        <w:ind w:left="2124" w:hanging="2124"/>
      </w:pPr>
      <w:r>
        <w:t xml:space="preserve">Nr. </w:t>
      </w:r>
      <w:r w:rsidRPr="00E930A9">
        <w:t>936</w:t>
      </w:r>
      <w:r>
        <w:tab/>
      </w:r>
      <w:r w:rsidRPr="008C0B1D">
        <w:t>Brief van de</w:t>
      </w:r>
      <w:r>
        <w:t xml:space="preserve"> </w:t>
      </w:r>
      <w:r w:rsidRPr="008C0B1D">
        <w:t>minister van Volksgezondheid, Welzijn en Sport</w:t>
      </w:r>
    </w:p>
    <w:p w:rsidR="008C0B1D" w:rsidP="00BD63D3" w:rsidRDefault="008C0B1D" w14:paraId="1AEEB2F2" w14:textId="641A9B34">
      <w:pPr>
        <w:spacing w:line="240" w:lineRule="auto"/>
      </w:pPr>
      <w:r w:rsidRPr="008C0B1D">
        <w:t>Aan de Voorzitter van de Tweede Kamer der Staten-Generaal</w:t>
      </w:r>
    </w:p>
    <w:p w:rsidR="008C0B1D" w:rsidP="00BD63D3" w:rsidRDefault="008C0B1D" w14:paraId="644D5EDD" w14:textId="6C8EE567">
      <w:pPr>
        <w:spacing w:line="240" w:lineRule="auto"/>
      </w:pPr>
      <w:r>
        <w:t>Den Haag, 2 juli 2025</w:t>
      </w:r>
    </w:p>
    <w:p w:rsidR="00E930A9" w:rsidP="00BD63D3" w:rsidRDefault="00E930A9" w14:paraId="402DF1B1" w14:textId="77777777">
      <w:pPr>
        <w:spacing w:line="240" w:lineRule="auto"/>
      </w:pPr>
    </w:p>
    <w:p w:rsidR="00BD63D3" w:rsidP="00BD63D3" w:rsidRDefault="00BD63D3" w14:paraId="2A5408D2" w14:textId="2C6BD743">
      <w:pPr>
        <w:spacing w:line="240" w:lineRule="auto"/>
        <w:rPr>
          <w:szCs w:val="20"/>
        </w:rPr>
      </w:pPr>
      <w:r w:rsidRPr="00FD3C14">
        <w:t xml:space="preserve">Vrouwen leven gemiddeld langer dan mannen, maar zij brengen minder jaren in goede gezondheid door. </w:t>
      </w:r>
      <w:r w:rsidRPr="005476A5">
        <w:rPr>
          <w:szCs w:val="18"/>
        </w:rPr>
        <w:t>In de (jaarlijkse) emancipatiemonitor van het CBS wordt ingegaan op dit verschil</w:t>
      </w:r>
      <w:r>
        <w:rPr>
          <w:vertAlign w:val="superscript"/>
        </w:rPr>
        <w:footnoteReference w:id="1"/>
      </w:r>
      <w:r w:rsidRPr="005476A5">
        <w:rPr>
          <w:szCs w:val="18"/>
        </w:rPr>
        <w:t>.</w:t>
      </w:r>
      <w:r>
        <w:rPr>
          <w:szCs w:val="18"/>
        </w:rPr>
        <w:t xml:space="preserve"> Uit onderzoek, uitgevoerd door een brede werkgroep, </w:t>
      </w:r>
      <w:r>
        <w:t xml:space="preserve">blijkt dat </w:t>
      </w:r>
      <w:r w:rsidRPr="00FD3C14">
        <w:t xml:space="preserve">vrouwspecifieke aandoeningen grote maatschappelijke impact hebben en dat er hiaten zijn in kennis en implementatie. </w:t>
      </w:r>
      <w:r>
        <w:rPr>
          <w:szCs w:val="20"/>
        </w:rPr>
        <w:t>G</w:t>
      </w:r>
      <w:r w:rsidRPr="004150F7">
        <w:rPr>
          <w:szCs w:val="20"/>
        </w:rPr>
        <w:t>ezien de impact die deze aandoeningen kunnen hebben op het leven van vrouwen</w:t>
      </w:r>
      <w:r>
        <w:rPr>
          <w:szCs w:val="20"/>
        </w:rPr>
        <w:t xml:space="preserve">, en daardoor op de hele samenleving, wil </w:t>
      </w:r>
      <w:r>
        <w:rPr>
          <w:rFonts w:eastAsia="Times New Roman" w:cs="Times New Roman"/>
          <w:kern w:val="0"/>
          <w:szCs w:val="18"/>
          <w:lang w:eastAsia="nl-NL"/>
        </w:rPr>
        <w:t>h</w:t>
      </w:r>
      <w:r w:rsidRPr="004150F7">
        <w:rPr>
          <w:rFonts w:eastAsia="Times New Roman" w:cs="Times New Roman"/>
          <w:kern w:val="0"/>
          <w:szCs w:val="18"/>
          <w:lang w:eastAsia="nl-NL"/>
        </w:rPr>
        <w:t>et kabinet hier verandering in brengen</w:t>
      </w:r>
      <w:r>
        <w:rPr>
          <w:rFonts w:eastAsia="Times New Roman" w:cs="Times New Roman"/>
          <w:kern w:val="0"/>
          <w:szCs w:val="18"/>
          <w:lang w:eastAsia="nl-NL"/>
        </w:rPr>
        <w:t>.</w:t>
      </w:r>
    </w:p>
    <w:p w:rsidR="00BD63D3" w:rsidP="00BD63D3" w:rsidRDefault="00BD63D3" w14:paraId="74E32C43" w14:textId="77777777">
      <w:pPr>
        <w:spacing w:line="240" w:lineRule="auto"/>
      </w:pPr>
      <w:r>
        <w:t xml:space="preserve"> </w:t>
      </w:r>
    </w:p>
    <w:p w:rsidR="00BD63D3" w:rsidP="00BD63D3" w:rsidRDefault="00BD63D3" w14:paraId="4A260D96" w14:textId="77777777">
      <w:pPr>
        <w:spacing w:line="240" w:lineRule="auto"/>
      </w:pPr>
      <w:r w:rsidRPr="00FD3C14">
        <w:t xml:space="preserve">Met deze brief bied ik u de Nationale Strategie Vrouwengezondheid aan. </w:t>
      </w:r>
      <w:r w:rsidRPr="006770A6">
        <w:rPr>
          <w:szCs w:val="20"/>
        </w:rPr>
        <w:t>Ik geef hiermee uitvoering aan de gewijzigde motie Zeedijk</w:t>
      </w:r>
      <w:r>
        <w:rPr>
          <w:szCs w:val="20"/>
          <w:vertAlign w:val="superscript"/>
        </w:rPr>
        <w:footnoteReference w:id="2"/>
      </w:r>
      <w:r w:rsidRPr="006770A6">
        <w:rPr>
          <w:szCs w:val="20"/>
        </w:rPr>
        <w:t xml:space="preserve"> en Hirsch-Dobbe</w:t>
      </w:r>
      <w:r>
        <w:rPr>
          <w:szCs w:val="20"/>
          <w:vertAlign w:val="superscript"/>
        </w:rPr>
        <w:footnoteReference w:id="3"/>
      </w:r>
      <w:r w:rsidRPr="006770A6">
        <w:rPr>
          <w:szCs w:val="20"/>
        </w:rPr>
        <w:t>. De motie van het kamerlid Dobbe</w:t>
      </w:r>
      <w:r>
        <w:rPr>
          <w:szCs w:val="20"/>
          <w:vertAlign w:val="superscript"/>
        </w:rPr>
        <w:footnoteReference w:id="4"/>
      </w:r>
      <w:r>
        <w:rPr>
          <w:szCs w:val="20"/>
        </w:rPr>
        <w:t xml:space="preserve">, </w:t>
      </w:r>
      <w:r w:rsidRPr="006770A6">
        <w:rPr>
          <w:szCs w:val="20"/>
        </w:rPr>
        <w:t xml:space="preserve">waarbij de regering verzocht wordt bij de strategie ook aandacht te besteden aan de interactie met andere vormen van ongelijkheid, zoals </w:t>
      </w:r>
      <w:proofErr w:type="spellStart"/>
      <w:r w:rsidRPr="006770A6">
        <w:rPr>
          <w:szCs w:val="20"/>
        </w:rPr>
        <w:t>sociaal-economische</w:t>
      </w:r>
      <w:proofErr w:type="spellEnd"/>
      <w:r w:rsidRPr="006770A6">
        <w:rPr>
          <w:szCs w:val="20"/>
        </w:rPr>
        <w:t xml:space="preserve"> gezondheidsverschillen, zal ik betrekken bij de werkagenda die </w:t>
      </w:r>
      <w:r>
        <w:rPr>
          <w:szCs w:val="20"/>
        </w:rPr>
        <w:t xml:space="preserve">t.z.t. </w:t>
      </w:r>
      <w:r w:rsidRPr="006770A6">
        <w:rPr>
          <w:szCs w:val="20"/>
        </w:rPr>
        <w:t>opgesteld gaat worden.</w:t>
      </w:r>
      <w:r>
        <w:rPr>
          <w:szCs w:val="20"/>
        </w:rPr>
        <w:t xml:space="preserve"> Aan </w:t>
      </w:r>
      <w:r w:rsidRPr="006770A6">
        <w:rPr>
          <w:szCs w:val="20"/>
        </w:rPr>
        <w:t xml:space="preserve">de motie </w:t>
      </w:r>
      <w:proofErr w:type="spellStart"/>
      <w:r w:rsidRPr="006770A6">
        <w:rPr>
          <w:szCs w:val="20"/>
        </w:rPr>
        <w:t>Slagt</w:t>
      </w:r>
      <w:proofErr w:type="spellEnd"/>
      <w:r w:rsidRPr="006770A6">
        <w:rPr>
          <w:szCs w:val="20"/>
        </w:rPr>
        <w:t>-Tichelman</w:t>
      </w:r>
      <w:r>
        <w:rPr>
          <w:szCs w:val="20"/>
          <w:vertAlign w:val="superscript"/>
        </w:rPr>
        <w:footnoteReference w:id="5"/>
      </w:r>
      <w:r>
        <w:rPr>
          <w:szCs w:val="20"/>
        </w:rPr>
        <w:t xml:space="preserve"> is al</w:t>
      </w:r>
      <w:r w:rsidRPr="006770A6">
        <w:rPr>
          <w:szCs w:val="20"/>
        </w:rPr>
        <w:t xml:space="preserve"> eerder invulling aangegeven.</w:t>
      </w:r>
      <w:r>
        <w:rPr>
          <w:szCs w:val="20"/>
          <w:vertAlign w:val="superscript"/>
        </w:rPr>
        <w:footnoteReference w:id="6"/>
      </w:r>
      <w:r w:rsidRPr="006770A6">
        <w:rPr>
          <w:rFonts w:cstheme="minorHAnsi"/>
          <w:szCs w:val="18"/>
        </w:rPr>
        <w:t xml:space="preserve"> </w:t>
      </w:r>
      <w:r>
        <w:rPr>
          <w:rFonts w:cstheme="minorHAnsi"/>
          <w:szCs w:val="18"/>
        </w:rPr>
        <w:t xml:space="preserve">Ik heb uw Kamer toegezegd dat ik bij de uitvoering van deze moties zou </w:t>
      </w:r>
      <w:r w:rsidRPr="00B76A19">
        <w:rPr>
          <w:rFonts w:cstheme="minorHAnsi"/>
          <w:szCs w:val="18"/>
        </w:rPr>
        <w:t xml:space="preserve">inventariseren wat er binnen het ministerie van Volksgezondheid, Welzijn en Sport (VWS), en de ministeries van Onderwijs, Cultuur en Wetenschap  (OCW) en Sociale Zaken en Werkgelegenheid (SZW) aan activiteiten plaatsvindt op gebied van vrouwengezondheid. In de bijlage </w:t>
      </w:r>
      <w:r>
        <w:rPr>
          <w:rFonts w:cstheme="minorHAnsi"/>
          <w:szCs w:val="18"/>
        </w:rPr>
        <w:t xml:space="preserve">van de strategie </w:t>
      </w:r>
      <w:r w:rsidRPr="00B76A19">
        <w:rPr>
          <w:rFonts w:cstheme="minorHAnsi"/>
          <w:szCs w:val="18"/>
        </w:rPr>
        <w:t>treft u een (niet uitputtend) overzicht aan van de resultaten van deze inventarisatie.</w:t>
      </w:r>
      <w:r>
        <w:rPr>
          <w:rFonts w:cstheme="minorHAnsi"/>
          <w:szCs w:val="18"/>
        </w:rPr>
        <w:t xml:space="preserve"> </w:t>
      </w:r>
    </w:p>
    <w:p w:rsidR="00BD63D3" w:rsidP="00BD63D3" w:rsidRDefault="00BD63D3" w14:paraId="30E40816" w14:textId="77777777">
      <w:pPr>
        <w:spacing w:line="240" w:lineRule="auto"/>
        <w:rPr>
          <w:b/>
          <w:bCs/>
        </w:rPr>
      </w:pPr>
    </w:p>
    <w:p w:rsidRPr="00233A81" w:rsidR="00BD63D3" w:rsidP="00BD63D3" w:rsidRDefault="00BD63D3" w14:paraId="3717109B" w14:textId="77777777">
      <w:pPr>
        <w:spacing w:line="240" w:lineRule="auto"/>
        <w:rPr>
          <w:i/>
          <w:iCs/>
        </w:rPr>
      </w:pPr>
      <w:r w:rsidRPr="00233A81">
        <w:rPr>
          <w:i/>
          <w:iCs/>
        </w:rPr>
        <w:t>Huidige situatie</w:t>
      </w:r>
    </w:p>
    <w:p w:rsidR="00BD63D3" w:rsidP="00BD63D3" w:rsidRDefault="00BD63D3" w14:paraId="0AE4D145" w14:textId="77777777">
      <w:pPr>
        <w:spacing w:line="240" w:lineRule="auto"/>
      </w:pPr>
      <w:r>
        <w:t xml:space="preserve">Er is aanvullend door de minister van VWS 15 miljoen euro beschikbaar gesteld voor een nieuw kennisprogramma </w:t>
      </w:r>
      <w:r w:rsidRPr="00FD3C14">
        <w:t>vrouwspecifieke aandoeningen</w:t>
      </w:r>
      <w:r>
        <w:t xml:space="preserve"> (2024-2030).</w:t>
      </w:r>
      <w:r>
        <w:rPr>
          <w:rStyle w:val="Voetnootmarkering"/>
        </w:rPr>
        <w:footnoteReference w:id="7"/>
      </w:r>
      <w:r>
        <w:t xml:space="preserve"> Dit programma zet in op meer kennis en aandacht voor de gezondheid van vrouwen en verbetering van diagnostiek. </w:t>
      </w:r>
    </w:p>
    <w:p w:rsidR="00BD63D3" w:rsidP="00BD63D3" w:rsidRDefault="00BD63D3" w14:paraId="073CF812" w14:textId="77777777">
      <w:pPr>
        <w:pStyle w:val="Tekstzonderopmaak"/>
        <w:rPr>
          <w:rFonts w:cstheme="minorHAnsi"/>
          <w:szCs w:val="18"/>
        </w:rPr>
      </w:pPr>
    </w:p>
    <w:p w:rsidR="00BD63D3" w:rsidP="00BD63D3" w:rsidRDefault="00BD63D3" w14:paraId="49058043" w14:textId="77777777">
      <w:pPr>
        <w:spacing w:line="240" w:lineRule="auto"/>
        <w:rPr>
          <w:rFonts w:cstheme="minorHAnsi"/>
          <w:kern w:val="0"/>
          <w:szCs w:val="18"/>
        </w:rPr>
      </w:pPr>
      <w:r>
        <w:rPr>
          <w:rFonts w:cstheme="minorHAnsi"/>
          <w:szCs w:val="18"/>
        </w:rPr>
        <w:lastRenderedPageBreak/>
        <w:t xml:space="preserve">V.w.b. onderzoeksprogrammering is er </w:t>
      </w:r>
      <w:r w:rsidRPr="006770A6">
        <w:rPr>
          <w:rFonts w:cstheme="minorHAnsi"/>
          <w:szCs w:val="18"/>
        </w:rPr>
        <w:t xml:space="preserve">de </w:t>
      </w:r>
      <w:r>
        <w:rPr>
          <w:rFonts w:cstheme="minorHAnsi"/>
          <w:szCs w:val="18"/>
        </w:rPr>
        <w:t>t</w:t>
      </w:r>
      <w:r w:rsidRPr="006770A6">
        <w:rPr>
          <w:rFonts w:cstheme="minorHAnsi"/>
          <w:szCs w:val="18"/>
        </w:rPr>
        <w:t xml:space="preserve">aakopdracht Gender en Gezondheid </w:t>
      </w:r>
      <w:r>
        <w:rPr>
          <w:rFonts w:cstheme="minorHAnsi"/>
          <w:szCs w:val="18"/>
        </w:rPr>
        <w:t xml:space="preserve">bij </w:t>
      </w:r>
      <w:proofErr w:type="spellStart"/>
      <w:r w:rsidRPr="006770A6">
        <w:rPr>
          <w:rFonts w:cstheme="minorHAnsi"/>
          <w:szCs w:val="18"/>
        </w:rPr>
        <w:t>ZonMw</w:t>
      </w:r>
      <w:proofErr w:type="spellEnd"/>
      <w:r>
        <w:rPr>
          <w:rFonts w:cstheme="minorHAnsi"/>
          <w:szCs w:val="18"/>
        </w:rPr>
        <w:t>,</w:t>
      </w:r>
      <w:r w:rsidRPr="006770A6">
        <w:rPr>
          <w:rFonts w:cstheme="minorHAnsi"/>
          <w:szCs w:val="18"/>
        </w:rPr>
        <w:t xml:space="preserve"> </w:t>
      </w:r>
      <w:r>
        <w:rPr>
          <w:rFonts w:cstheme="minorHAnsi"/>
          <w:szCs w:val="18"/>
        </w:rPr>
        <w:t xml:space="preserve">die inzet op het </w:t>
      </w:r>
      <w:r w:rsidRPr="006770A6">
        <w:rPr>
          <w:rFonts w:cstheme="minorHAnsi"/>
          <w:szCs w:val="18"/>
        </w:rPr>
        <w:t xml:space="preserve">stimuleren van duurzame aandacht voor en integratie van sekse en gender in onderzoeksprogrammering. Die </w:t>
      </w:r>
      <w:r>
        <w:rPr>
          <w:rFonts w:cstheme="minorHAnsi"/>
          <w:szCs w:val="18"/>
        </w:rPr>
        <w:t>t</w:t>
      </w:r>
      <w:r w:rsidRPr="006770A6">
        <w:rPr>
          <w:rFonts w:cstheme="minorHAnsi"/>
          <w:szCs w:val="18"/>
        </w:rPr>
        <w:t xml:space="preserve">aakopdracht loopt tot halverwege 2026. </w:t>
      </w:r>
      <w:r w:rsidRPr="006770A6">
        <w:rPr>
          <w:rFonts w:cstheme="minorHAnsi"/>
          <w:kern w:val="0"/>
          <w:szCs w:val="18"/>
        </w:rPr>
        <w:t>Uit het impactrapport</w:t>
      </w:r>
      <w:r>
        <w:rPr>
          <w:rStyle w:val="Voetnootmarkering"/>
          <w:rFonts w:cstheme="minorHAnsi"/>
          <w:kern w:val="0"/>
          <w:szCs w:val="18"/>
        </w:rPr>
        <w:footnoteReference w:id="8"/>
      </w:r>
      <w:r w:rsidRPr="006770A6">
        <w:rPr>
          <w:rFonts w:cstheme="minorHAnsi"/>
          <w:kern w:val="0"/>
          <w:szCs w:val="18"/>
        </w:rPr>
        <w:t xml:space="preserve"> blijkt dat door het vergroten van bewustzijn en gerichte acties, sekse en gender steeds beter verankerd worden in gezondheidsonderzoek en innovatie</w:t>
      </w:r>
      <w:r>
        <w:rPr>
          <w:rFonts w:cstheme="minorHAnsi"/>
          <w:kern w:val="0"/>
          <w:szCs w:val="18"/>
        </w:rPr>
        <w:t>,</w:t>
      </w:r>
      <w:r w:rsidRPr="006770A6">
        <w:rPr>
          <w:rFonts w:cstheme="minorHAnsi"/>
          <w:kern w:val="0"/>
          <w:szCs w:val="18"/>
        </w:rPr>
        <w:t xml:space="preserve"> en in de programmering daarvan. </w:t>
      </w:r>
    </w:p>
    <w:p w:rsidRPr="006770A6" w:rsidR="00BD63D3" w:rsidP="00BD63D3" w:rsidRDefault="00BD63D3" w14:paraId="73166D3E" w14:textId="77777777">
      <w:pPr>
        <w:spacing w:line="240" w:lineRule="auto"/>
        <w:rPr>
          <w:rFonts w:cstheme="minorHAnsi"/>
          <w:szCs w:val="18"/>
        </w:rPr>
      </w:pPr>
    </w:p>
    <w:p w:rsidR="00BD63D3" w:rsidP="00BD63D3" w:rsidRDefault="00BD63D3" w14:paraId="3E69DABC" w14:textId="77777777">
      <w:pPr>
        <w:pStyle w:val="Tekstzonderopmaak"/>
        <w:rPr>
          <w:rFonts w:cstheme="minorHAnsi"/>
          <w:szCs w:val="18"/>
        </w:rPr>
      </w:pPr>
      <w:r>
        <w:rPr>
          <w:rFonts w:cstheme="minorHAnsi"/>
          <w:szCs w:val="18"/>
        </w:rPr>
        <w:t>Bij de</w:t>
      </w:r>
      <w:r>
        <w:rPr>
          <w:szCs w:val="18"/>
        </w:rPr>
        <w:t xml:space="preserve"> </w:t>
      </w:r>
      <w:r>
        <w:rPr>
          <w:rFonts w:cstheme="minorHAnsi"/>
          <w:szCs w:val="18"/>
        </w:rPr>
        <w:t xml:space="preserve">verschillende academische centra staat vrouwengezondheid op de kaart </w:t>
      </w:r>
      <w:r>
        <w:rPr>
          <w:rStyle w:val="Voetnootmarkering"/>
          <w:rFonts w:cstheme="minorHAnsi"/>
          <w:szCs w:val="18"/>
        </w:rPr>
        <w:footnoteReference w:id="9"/>
      </w:r>
      <w:r>
        <w:rPr>
          <w:rFonts w:cstheme="minorHAnsi"/>
          <w:szCs w:val="18"/>
        </w:rPr>
        <w:t xml:space="preserve"> </w:t>
      </w:r>
      <w:r>
        <w:rPr>
          <w:rStyle w:val="Voetnootmarkering"/>
          <w:rFonts w:cstheme="minorHAnsi"/>
          <w:szCs w:val="18"/>
        </w:rPr>
        <w:footnoteReference w:id="10"/>
      </w:r>
      <w:r>
        <w:rPr>
          <w:rFonts w:cstheme="minorHAnsi"/>
          <w:szCs w:val="18"/>
        </w:rPr>
        <w:t xml:space="preserve"> </w:t>
      </w:r>
      <w:r>
        <w:rPr>
          <w:rStyle w:val="Voetnootmarkering"/>
          <w:rFonts w:cstheme="minorHAnsi"/>
          <w:szCs w:val="18"/>
        </w:rPr>
        <w:footnoteReference w:id="11"/>
      </w:r>
      <w:r>
        <w:rPr>
          <w:rFonts w:cstheme="minorHAnsi"/>
          <w:szCs w:val="18"/>
        </w:rPr>
        <w:t xml:space="preserve">. Daarnaast is er meer bewustwording rond endometriose en de neemt de bespreekbaarheid van bijvoorbeeld de overgang en menstruatie op de werkvloer toe. </w:t>
      </w:r>
      <w:r w:rsidRPr="002F01FC">
        <w:rPr>
          <w:rFonts w:cstheme="minorHAnsi"/>
          <w:szCs w:val="18"/>
        </w:rPr>
        <w:t xml:space="preserve">Binnen de geneesmiddelensector </w:t>
      </w:r>
      <w:r>
        <w:rPr>
          <w:rFonts w:cstheme="minorHAnsi"/>
          <w:szCs w:val="18"/>
        </w:rPr>
        <w:t xml:space="preserve">groeit </w:t>
      </w:r>
      <w:r w:rsidRPr="002F01FC">
        <w:rPr>
          <w:rFonts w:cstheme="minorHAnsi"/>
          <w:szCs w:val="18"/>
        </w:rPr>
        <w:t xml:space="preserve">de aandacht voor de bijwerkingen van geneesmiddelen bij vrouwen. Een mooi voorbeeld hiervan is de Nederlandse studie naar het gebruik van </w:t>
      </w:r>
      <w:proofErr w:type="spellStart"/>
      <w:r w:rsidRPr="002F01FC">
        <w:rPr>
          <w:rFonts w:cstheme="minorHAnsi"/>
          <w:szCs w:val="18"/>
        </w:rPr>
        <w:t>mifepriston</w:t>
      </w:r>
      <w:proofErr w:type="spellEnd"/>
      <w:r>
        <w:rPr>
          <w:rFonts w:cstheme="minorHAnsi"/>
          <w:szCs w:val="18"/>
        </w:rPr>
        <w:t xml:space="preserve"> </w:t>
      </w:r>
      <w:r w:rsidRPr="002F01FC">
        <w:rPr>
          <w:rFonts w:cstheme="minorHAnsi"/>
          <w:szCs w:val="18"/>
        </w:rPr>
        <w:t>als een effectieve en veilige vorm van anticonceptie.</w:t>
      </w:r>
      <w:r w:rsidRPr="00185C66">
        <w:t xml:space="preserve"> </w:t>
      </w:r>
    </w:p>
    <w:p w:rsidR="00BD63D3" w:rsidP="00BD63D3" w:rsidRDefault="00BD63D3" w14:paraId="7DF937D5" w14:textId="77777777">
      <w:pPr>
        <w:spacing w:line="240" w:lineRule="auto"/>
        <w:rPr>
          <w:strike/>
          <w:szCs w:val="18"/>
        </w:rPr>
      </w:pPr>
    </w:p>
    <w:p w:rsidR="00BD63D3" w:rsidP="00BD63D3" w:rsidRDefault="00BD63D3" w14:paraId="5CDFE8E7" w14:textId="77777777">
      <w:pPr>
        <w:spacing w:line="240" w:lineRule="auto"/>
        <w:rPr>
          <w:szCs w:val="18"/>
        </w:rPr>
      </w:pPr>
      <w:r w:rsidRPr="00AA09DE">
        <w:t xml:space="preserve">De gezondheid van vrouwen raakt </w:t>
      </w:r>
      <w:r>
        <w:t xml:space="preserve">niet alleen VWS maar </w:t>
      </w:r>
      <w:r w:rsidRPr="00AA09DE">
        <w:t xml:space="preserve">meerdere departementen. </w:t>
      </w:r>
      <w:r>
        <w:rPr>
          <w:kern w:val="0"/>
          <w:szCs w:val="18"/>
        </w:rPr>
        <w:t xml:space="preserve">De staatssecretaris van OCW ondersteunt vanuit haar emancipatieportefeuille in de periode 2022-2027 de alliantie Gezondheidszorg op Maat 2. Deze alliantie zet zich in voor het vergroten van kennis en aandacht over gezondheidsverschillen tussen mannen en vrouwen. De alliantie doet dit door onderzoek te doen, campagnes te starten en interventies en hulpmiddelen te ontwikkelen voor </w:t>
      </w:r>
      <w:r w:rsidRPr="00B76A19">
        <w:rPr>
          <w:kern w:val="0"/>
          <w:szCs w:val="18"/>
        </w:rPr>
        <w:t xml:space="preserve">zorgprofessionals. In 2024 en 2025 zet de alliantie extra in op het stimuleren van het zorgberoepsonderwijs. Zo is in samenwerking met onderwijsinstellingen uit het mbo en hbo een </w:t>
      </w:r>
      <w:proofErr w:type="spellStart"/>
      <w:r w:rsidRPr="00B76A19">
        <w:rPr>
          <w:kern w:val="0"/>
          <w:szCs w:val="18"/>
        </w:rPr>
        <w:t>toolkit</w:t>
      </w:r>
      <w:proofErr w:type="spellEnd"/>
      <w:r w:rsidRPr="00B76A19">
        <w:rPr>
          <w:kern w:val="0"/>
          <w:szCs w:val="18"/>
        </w:rPr>
        <w:t xml:space="preserve"> voor zorgonderwijs gerealiseerd. De alliantie en het ministerie van OCW zijn aan het verkennen hoe de producten van de alliantie nog meer bekendheid kunnen</w:t>
      </w:r>
      <w:r>
        <w:rPr>
          <w:kern w:val="0"/>
          <w:szCs w:val="18"/>
        </w:rPr>
        <w:t xml:space="preserve"> krijgen. </w:t>
      </w:r>
    </w:p>
    <w:p w:rsidR="00BD63D3" w:rsidP="00BD63D3" w:rsidRDefault="00BD63D3" w14:paraId="14F6CFF2" w14:textId="77777777">
      <w:pPr>
        <w:spacing w:line="240" w:lineRule="auto"/>
      </w:pPr>
    </w:p>
    <w:p w:rsidRPr="00FD3C14" w:rsidR="00BD63D3" w:rsidP="00BD63D3" w:rsidRDefault="00BD63D3" w14:paraId="5B942B36" w14:textId="77777777">
      <w:pPr>
        <w:spacing w:line="240" w:lineRule="auto"/>
      </w:pPr>
      <w:r w:rsidRPr="00AA09DE">
        <w:t>Het kabinet vergroot tegelijk</w:t>
      </w:r>
      <w:r>
        <w:t>ertijd</w:t>
      </w:r>
      <w:r w:rsidRPr="00AA09DE">
        <w:t xml:space="preserve"> de bewustwording in onderwijs en op de arbeidsmarkt, onder meer door de overgang bespreekbaar te maken en de kennis van bedrijfsartsen te versterken. In de sector Zorg &amp; Welzijn (84% </w:t>
      </w:r>
      <w:r>
        <w:t>vrouwelijke werknemers</w:t>
      </w:r>
      <w:r w:rsidRPr="00AA09DE">
        <w:t>) leveren zulke investeringen minder verzuim, meer capaciteit en lagere zorgkosten op.</w:t>
      </w:r>
    </w:p>
    <w:p w:rsidR="00BD63D3" w:rsidP="00BD63D3" w:rsidRDefault="00BD63D3" w14:paraId="5E4AAE93" w14:textId="77777777">
      <w:pPr>
        <w:spacing w:line="240" w:lineRule="auto"/>
        <w:rPr>
          <w:rFonts w:cstheme="minorHAnsi"/>
          <w:szCs w:val="18"/>
        </w:rPr>
      </w:pPr>
    </w:p>
    <w:p w:rsidR="00BD63D3" w:rsidP="00BD63D3" w:rsidRDefault="00BD63D3" w14:paraId="7218362F" w14:textId="77777777">
      <w:pPr>
        <w:spacing w:line="240" w:lineRule="auto"/>
        <w:rPr>
          <w:b/>
          <w:bCs/>
        </w:rPr>
      </w:pPr>
      <w:r>
        <w:rPr>
          <w:rFonts w:cstheme="minorHAnsi"/>
          <w:szCs w:val="18"/>
        </w:rPr>
        <w:t xml:space="preserve">Ik constateer dat er de afgelopen jaren beweging is op het gebied van vrouwengezondheid. Het onderwerp krijgt eindelijk de aandacht die het verdient. Maar hiermee zijn we er nog niet en er blijft aanvullende inzet nodig. </w:t>
      </w:r>
    </w:p>
    <w:p w:rsidR="00BD63D3" w:rsidP="00BD63D3" w:rsidRDefault="00BD63D3" w14:paraId="25E3A1C9" w14:textId="77777777">
      <w:pPr>
        <w:spacing w:line="240" w:lineRule="auto"/>
        <w:rPr>
          <w:i/>
          <w:iCs/>
        </w:rPr>
      </w:pPr>
    </w:p>
    <w:p w:rsidRPr="00233A81" w:rsidR="00BD63D3" w:rsidP="00BD63D3" w:rsidRDefault="00BD63D3" w14:paraId="28C26779" w14:textId="77777777">
      <w:pPr>
        <w:spacing w:line="240" w:lineRule="auto"/>
        <w:rPr>
          <w:i/>
          <w:iCs/>
        </w:rPr>
      </w:pPr>
      <w:r w:rsidRPr="00233A81">
        <w:rPr>
          <w:i/>
          <w:iCs/>
        </w:rPr>
        <w:lastRenderedPageBreak/>
        <w:t>Aanpak en strategie</w:t>
      </w:r>
      <w:r>
        <w:rPr>
          <w:i/>
          <w:iCs/>
        </w:rPr>
        <w:t xml:space="preserve"> rondom vrouwengezondheid </w:t>
      </w:r>
    </w:p>
    <w:p w:rsidRPr="00062744" w:rsidR="00BD63D3" w:rsidP="00BD63D3" w:rsidRDefault="00BD63D3" w14:paraId="4508636D" w14:textId="77777777">
      <w:pPr>
        <w:spacing w:line="240" w:lineRule="auto"/>
        <w:rPr>
          <w:szCs w:val="18"/>
        </w:rPr>
      </w:pPr>
      <w:r>
        <w:rPr>
          <w:szCs w:val="18"/>
        </w:rPr>
        <w:t>Ik zet met</w:t>
      </w:r>
      <w:r w:rsidRPr="00062744">
        <w:rPr>
          <w:szCs w:val="18"/>
        </w:rPr>
        <w:t xml:space="preserve"> de strategie in op de volgende doelen: </w:t>
      </w:r>
    </w:p>
    <w:p w:rsidRPr="00062744" w:rsidR="00BD63D3" w:rsidP="00BD63D3" w:rsidRDefault="00BD63D3" w14:paraId="6DDB1799" w14:textId="77777777">
      <w:pPr>
        <w:pStyle w:val="Lijstalinea"/>
        <w:numPr>
          <w:ilvl w:val="0"/>
          <w:numId w:val="1"/>
        </w:numPr>
        <w:spacing w:line="278" w:lineRule="auto"/>
        <w:rPr>
          <w:rFonts w:cs="Calibri"/>
          <w:szCs w:val="18"/>
        </w:rPr>
      </w:pPr>
      <w:r w:rsidRPr="00062744">
        <w:rPr>
          <w:rFonts w:cs="Calibri"/>
          <w:szCs w:val="18"/>
        </w:rPr>
        <w:t>Vergroten van de kennis over het bewustzijn van vrouwspecifieke gezondheidsproblematiek.</w:t>
      </w:r>
    </w:p>
    <w:p w:rsidRPr="00062744" w:rsidR="00BD63D3" w:rsidP="00BD63D3" w:rsidRDefault="00BD63D3" w14:paraId="092541F8" w14:textId="77777777">
      <w:pPr>
        <w:pStyle w:val="Lijstalinea"/>
        <w:numPr>
          <w:ilvl w:val="0"/>
          <w:numId w:val="1"/>
        </w:numPr>
        <w:spacing w:line="278" w:lineRule="auto"/>
        <w:rPr>
          <w:rFonts w:cs="Calibri"/>
          <w:szCs w:val="18"/>
        </w:rPr>
      </w:pPr>
      <w:r w:rsidRPr="00062744">
        <w:rPr>
          <w:rFonts w:cs="Calibri"/>
          <w:szCs w:val="18"/>
        </w:rPr>
        <w:t>Faciliteren van het gebruik en opschaling van reeds beschikbare kennis over vrouwspecifieke gezondheidsproblematiek.</w:t>
      </w:r>
    </w:p>
    <w:p w:rsidRPr="00062744" w:rsidR="00BD63D3" w:rsidP="00BD63D3" w:rsidRDefault="00BD63D3" w14:paraId="75608475" w14:textId="77777777">
      <w:pPr>
        <w:pStyle w:val="Lijstalinea"/>
        <w:numPr>
          <w:ilvl w:val="0"/>
          <w:numId w:val="1"/>
        </w:numPr>
        <w:spacing w:line="278" w:lineRule="auto"/>
        <w:rPr>
          <w:rFonts w:cs="Calibri"/>
          <w:szCs w:val="18"/>
        </w:rPr>
      </w:pPr>
      <w:r w:rsidRPr="00062744">
        <w:rPr>
          <w:rFonts w:cs="Calibri"/>
          <w:szCs w:val="18"/>
        </w:rPr>
        <w:t>Faciliteren van passende zorg en ondersteuning voor vrouwen en meisjes.</w:t>
      </w:r>
    </w:p>
    <w:p w:rsidRPr="00062744" w:rsidR="00BD63D3" w:rsidP="00BD63D3" w:rsidRDefault="00BD63D3" w14:paraId="12C673A5" w14:textId="77777777">
      <w:pPr>
        <w:pStyle w:val="Lijstalinea"/>
        <w:numPr>
          <w:ilvl w:val="0"/>
          <w:numId w:val="1"/>
        </w:numPr>
        <w:spacing w:line="278" w:lineRule="auto"/>
        <w:rPr>
          <w:rFonts w:cs="Calibri"/>
          <w:szCs w:val="18"/>
        </w:rPr>
      </w:pPr>
      <w:r w:rsidRPr="00062744">
        <w:rPr>
          <w:rFonts w:cs="Calibri"/>
          <w:szCs w:val="18"/>
        </w:rPr>
        <w:t>Faciliteren van netwerkvorming en tegengaan van fragmentatie rondom vrouwspecifieke gezondheidsvraagstukken.</w:t>
      </w:r>
    </w:p>
    <w:p w:rsidR="00BD63D3" w:rsidP="00BD63D3" w:rsidRDefault="00BD63D3" w14:paraId="624F2D39" w14:textId="77777777">
      <w:pPr>
        <w:spacing w:line="240" w:lineRule="auto"/>
        <w:rPr>
          <w:b/>
          <w:bCs/>
        </w:rPr>
      </w:pPr>
      <w:r>
        <w:rPr>
          <w:rFonts w:cs="Calibri"/>
          <w:szCs w:val="18"/>
        </w:rPr>
        <w:t xml:space="preserve">Ik organiseer samen </w:t>
      </w:r>
      <w:r w:rsidRPr="00FD3C14">
        <w:t xml:space="preserve">met </w:t>
      </w:r>
      <w:proofErr w:type="spellStart"/>
      <w:r w:rsidRPr="00FD3C14">
        <w:t>ZonMw</w:t>
      </w:r>
      <w:proofErr w:type="spellEnd"/>
      <w:r w:rsidRPr="00FD3C14">
        <w:t xml:space="preserve"> </w:t>
      </w:r>
      <w:r>
        <w:t xml:space="preserve">in het najaar </w:t>
      </w:r>
      <w:r w:rsidRPr="00FD3C14">
        <w:t>een werk</w:t>
      </w:r>
      <w:r w:rsidRPr="00FD3C14">
        <w:softHyphen/>
        <w:t xml:space="preserve">conferentie </w:t>
      </w:r>
      <w:r>
        <w:t xml:space="preserve">om tot een </w:t>
      </w:r>
      <w:r w:rsidRPr="00FD3C14">
        <w:t>concrete werkagenda</w:t>
      </w:r>
      <w:r>
        <w:t xml:space="preserve"> te komen</w:t>
      </w:r>
      <w:r w:rsidRPr="00FD3C14">
        <w:t xml:space="preserve">. </w:t>
      </w:r>
      <w:r>
        <w:t xml:space="preserve">Ik zal uw Kamer t.z.t. deze werkagenda toesturen. </w:t>
      </w:r>
    </w:p>
    <w:p w:rsidR="00BD63D3" w:rsidP="00BD63D3" w:rsidRDefault="00BD63D3" w14:paraId="1286CAF6" w14:textId="77777777">
      <w:pPr>
        <w:spacing w:line="240" w:lineRule="auto"/>
        <w:rPr>
          <w:i/>
          <w:iCs/>
        </w:rPr>
      </w:pPr>
    </w:p>
    <w:p w:rsidRPr="00233A81" w:rsidR="00BD63D3" w:rsidP="00BD63D3" w:rsidRDefault="00BD63D3" w14:paraId="5824FE61" w14:textId="77777777">
      <w:pPr>
        <w:spacing w:line="240" w:lineRule="auto"/>
        <w:rPr>
          <w:i/>
          <w:iCs/>
        </w:rPr>
      </w:pPr>
      <w:r>
        <w:rPr>
          <w:i/>
          <w:iCs/>
        </w:rPr>
        <w:t xml:space="preserve">Vervolgstappen </w:t>
      </w:r>
    </w:p>
    <w:p w:rsidR="00BD63D3" w:rsidP="00BD63D3" w:rsidRDefault="00BD63D3" w14:paraId="1E3FC63A" w14:textId="77777777">
      <w:pPr>
        <w:spacing w:line="240" w:lineRule="auto"/>
      </w:pPr>
      <w:r>
        <w:rPr>
          <w:rFonts w:cstheme="minorHAnsi"/>
          <w:szCs w:val="18"/>
        </w:rPr>
        <w:t xml:space="preserve">Zoals ik ook al eerder aan uw Kamer heb laten weten kan ik </w:t>
      </w:r>
      <w:r w:rsidRPr="00CE254B">
        <w:rPr>
          <w:rFonts w:cstheme="minorHAnsi"/>
          <w:szCs w:val="18"/>
        </w:rPr>
        <w:t xml:space="preserve">dit onderwerp niet alleen vanuit </w:t>
      </w:r>
      <w:r>
        <w:rPr>
          <w:rFonts w:cstheme="minorHAnsi"/>
          <w:szCs w:val="18"/>
        </w:rPr>
        <w:t xml:space="preserve">het ministerie van </w:t>
      </w:r>
      <w:r w:rsidRPr="00CE254B">
        <w:rPr>
          <w:rFonts w:cstheme="minorHAnsi"/>
          <w:szCs w:val="18"/>
        </w:rPr>
        <w:t xml:space="preserve">VWS op de kaart zetten. Met een zo breed mogelijke aanpak </w:t>
      </w:r>
      <w:r>
        <w:rPr>
          <w:rFonts w:cstheme="minorHAnsi"/>
          <w:szCs w:val="18"/>
        </w:rPr>
        <w:t>maken</w:t>
      </w:r>
      <w:r w:rsidRPr="00CE254B">
        <w:rPr>
          <w:rFonts w:cstheme="minorHAnsi"/>
          <w:szCs w:val="18"/>
        </w:rPr>
        <w:t xml:space="preserve"> we gezamenlijk de inhaalslag die nodig </w:t>
      </w:r>
      <w:r>
        <w:rPr>
          <w:rFonts w:cstheme="minorHAnsi"/>
          <w:szCs w:val="18"/>
        </w:rPr>
        <w:t xml:space="preserve">is. </w:t>
      </w:r>
      <w:r>
        <w:rPr>
          <w:rFonts w:cs="Calibri"/>
          <w:szCs w:val="18"/>
        </w:rPr>
        <w:t>Daarom ga ik binnenkort ook met de academische centra en zorgverzekeraars verder in gesprek.</w:t>
      </w:r>
      <w:r>
        <w:rPr>
          <w:szCs w:val="18"/>
        </w:rPr>
        <w:t xml:space="preserve"> Daarnaast lopen er ook andere programma’s binnen het ministerie van VWS</w:t>
      </w:r>
      <w:r w:rsidRPr="003A7693">
        <w:t>, zoals het Kaderprogramma Passende Zorg</w:t>
      </w:r>
      <w:r>
        <w:t>. Dit programma</w:t>
      </w:r>
      <w:r w:rsidRPr="003A7693">
        <w:t xml:space="preserve"> </w:t>
      </w:r>
      <w:r>
        <w:t xml:space="preserve">biedt ook </w:t>
      </w:r>
      <w:r w:rsidRPr="003A7693">
        <w:t>ruimte voor onderzoek naar vrouwspecifieke zorg.</w:t>
      </w:r>
      <w:r>
        <w:t xml:space="preserve"> Ik zal daar waar mogelijk binnen de bestaande programma’s dit onderwerp nog extra onder de aandacht brengen. </w:t>
      </w:r>
      <w:r w:rsidRPr="003A7693">
        <w:t xml:space="preserve">Op dit moment stel ik </w:t>
      </w:r>
      <w:r>
        <w:t xml:space="preserve">dan ook </w:t>
      </w:r>
      <w:r w:rsidRPr="003A7693">
        <w:t>geen extra budget beschikbaar</w:t>
      </w:r>
      <w:r>
        <w:t xml:space="preserve"> voor de uitvoering van de strategie</w:t>
      </w:r>
      <w:r w:rsidRPr="003A7693">
        <w:t xml:space="preserve">; </w:t>
      </w:r>
      <w:r>
        <w:t xml:space="preserve">mijn inzet is het </w:t>
      </w:r>
      <w:r w:rsidRPr="003A7693">
        <w:t xml:space="preserve">benutten </w:t>
      </w:r>
      <w:r>
        <w:t xml:space="preserve">van </w:t>
      </w:r>
      <w:r w:rsidRPr="003A7693">
        <w:t xml:space="preserve">de bestaande middelen. </w:t>
      </w:r>
      <w:r>
        <w:rPr>
          <w:szCs w:val="18"/>
        </w:rPr>
        <w:t>Ik sluit daarbij niet uit dat met betere prioritering en meer bewustwording op termijn een her allocatie van financiële middelen kan plaatsvinden.</w:t>
      </w:r>
    </w:p>
    <w:p w:rsidRPr="00AA09DE" w:rsidR="00BD63D3" w:rsidP="00BD63D3" w:rsidRDefault="00BD63D3" w14:paraId="0FA463A2" w14:textId="77777777">
      <w:pPr>
        <w:spacing w:line="240" w:lineRule="auto"/>
        <w:rPr>
          <w:szCs w:val="18"/>
        </w:rPr>
      </w:pPr>
    </w:p>
    <w:p w:rsidRPr="00FD3C14" w:rsidR="00BD63D3" w:rsidP="00BD63D3" w:rsidRDefault="00BD63D3" w14:paraId="308EF90C" w14:textId="77777777">
      <w:pPr>
        <w:spacing w:line="240" w:lineRule="auto"/>
      </w:pPr>
      <w:r w:rsidRPr="00FD3C14">
        <w:t xml:space="preserve">Mijn ambitie </w:t>
      </w:r>
      <w:r>
        <w:t xml:space="preserve">met de strategie </w:t>
      </w:r>
      <w:r w:rsidRPr="00FD3C14">
        <w:t>is de kennisachterstand</w:t>
      </w:r>
      <w:r>
        <w:t xml:space="preserve"> </w:t>
      </w:r>
      <w:r w:rsidRPr="00FD3C14">
        <w:t xml:space="preserve">in te lopen en structureel betere gezondheid voor vrouwen en meisjes te realiseren. </w:t>
      </w:r>
      <w:r>
        <w:rPr>
          <w:rFonts w:cstheme="minorHAnsi"/>
          <w:szCs w:val="18"/>
        </w:rPr>
        <w:t xml:space="preserve">Ik zie de aanzet als een </w:t>
      </w:r>
      <w:r w:rsidRPr="00FE200D">
        <w:rPr>
          <w:rFonts w:cs="Calibri"/>
          <w:szCs w:val="18"/>
        </w:rPr>
        <w:t xml:space="preserve">kompas voor bestaande </w:t>
      </w:r>
      <w:r>
        <w:rPr>
          <w:rFonts w:cs="Calibri"/>
          <w:szCs w:val="18"/>
        </w:rPr>
        <w:t xml:space="preserve">en nieuwe </w:t>
      </w:r>
      <w:r w:rsidRPr="00FE200D">
        <w:rPr>
          <w:rFonts w:cs="Calibri"/>
          <w:szCs w:val="18"/>
        </w:rPr>
        <w:t>activiteiten en de contouren voor het vervolg</w:t>
      </w:r>
      <w:r>
        <w:rPr>
          <w:rFonts w:cs="Calibri"/>
          <w:szCs w:val="18"/>
        </w:rPr>
        <w:t>.</w:t>
      </w:r>
    </w:p>
    <w:p w:rsidR="008C0B1D" w:rsidP="00BD63D3" w:rsidRDefault="008C0B1D" w14:paraId="651DC198" w14:textId="77777777">
      <w:pPr>
        <w:spacing w:line="240" w:lineRule="atLeast"/>
        <w:jc w:val="both"/>
      </w:pPr>
    </w:p>
    <w:p w:rsidRPr="008C0B1D" w:rsidR="00BD63D3" w:rsidP="008C0B1D" w:rsidRDefault="008C0B1D" w14:paraId="2756C749" w14:textId="48FE76BB">
      <w:pPr>
        <w:pStyle w:val="Geenafstand"/>
      </w:pPr>
      <w:r>
        <w:t>D</w:t>
      </w:r>
      <w:r w:rsidR="00BD63D3">
        <w:t xml:space="preserve">e minister van Volksgezondheid, </w:t>
      </w:r>
      <w:r>
        <w:t xml:space="preserve"> </w:t>
      </w:r>
      <w:r w:rsidR="00BD63D3">
        <w:t>Welzijn en Sport</w:t>
      </w:r>
      <w:r w:rsidR="00BD63D3">
        <w:rPr>
          <w:szCs w:val="18"/>
        </w:rPr>
        <w:t>,</w:t>
      </w:r>
    </w:p>
    <w:p w:rsidRPr="007B6A41" w:rsidR="00BD63D3" w:rsidP="008C0B1D" w:rsidRDefault="008C0B1D" w14:paraId="423F4FA9" w14:textId="57468F90">
      <w:pPr>
        <w:pStyle w:val="Geenafstand"/>
        <w:rPr>
          <w:szCs w:val="18"/>
        </w:rPr>
      </w:pPr>
      <w:r>
        <w:t xml:space="preserve">D.E.M.C. </w:t>
      </w:r>
      <w:r w:rsidR="00BD63D3">
        <w:t>Jansen</w:t>
      </w:r>
    </w:p>
    <w:p w:rsidR="00BD63D3" w:rsidP="00BD63D3" w:rsidRDefault="00BD63D3" w14:paraId="11DFD200" w14:textId="77777777">
      <w:pPr>
        <w:spacing w:line="240" w:lineRule="auto"/>
        <w:rPr>
          <w:noProof/>
        </w:rPr>
      </w:pPr>
    </w:p>
    <w:p w:rsidR="00BD63D3" w:rsidP="00BD63D3" w:rsidRDefault="00BD63D3" w14:paraId="5288080A" w14:textId="77777777">
      <w:pPr>
        <w:spacing w:line="240" w:lineRule="auto"/>
        <w:rPr>
          <w:noProof/>
        </w:rPr>
      </w:pPr>
    </w:p>
    <w:p w:rsidR="00FE0FA3" w:rsidRDefault="00FE0FA3" w14:paraId="47A950C2" w14:textId="77777777"/>
    <w:sectPr w:rsidR="00FE0FA3" w:rsidSect="00BD63D3">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B7CA" w14:textId="77777777" w:rsidR="00BD63D3" w:rsidRDefault="00BD63D3" w:rsidP="00BD63D3">
      <w:pPr>
        <w:spacing w:after="0" w:line="240" w:lineRule="auto"/>
      </w:pPr>
      <w:r>
        <w:separator/>
      </w:r>
    </w:p>
  </w:endnote>
  <w:endnote w:type="continuationSeparator" w:id="0">
    <w:p w14:paraId="701E3073" w14:textId="77777777" w:rsidR="00BD63D3" w:rsidRDefault="00BD63D3" w:rsidP="00BD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FBAD" w14:textId="77777777" w:rsidR="00BD63D3" w:rsidRPr="00BD63D3" w:rsidRDefault="00BD63D3" w:rsidP="00BD63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1BAF" w14:textId="77777777" w:rsidR="00BD63D3" w:rsidRPr="00BD63D3" w:rsidRDefault="00BD63D3" w:rsidP="00BD63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2D0D" w14:textId="77777777" w:rsidR="00BD63D3" w:rsidRPr="00BD63D3" w:rsidRDefault="00BD63D3" w:rsidP="00BD63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9807" w14:textId="77777777" w:rsidR="00BD63D3" w:rsidRDefault="00BD63D3" w:rsidP="00BD63D3">
      <w:pPr>
        <w:spacing w:after="0" w:line="240" w:lineRule="auto"/>
      </w:pPr>
      <w:r>
        <w:separator/>
      </w:r>
    </w:p>
  </w:footnote>
  <w:footnote w:type="continuationSeparator" w:id="0">
    <w:p w14:paraId="4A01DA57" w14:textId="77777777" w:rsidR="00BD63D3" w:rsidRDefault="00BD63D3" w:rsidP="00BD63D3">
      <w:pPr>
        <w:spacing w:after="0" w:line="240" w:lineRule="auto"/>
      </w:pPr>
      <w:r>
        <w:continuationSeparator/>
      </w:r>
    </w:p>
  </w:footnote>
  <w:footnote w:id="1">
    <w:p w14:paraId="6D160BC1" w14:textId="77777777" w:rsidR="00BD63D3" w:rsidRPr="00672693" w:rsidRDefault="00BD63D3" w:rsidP="00BD63D3">
      <w:pPr>
        <w:pStyle w:val="Voetnoottekst"/>
        <w:rPr>
          <w:sz w:val="14"/>
          <w:szCs w:val="14"/>
        </w:rPr>
      </w:pPr>
      <w:r w:rsidRPr="00672693">
        <w:rPr>
          <w:rStyle w:val="Voetnootmarkering"/>
          <w:sz w:val="14"/>
          <w:szCs w:val="14"/>
        </w:rPr>
        <w:footnoteRef/>
      </w:r>
      <w:r w:rsidRPr="00672693">
        <w:rPr>
          <w:sz w:val="14"/>
          <w:szCs w:val="14"/>
        </w:rPr>
        <w:t xml:space="preserve"> CBS, Emancipatiemonitor 2024, hoofdstuk 1 ‘Gezond leven’ </w:t>
      </w:r>
    </w:p>
  </w:footnote>
  <w:footnote w:id="2">
    <w:p w14:paraId="01CDE267" w14:textId="740A3D17" w:rsidR="00BD63D3" w:rsidRPr="008C0B1D" w:rsidRDefault="00BD63D3" w:rsidP="00BD63D3">
      <w:pPr>
        <w:pStyle w:val="Voetnoottekst"/>
        <w:rPr>
          <w:color w:val="FF0000"/>
          <w:sz w:val="14"/>
          <w:szCs w:val="14"/>
        </w:rPr>
      </w:pPr>
      <w:r w:rsidRPr="008C0B1D">
        <w:rPr>
          <w:rStyle w:val="Voetnootmarkering"/>
          <w:color w:val="auto"/>
          <w:sz w:val="14"/>
          <w:szCs w:val="14"/>
        </w:rPr>
        <w:footnoteRef/>
      </w:r>
      <w:r w:rsidRPr="008C0B1D">
        <w:rPr>
          <w:color w:val="auto"/>
          <w:sz w:val="14"/>
          <w:szCs w:val="14"/>
        </w:rPr>
        <w:t xml:space="preserve"> Kamerstukken II 2023/24, 30420, nr. 400</w:t>
      </w:r>
    </w:p>
  </w:footnote>
  <w:footnote w:id="3">
    <w:p w14:paraId="5273437D" w14:textId="5E1870D3" w:rsidR="00BD63D3" w:rsidRPr="00FC52E5" w:rsidRDefault="00BD63D3" w:rsidP="00BD63D3">
      <w:pPr>
        <w:pStyle w:val="Voetnoottekst"/>
        <w:rPr>
          <w:color w:val="auto"/>
          <w:sz w:val="14"/>
          <w:szCs w:val="14"/>
        </w:rPr>
      </w:pPr>
      <w:r w:rsidRPr="00FC52E5">
        <w:rPr>
          <w:rStyle w:val="Voetnootmarkering"/>
          <w:color w:val="auto"/>
          <w:sz w:val="14"/>
          <w:szCs w:val="14"/>
        </w:rPr>
        <w:footnoteRef/>
      </w:r>
      <w:r w:rsidRPr="00FC52E5">
        <w:rPr>
          <w:color w:val="auto"/>
          <w:sz w:val="14"/>
          <w:szCs w:val="14"/>
        </w:rPr>
        <w:t xml:space="preserve"> </w:t>
      </w:r>
      <w:r w:rsidRPr="008C0B1D">
        <w:rPr>
          <w:color w:val="auto"/>
          <w:sz w:val="14"/>
          <w:szCs w:val="14"/>
        </w:rPr>
        <w:t>Kamerstukken II 2024, 36180, nr. 113</w:t>
      </w:r>
    </w:p>
  </w:footnote>
  <w:footnote w:id="4">
    <w:p w14:paraId="2AF0E37D" w14:textId="77777777" w:rsidR="00BD63D3" w:rsidRPr="00FC52E5" w:rsidRDefault="00BD63D3" w:rsidP="00BD63D3">
      <w:pPr>
        <w:pStyle w:val="Voetnoottekst"/>
        <w:rPr>
          <w:color w:val="auto"/>
          <w:sz w:val="14"/>
          <w:szCs w:val="14"/>
        </w:rPr>
      </w:pPr>
      <w:r w:rsidRPr="008C0B1D">
        <w:rPr>
          <w:rStyle w:val="Voetnootmarkering"/>
          <w:color w:val="auto"/>
          <w:sz w:val="14"/>
          <w:szCs w:val="14"/>
        </w:rPr>
        <w:footnoteRef/>
      </w:r>
      <w:r w:rsidRPr="008C0B1D">
        <w:rPr>
          <w:color w:val="auto"/>
          <w:sz w:val="14"/>
          <w:szCs w:val="14"/>
        </w:rPr>
        <w:t xml:space="preserve"> Kamerstukken II 2023/24, 31765, nr. 862</w:t>
      </w:r>
    </w:p>
  </w:footnote>
  <w:footnote w:id="5">
    <w:p w14:paraId="7653EB0E" w14:textId="4B171C06" w:rsidR="00BD63D3" w:rsidRPr="00FC52E5" w:rsidRDefault="00BD63D3" w:rsidP="00BD63D3">
      <w:pPr>
        <w:pStyle w:val="Voetnoottekst"/>
        <w:rPr>
          <w:color w:val="auto"/>
          <w:sz w:val="14"/>
          <w:szCs w:val="14"/>
        </w:rPr>
      </w:pPr>
      <w:r w:rsidRPr="008C0B1D">
        <w:rPr>
          <w:rStyle w:val="Voetnootmarkering"/>
          <w:color w:val="auto"/>
          <w:sz w:val="14"/>
          <w:szCs w:val="14"/>
        </w:rPr>
        <w:footnoteRef/>
      </w:r>
      <w:r w:rsidRPr="008C0B1D">
        <w:rPr>
          <w:color w:val="auto"/>
          <w:sz w:val="14"/>
          <w:szCs w:val="14"/>
        </w:rPr>
        <w:t xml:space="preserve"> Kamerstukken II 2023/24, 31765, nr. 865</w:t>
      </w:r>
    </w:p>
  </w:footnote>
  <w:footnote w:id="6">
    <w:p w14:paraId="0C6D5E37" w14:textId="2D451008" w:rsidR="00BD63D3" w:rsidRPr="00FC52E5" w:rsidRDefault="00BD63D3" w:rsidP="00BD63D3">
      <w:pPr>
        <w:pStyle w:val="Voetnoottekst"/>
        <w:rPr>
          <w:color w:val="auto"/>
          <w:sz w:val="14"/>
          <w:szCs w:val="14"/>
        </w:rPr>
      </w:pPr>
      <w:r w:rsidRPr="00FC52E5">
        <w:rPr>
          <w:rStyle w:val="Voetnootmarkering"/>
          <w:color w:val="auto"/>
          <w:sz w:val="14"/>
          <w:szCs w:val="14"/>
        </w:rPr>
        <w:footnoteRef/>
      </w:r>
      <w:r w:rsidRPr="00FC52E5">
        <w:rPr>
          <w:color w:val="auto"/>
          <w:sz w:val="14"/>
          <w:szCs w:val="14"/>
        </w:rPr>
        <w:t xml:space="preserve"> Kamerstukken II, 2024/35, 36600-XVI</w:t>
      </w:r>
      <w:r>
        <w:rPr>
          <w:color w:val="auto"/>
          <w:sz w:val="14"/>
          <w:szCs w:val="14"/>
        </w:rPr>
        <w:t>,</w:t>
      </w:r>
      <w:r w:rsidRPr="00FC52E5">
        <w:rPr>
          <w:color w:val="auto"/>
          <w:sz w:val="14"/>
          <w:szCs w:val="14"/>
        </w:rPr>
        <w:t xml:space="preserve"> nr. 151</w:t>
      </w:r>
    </w:p>
  </w:footnote>
  <w:footnote w:id="7">
    <w:p w14:paraId="5AC42DA2" w14:textId="77777777" w:rsidR="00BD63D3" w:rsidRPr="00D95D16" w:rsidRDefault="00BD63D3" w:rsidP="00BD63D3">
      <w:pPr>
        <w:pStyle w:val="Voetnoottekst"/>
        <w:rPr>
          <w:sz w:val="14"/>
          <w:szCs w:val="14"/>
        </w:rPr>
      </w:pPr>
      <w:r w:rsidRPr="00D95D16">
        <w:rPr>
          <w:rStyle w:val="Voetnootmarkering"/>
          <w:sz w:val="14"/>
          <w:szCs w:val="14"/>
        </w:rPr>
        <w:footnoteRef/>
      </w:r>
      <w:r w:rsidRPr="00D95D16">
        <w:rPr>
          <w:sz w:val="14"/>
          <w:szCs w:val="14"/>
        </w:rPr>
        <w:t>Tweede Kamer, vergaderjaar 2023–2024, 31 765, nr. 843</w:t>
      </w:r>
    </w:p>
  </w:footnote>
  <w:footnote w:id="8">
    <w:p w14:paraId="33178EE5" w14:textId="77777777" w:rsidR="00BD63D3" w:rsidRPr="006770A6" w:rsidRDefault="00BD63D3" w:rsidP="00BD63D3">
      <w:pPr>
        <w:pStyle w:val="Voetnoottekst"/>
        <w:rPr>
          <w:sz w:val="14"/>
          <w:szCs w:val="14"/>
        </w:rPr>
      </w:pPr>
      <w:r w:rsidRPr="006770A6">
        <w:rPr>
          <w:rStyle w:val="Voetnootmarkering"/>
          <w:color w:val="auto"/>
          <w:sz w:val="14"/>
          <w:szCs w:val="14"/>
        </w:rPr>
        <w:footnoteRef/>
      </w:r>
      <w:r w:rsidRPr="006770A6">
        <w:rPr>
          <w:color w:val="auto"/>
          <w:sz w:val="14"/>
          <w:szCs w:val="14"/>
        </w:rPr>
        <w:t xml:space="preserve"> Impactrapport </w:t>
      </w:r>
      <w:hyperlink r:id="rId1" w:history="1">
        <w:r w:rsidRPr="006770A6">
          <w:rPr>
            <w:rStyle w:val="Hyperlink"/>
            <w:color w:val="auto"/>
            <w:sz w:val="14"/>
            <w:szCs w:val="14"/>
          </w:rPr>
          <w:t>Taakopdracht</w:t>
        </w:r>
      </w:hyperlink>
      <w:r w:rsidRPr="006770A6">
        <w:rPr>
          <w:color w:val="auto"/>
          <w:sz w:val="14"/>
          <w:szCs w:val="14"/>
        </w:rPr>
        <w:t xml:space="preserve"> Gender en Gezondheid </w:t>
      </w:r>
    </w:p>
  </w:footnote>
  <w:footnote w:id="9">
    <w:p w14:paraId="29D1C860" w14:textId="77777777" w:rsidR="00BD63D3" w:rsidRPr="006770A6" w:rsidRDefault="00BD63D3" w:rsidP="00BD63D3">
      <w:pPr>
        <w:pStyle w:val="Tekstzonderopmaak"/>
        <w:rPr>
          <w:sz w:val="14"/>
          <w:szCs w:val="14"/>
        </w:rPr>
      </w:pPr>
      <w:r w:rsidRPr="006770A6">
        <w:rPr>
          <w:rStyle w:val="Voetnootmarkering"/>
          <w:sz w:val="14"/>
          <w:szCs w:val="14"/>
        </w:rPr>
        <w:footnoteRef/>
      </w:r>
      <w:r w:rsidRPr="006770A6">
        <w:rPr>
          <w:sz w:val="14"/>
          <w:szCs w:val="14"/>
        </w:rPr>
        <w:t xml:space="preserve"> </w:t>
      </w:r>
      <w:hyperlink r:id="rId2" w:history="1">
        <w:r w:rsidRPr="006770A6">
          <w:rPr>
            <w:rStyle w:val="Hyperlink"/>
            <w:sz w:val="14"/>
            <w:szCs w:val="14"/>
          </w:rPr>
          <w:t>https://www.amsterdamumc.org/nl/vandaag/vrouwspecifieke-aandoeningen-raken-ons-allemaal.htm</w:t>
        </w:r>
      </w:hyperlink>
    </w:p>
  </w:footnote>
  <w:footnote w:id="10">
    <w:p w14:paraId="7000D4E7" w14:textId="77777777" w:rsidR="00BD63D3" w:rsidRPr="006770A6" w:rsidRDefault="00BD63D3" w:rsidP="00BD63D3">
      <w:pPr>
        <w:rPr>
          <w:sz w:val="14"/>
          <w:szCs w:val="14"/>
          <w:lang w:val="en-US"/>
        </w:rPr>
      </w:pPr>
      <w:r w:rsidRPr="006770A6">
        <w:rPr>
          <w:rStyle w:val="Voetnootmarkering"/>
          <w:sz w:val="14"/>
          <w:szCs w:val="14"/>
        </w:rPr>
        <w:footnoteRef/>
      </w:r>
      <w:r w:rsidRPr="006770A6">
        <w:rPr>
          <w:sz w:val="14"/>
          <w:szCs w:val="14"/>
          <w:lang w:val="en-US"/>
        </w:rPr>
        <w:t xml:space="preserve"> </w:t>
      </w:r>
      <w:hyperlink r:id="rId3" w:history="1">
        <w:r w:rsidRPr="006770A6">
          <w:rPr>
            <w:sz w:val="14"/>
            <w:szCs w:val="14"/>
            <w:lang w:val="en-US"/>
          </w:rPr>
          <w:t>Netherlands Women’s Health Research &amp; Innovation Center - Erasmus MC</w:t>
        </w:r>
      </w:hyperlink>
    </w:p>
  </w:footnote>
  <w:footnote w:id="11">
    <w:p w14:paraId="6AF48D70" w14:textId="77777777" w:rsidR="00BD63D3" w:rsidRPr="006770A6" w:rsidRDefault="00BD63D3" w:rsidP="00BD63D3">
      <w:pPr>
        <w:pStyle w:val="Tekstzonderopmaak"/>
        <w:rPr>
          <w:lang w:val="en-US"/>
        </w:rPr>
      </w:pPr>
      <w:r>
        <w:rPr>
          <w:rStyle w:val="Voetnootmarkering"/>
        </w:rPr>
        <w:footnoteRef/>
      </w:r>
      <w:r w:rsidRPr="006770A6">
        <w:rPr>
          <w:lang w:val="en-US"/>
        </w:rPr>
        <w:t xml:space="preserve"> </w:t>
      </w:r>
      <w:hyperlink r:id="rId4" w:history="1">
        <w:r w:rsidRPr="00FC52E5">
          <w:rPr>
            <w:rStyle w:val="Hyperlink"/>
            <w:sz w:val="14"/>
            <w:szCs w:val="14"/>
            <w:lang w:val="en-US"/>
          </w:rPr>
          <w:t>https://www.lumc.nl/actueel/2025/politieke-steun-vrouwengezondheid-helpt-lumc-zet-volgende-stappen/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BF98" w14:textId="77777777" w:rsidR="00BD63D3" w:rsidRPr="00BD63D3" w:rsidRDefault="00BD63D3" w:rsidP="00BD63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CB88" w14:textId="77777777" w:rsidR="00E930A9" w:rsidRPr="00BD63D3" w:rsidRDefault="00E930A9" w:rsidP="00BD63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FDC5" w14:textId="77777777" w:rsidR="00E930A9" w:rsidRPr="00BD63D3" w:rsidRDefault="00E930A9" w:rsidP="00BD63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759D6"/>
    <w:multiLevelType w:val="hybridMultilevel"/>
    <w:tmpl w:val="FA9CE810"/>
    <w:lvl w:ilvl="0" w:tplc="34C6D6CA">
      <w:start w:val="1"/>
      <w:numFmt w:val="decimal"/>
      <w:lvlText w:val="%1."/>
      <w:lvlJc w:val="left"/>
      <w:pPr>
        <w:ind w:left="720" w:hanging="360"/>
      </w:pPr>
      <w:rPr>
        <w:rFonts w:hint="default"/>
      </w:rPr>
    </w:lvl>
    <w:lvl w:ilvl="1" w:tplc="B0FE72F0">
      <w:start w:val="1"/>
      <w:numFmt w:val="decimal"/>
      <w:lvlText w:val="%2)"/>
      <w:lvlJc w:val="left"/>
      <w:pPr>
        <w:ind w:left="1440" w:hanging="360"/>
      </w:pPr>
      <w:rPr>
        <w:rFonts w:hint="default"/>
      </w:rPr>
    </w:lvl>
    <w:lvl w:ilvl="2" w:tplc="E030522E" w:tentative="1">
      <w:start w:val="1"/>
      <w:numFmt w:val="lowerRoman"/>
      <w:lvlText w:val="%3."/>
      <w:lvlJc w:val="right"/>
      <w:pPr>
        <w:ind w:left="2160" w:hanging="180"/>
      </w:pPr>
    </w:lvl>
    <w:lvl w:ilvl="3" w:tplc="135C10F6" w:tentative="1">
      <w:start w:val="1"/>
      <w:numFmt w:val="decimal"/>
      <w:lvlText w:val="%4."/>
      <w:lvlJc w:val="left"/>
      <w:pPr>
        <w:ind w:left="2880" w:hanging="360"/>
      </w:pPr>
    </w:lvl>
    <w:lvl w:ilvl="4" w:tplc="F120F44C" w:tentative="1">
      <w:start w:val="1"/>
      <w:numFmt w:val="lowerLetter"/>
      <w:lvlText w:val="%5."/>
      <w:lvlJc w:val="left"/>
      <w:pPr>
        <w:ind w:left="3600" w:hanging="360"/>
      </w:pPr>
    </w:lvl>
    <w:lvl w:ilvl="5" w:tplc="8D58148C" w:tentative="1">
      <w:start w:val="1"/>
      <w:numFmt w:val="lowerRoman"/>
      <w:lvlText w:val="%6."/>
      <w:lvlJc w:val="right"/>
      <w:pPr>
        <w:ind w:left="4320" w:hanging="180"/>
      </w:pPr>
    </w:lvl>
    <w:lvl w:ilvl="6" w:tplc="93A820E0" w:tentative="1">
      <w:start w:val="1"/>
      <w:numFmt w:val="decimal"/>
      <w:lvlText w:val="%7."/>
      <w:lvlJc w:val="left"/>
      <w:pPr>
        <w:ind w:left="5040" w:hanging="360"/>
      </w:pPr>
    </w:lvl>
    <w:lvl w:ilvl="7" w:tplc="A8C05D7C" w:tentative="1">
      <w:start w:val="1"/>
      <w:numFmt w:val="lowerLetter"/>
      <w:lvlText w:val="%8."/>
      <w:lvlJc w:val="left"/>
      <w:pPr>
        <w:ind w:left="5760" w:hanging="360"/>
      </w:pPr>
    </w:lvl>
    <w:lvl w:ilvl="8" w:tplc="F662BB46" w:tentative="1">
      <w:start w:val="1"/>
      <w:numFmt w:val="lowerRoman"/>
      <w:lvlText w:val="%9."/>
      <w:lvlJc w:val="right"/>
      <w:pPr>
        <w:ind w:left="6480" w:hanging="180"/>
      </w:pPr>
    </w:lvl>
  </w:abstractNum>
  <w:num w:numId="1" w16cid:durableId="18980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D3"/>
    <w:rsid w:val="000859F8"/>
    <w:rsid w:val="002E3E61"/>
    <w:rsid w:val="006101B7"/>
    <w:rsid w:val="00623C79"/>
    <w:rsid w:val="007F471E"/>
    <w:rsid w:val="008C0B1D"/>
    <w:rsid w:val="00BD63D3"/>
    <w:rsid w:val="00DE2A3D"/>
    <w:rsid w:val="00E930A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5FEC"/>
  <w15:chartTrackingRefBased/>
  <w15:docId w15:val="{401857FA-647A-4242-B239-2C7459E0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6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63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63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63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63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63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63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63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63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63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63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63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63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63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63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63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63D3"/>
    <w:rPr>
      <w:rFonts w:eastAsiaTheme="majorEastAsia" w:cstheme="majorBidi"/>
      <w:color w:val="272727" w:themeColor="text1" w:themeTint="D8"/>
    </w:rPr>
  </w:style>
  <w:style w:type="paragraph" w:styleId="Titel">
    <w:name w:val="Title"/>
    <w:basedOn w:val="Standaard"/>
    <w:next w:val="Standaard"/>
    <w:link w:val="TitelChar"/>
    <w:uiPriority w:val="10"/>
    <w:qFormat/>
    <w:rsid w:val="00BD6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63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63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63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63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63D3"/>
    <w:rPr>
      <w:i/>
      <w:iCs/>
      <w:color w:val="404040" w:themeColor="text1" w:themeTint="BF"/>
    </w:rPr>
  </w:style>
  <w:style w:type="paragraph" w:styleId="Lijstalinea">
    <w:name w:val="List Paragraph"/>
    <w:aliases w:val="3,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BD63D3"/>
    <w:pPr>
      <w:ind w:left="720"/>
      <w:contextualSpacing/>
    </w:pPr>
  </w:style>
  <w:style w:type="character" w:styleId="Intensievebenadrukking">
    <w:name w:val="Intense Emphasis"/>
    <w:basedOn w:val="Standaardalinea-lettertype"/>
    <w:uiPriority w:val="21"/>
    <w:qFormat/>
    <w:rsid w:val="00BD63D3"/>
    <w:rPr>
      <w:i/>
      <w:iCs/>
      <w:color w:val="0F4761" w:themeColor="accent1" w:themeShade="BF"/>
    </w:rPr>
  </w:style>
  <w:style w:type="paragraph" w:styleId="Duidelijkcitaat">
    <w:name w:val="Intense Quote"/>
    <w:basedOn w:val="Standaard"/>
    <w:next w:val="Standaard"/>
    <w:link w:val="DuidelijkcitaatChar"/>
    <w:uiPriority w:val="30"/>
    <w:qFormat/>
    <w:rsid w:val="00BD6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63D3"/>
    <w:rPr>
      <w:i/>
      <w:iCs/>
      <w:color w:val="0F4761" w:themeColor="accent1" w:themeShade="BF"/>
    </w:rPr>
  </w:style>
  <w:style w:type="character" w:styleId="Intensieveverwijzing">
    <w:name w:val="Intense Reference"/>
    <w:basedOn w:val="Standaardalinea-lettertype"/>
    <w:uiPriority w:val="32"/>
    <w:qFormat/>
    <w:rsid w:val="00BD63D3"/>
    <w:rPr>
      <w:b/>
      <w:bCs/>
      <w:smallCaps/>
      <w:color w:val="0F4761" w:themeColor="accent1" w:themeShade="BF"/>
      <w:spacing w:val="5"/>
    </w:rPr>
  </w:style>
  <w:style w:type="paragraph" w:customStyle="1" w:styleId="Huisstijl-Slotzin">
    <w:name w:val="Huisstijl - Slotzin"/>
    <w:basedOn w:val="Standaard"/>
    <w:next w:val="Huisstijl-Ondertekening"/>
    <w:rsid w:val="00BD63D3"/>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Standaard"/>
    <w:rsid w:val="00BD63D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BD63D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D63D3"/>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BD63D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D63D3"/>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rsid w:val="00BD63D3"/>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BD63D3"/>
    <w:pPr>
      <w:autoSpaceDE w:val="0"/>
      <w:autoSpaceDN w:val="0"/>
      <w:spacing w:line="240" w:lineRule="exact"/>
      <w:jc w:val="both"/>
    </w:pPr>
    <w:rPr>
      <w:vertAlign w:val="superscript"/>
    </w:rPr>
  </w:style>
  <w:style w:type="character" w:styleId="Hyperlink">
    <w:name w:val="Hyperlink"/>
    <w:basedOn w:val="Standaardalinea-lettertype"/>
    <w:uiPriority w:val="99"/>
    <w:semiHidden/>
    <w:unhideWhenUsed/>
    <w:rsid w:val="00BD63D3"/>
    <w:rPr>
      <w:color w:val="467886" w:themeColor="hyperlink"/>
      <w:u w:val="single"/>
    </w:rPr>
  </w:style>
  <w:style w:type="paragraph" w:styleId="Tekstzonderopmaak">
    <w:name w:val="Plain Text"/>
    <w:basedOn w:val="Standaard"/>
    <w:link w:val="TekstzonderopmaakChar"/>
    <w:uiPriority w:val="99"/>
    <w:unhideWhenUsed/>
    <w:rsid w:val="00BD63D3"/>
    <w:pPr>
      <w:spacing w:after="0" w:line="240" w:lineRule="auto"/>
    </w:pPr>
    <w:rPr>
      <w:rFonts w:ascii="Verdana" w:eastAsia="Times New Roman" w:hAnsi="Verdana" w:cs="Aptos"/>
      <w:kern w:val="0"/>
      <w:sz w:val="18"/>
      <w:szCs w:val="21"/>
      <w14:ligatures w14:val="none"/>
    </w:rPr>
  </w:style>
  <w:style w:type="character" w:customStyle="1" w:styleId="TekstzonderopmaakChar">
    <w:name w:val="Tekst zonder opmaak Char"/>
    <w:basedOn w:val="Standaardalinea-lettertype"/>
    <w:link w:val="Tekstzonderopmaak"/>
    <w:uiPriority w:val="99"/>
    <w:rsid w:val="00BD63D3"/>
    <w:rPr>
      <w:rFonts w:ascii="Verdana" w:eastAsia="Times New Roman" w:hAnsi="Verdana" w:cs="Aptos"/>
      <w:kern w:val="0"/>
      <w:sz w:val="18"/>
      <w:szCs w:val="21"/>
      <w14:ligatures w14:val="none"/>
    </w:rPr>
  </w:style>
  <w:style w:type="character" w:customStyle="1" w:styleId="LijstalineaChar">
    <w:name w:val="Lijstalinea Char"/>
    <w:aliases w:val="3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BD63D3"/>
  </w:style>
  <w:style w:type="paragraph" w:styleId="Voettekst">
    <w:name w:val="footer"/>
    <w:basedOn w:val="Standaard"/>
    <w:link w:val="VoettekstChar"/>
    <w:uiPriority w:val="99"/>
    <w:unhideWhenUsed/>
    <w:rsid w:val="00BD63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3D3"/>
  </w:style>
  <w:style w:type="paragraph" w:styleId="Geenafstand">
    <w:name w:val="No Spacing"/>
    <w:uiPriority w:val="1"/>
    <w:qFormat/>
    <w:rsid w:val="008C0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rasmusmc.nl/en/research/women%27s-health-research-and-innovation-center" TargetMode="External"/><Relationship Id="rId2" Type="http://schemas.openxmlformats.org/officeDocument/2006/relationships/hyperlink" Target="https://www.amsterdamumc.org/nl/vandaag/vrouwspecifieke-aandoeningen-raken-ons-allemaal.htm" TargetMode="External"/><Relationship Id="rId1" Type="http://schemas.openxmlformats.org/officeDocument/2006/relationships/hyperlink" Target="https://www.zonmw.nl/sites/zonmw/files/2025-04/Impactrapport-Taakopdracht-Gender-en-Gezondheid.pdf" TargetMode="External"/><Relationship Id="rId4" Type="http://schemas.openxmlformats.org/officeDocument/2006/relationships/hyperlink" Target="https://www.lumc.nl/actueel/2025/politieke-steun-vrouwengezondheid-helpt-lumc-zet-volgende-stap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938</ap:Words>
  <ap:Characters>5160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2025-07-14T08:09:00.0000000Z</dcterms:created>
  <dcterms:modified xsi:type="dcterms:W3CDTF">2025-07-14T08:09:00.0000000Z</dcterms:modified>
  <version/>
  <category/>
</coreProperties>
</file>