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7E0" w:firstRow="1" w:lastRow="1" w:firstColumn="1" w:lastColumn="1" w:noHBand="1" w:noVBand="1"/>
      </w:tblPr>
      <w:tblGrid>
        <w:gridCol w:w="2440"/>
        <w:gridCol w:w="5240"/>
      </w:tblGrid>
      <w:tr w:rsidR="00885094" w:rsidTr="009C7DB6" w14:paraId="48DC3E4C" w14:textId="77777777">
        <w:trPr>
          <w:trHeight w:val="195"/>
        </w:trPr>
        <w:tc>
          <w:tcPr>
            <w:tcW w:w="2440" w:type="dxa"/>
            <w:tcBorders>
              <w:bottom w:val="dotted" w:color="000000" w:sz="6" w:space="0"/>
            </w:tcBorders>
          </w:tcPr>
          <w:p w:rsidR="00885094" w:rsidRDefault="00885094" w14:paraId="16A9537A" w14:textId="77777777"/>
        </w:tc>
        <w:tc>
          <w:tcPr>
            <w:tcW w:w="5240" w:type="dxa"/>
            <w:tcBorders>
              <w:bottom w:val="dotted" w:color="000000" w:sz="6" w:space="0"/>
            </w:tcBorders>
          </w:tcPr>
          <w:p w:rsidR="00885094" w:rsidRDefault="00885094" w14:paraId="78F4227E" w14:textId="77777777"/>
        </w:tc>
      </w:tr>
      <w:tr w:rsidR="00885094" w14:paraId="3B2E418D" w14:textId="77777777">
        <w:trPr>
          <w:trHeight w:val="200"/>
        </w:trPr>
        <w:tc>
          <w:tcPr>
            <w:tcW w:w="2440" w:type="dxa"/>
            <w:tcBorders>
              <w:top w:val="dotted" w:color="000000" w:sz="6" w:space="0"/>
            </w:tcBorders>
          </w:tcPr>
          <w:p w:rsidR="00885094" w:rsidRDefault="00885094" w14:paraId="444ED3A2" w14:textId="77777777"/>
        </w:tc>
        <w:tc>
          <w:tcPr>
            <w:tcW w:w="5240" w:type="dxa"/>
            <w:tcBorders>
              <w:top w:val="dotted" w:color="000000" w:sz="6" w:space="0"/>
            </w:tcBorders>
          </w:tcPr>
          <w:p w:rsidR="00885094" w:rsidRDefault="00885094" w14:paraId="1F19C884" w14:textId="77777777"/>
        </w:tc>
      </w:tr>
      <w:tr w:rsidR="00885094" w14:paraId="1341CE57" w14:textId="77777777">
        <w:trPr>
          <w:trHeight w:val="240"/>
        </w:trPr>
        <w:tc>
          <w:tcPr>
            <w:tcW w:w="2440" w:type="dxa"/>
          </w:tcPr>
          <w:p w:rsidR="00885094" w:rsidRDefault="00885094" w14:paraId="789590A4" w14:textId="77777777">
            <w:pPr>
              <w:pStyle w:val="Referentiegegevens"/>
            </w:pPr>
          </w:p>
        </w:tc>
        <w:tc>
          <w:tcPr>
            <w:tcW w:w="5240" w:type="dxa"/>
          </w:tcPr>
          <w:p w:rsidR="00885094" w:rsidRDefault="00885094" w14:paraId="1CDADC4A" w14:textId="77777777"/>
        </w:tc>
      </w:tr>
      <w:tr w:rsidR="00885094" w14:paraId="4A25EC48" w14:textId="77777777">
        <w:trPr>
          <w:trHeight w:val="240"/>
        </w:trPr>
        <w:tc>
          <w:tcPr>
            <w:tcW w:w="2440" w:type="dxa"/>
          </w:tcPr>
          <w:p w:rsidR="00885094" w:rsidRDefault="007E58F1" w14:paraId="5E958FB5" w14:textId="77777777">
            <w:pPr>
              <w:pStyle w:val="Referentiegegevens"/>
            </w:pPr>
            <w:r>
              <w:t>Vergaderdatum</w:t>
            </w:r>
          </w:p>
        </w:tc>
        <w:tc>
          <w:tcPr>
            <w:tcW w:w="5240" w:type="dxa"/>
          </w:tcPr>
          <w:p w:rsidR="00885094" w:rsidRDefault="00F53B1F" w14:paraId="2AB7041F" w14:textId="77777777">
            <w:r>
              <w:t>12 tot en met 13 juni 2025</w:t>
            </w:r>
          </w:p>
        </w:tc>
      </w:tr>
      <w:tr w:rsidR="00885094" w14:paraId="5924C8A8" w14:textId="77777777">
        <w:trPr>
          <w:trHeight w:val="240"/>
        </w:trPr>
        <w:tc>
          <w:tcPr>
            <w:tcW w:w="2440" w:type="dxa"/>
          </w:tcPr>
          <w:p w:rsidR="00885094" w:rsidRDefault="007E58F1" w14:paraId="2BE669E3" w14:textId="77777777">
            <w:pPr>
              <w:pStyle w:val="Referentiegegevens"/>
            </w:pPr>
            <w:r>
              <w:t>Vergaderplaats</w:t>
            </w:r>
          </w:p>
        </w:tc>
        <w:tc>
          <w:tcPr>
            <w:tcW w:w="5240" w:type="dxa"/>
          </w:tcPr>
          <w:p w:rsidR="00885094" w:rsidRDefault="007E58F1" w14:paraId="4178FA3D" w14:textId="77777777">
            <w:r>
              <w:t xml:space="preserve">Raad van Europa, Straatsburg </w:t>
            </w:r>
          </w:p>
        </w:tc>
      </w:tr>
      <w:tr w:rsidR="00885094" w14:paraId="2D828C7C" w14:textId="77777777">
        <w:trPr>
          <w:trHeight w:val="240"/>
        </w:trPr>
        <w:tc>
          <w:tcPr>
            <w:tcW w:w="2440" w:type="dxa"/>
          </w:tcPr>
          <w:p w:rsidR="00885094" w:rsidRDefault="007E58F1" w14:paraId="7332AE58" w14:textId="77777777">
            <w:pPr>
              <w:pStyle w:val="Referentiegegevens"/>
            </w:pPr>
            <w:r>
              <w:t>Aanwezig</w:t>
            </w:r>
          </w:p>
        </w:tc>
        <w:tc>
          <w:tcPr>
            <w:tcW w:w="5240" w:type="dxa"/>
          </w:tcPr>
          <w:p w:rsidR="009C7DB6" w:rsidP="009C7DB6" w:rsidRDefault="009C7DB6" w14:paraId="7A575396" w14:textId="77777777">
            <w:r>
              <w:t xml:space="preserve">Vertegenwoordigers van het </w:t>
            </w:r>
            <w:r w:rsidR="00C93DD3">
              <w:t>m</w:t>
            </w:r>
            <w:r>
              <w:t xml:space="preserve">inisterie van Financiën, </w:t>
            </w:r>
          </w:p>
          <w:p w:rsidR="00885094" w:rsidP="009C7DB6" w:rsidRDefault="009C7DB6" w14:paraId="032E97CF" w14:textId="77777777">
            <w:proofErr w:type="gramStart"/>
            <w:r>
              <w:t>het</w:t>
            </w:r>
            <w:proofErr w:type="gramEnd"/>
            <w:r>
              <w:t xml:space="preserve"> </w:t>
            </w:r>
            <w:r w:rsidR="00C93DD3">
              <w:t>m</w:t>
            </w:r>
            <w:r>
              <w:t xml:space="preserve">inisterie van Justitie en Veiligheid, de Nederlandsche Bank, de Autoriteit Financiële Markten, </w:t>
            </w:r>
            <w:r w:rsidR="00DA7BED">
              <w:t xml:space="preserve">en </w:t>
            </w:r>
            <w:r>
              <w:t xml:space="preserve">het Openbaar Ministerie.   </w:t>
            </w:r>
          </w:p>
        </w:tc>
      </w:tr>
      <w:tr w:rsidR="00885094" w14:paraId="5784AACF" w14:textId="77777777">
        <w:trPr>
          <w:trHeight w:val="200"/>
        </w:trPr>
        <w:tc>
          <w:tcPr>
            <w:tcW w:w="2440" w:type="dxa"/>
          </w:tcPr>
          <w:p w:rsidR="00885094" w:rsidRDefault="00885094" w14:paraId="045431F1" w14:textId="77777777">
            <w:pPr>
              <w:pStyle w:val="Referentiegegevens"/>
            </w:pPr>
          </w:p>
        </w:tc>
        <w:tc>
          <w:tcPr>
            <w:tcW w:w="5240" w:type="dxa"/>
          </w:tcPr>
          <w:p w:rsidR="00885094" w:rsidRDefault="00885094" w14:paraId="2D0C9A35" w14:textId="77777777"/>
        </w:tc>
      </w:tr>
      <w:tr w:rsidR="00885094" w14:paraId="158B3B99" w14:textId="77777777">
        <w:trPr>
          <w:trHeight w:val="200"/>
        </w:trPr>
        <w:tc>
          <w:tcPr>
            <w:tcW w:w="2440" w:type="dxa"/>
          </w:tcPr>
          <w:p w:rsidR="00885094" w:rsidRDefault="00885094" w14:paraId="1799B2F3" w14:textId="77777777">
            <w:pPr>
              <w:pStyle w:val="Referentiegegevens"/>
            </w:pPr>
          </w:p>
        </w:tc>
        <w:tc>
          <w:tcPr>
            <w:tcW w:w="5240" w:type="dxa"/>
          </w:tcPr>
          <w:p w:rsidR="00885094" w:rsidRDefault="00885094" w14:paraId="7E72CF64" w14:textId="77777777"/>
        </w:tc>
      </w:tr>
      <w:tr w:rsidR="00885094" w:rsidTr="009C7DB6" w14:paraId="1F1DD9E7" w14:textId="77777777">
        <w:trPr>
          <w:trHeight w:val="60"/>
        </w:trPr>
        <w:tc>
          <w:tcPr>
            <w:tcW w:w="2440" w:type="dxa"/>
            <w:tcBorders>
              <w:bottom w:val="dotted" w:color="000000" w:sz="6" w:space="0"/>
            </w:tcBorders>
          </w:tcPr>
          <w:p w:rsidR="00885094" w:rsidRDefault="00885094" w14:paraId="197A1142" w14:textId="77777777"/>
        </w:tc>
        <w:tc>
          <w:tcPr>
            <w:tcW w:w="5240" w:type="dxa"/>
            <w:tcBorders>
              <w:bottom w:val="dotted" w:color="000000" w:sz="6" w:space="0"/>
            </w:tcBorders>
          </w:tcPr>
          <w:p w:rsidR="00885094" w:rsidRDefault="00885094" w14:paraId="7AF4DF0C" w14:textId="77777777"/>
        </w:tc>
      </w:tr>
      <w:tr w:rsidR="00885094" w14:paraId="45046F49" w14:textId="77777777">
        <w:trPr>
          <w:trHeight w:val="200"/>
        </w:trPr>
        <w:tc>
          <w:tcPr>
            <w:tcW w:w="2440" w:type="dxa"/>
          </w:tcPr>
          <w:p w:rsidR="00885094" w:rsidRDefault="00885094" w14:paraId="573D4736" w14:textId="77777777"/>
        </w:tc>
        <w:tc>
          <w:tcPr>
            <w:tcW w:w="5240" w:type="dxa"/>
          </w:tcPr>
          <w:p w:rsidR="00885094" w:rsidRDefault="00885094" w14:paraId="64E1C9B7" w14:textId="77777777"/>
        </w:tc>
      </w:tr>
    </w:tbl>
    <w:p w:rsidR="00885094" w:rsidP="00F53B1F" w:rsidRDefault="00885094" w14:paraId="562E1C62" w14:textId="77777777">
      <w:pPr>
        <w:spacing w:line="276" w:lineRule="auto"/>
      </w:pPr>
    </w:p>
    <w:p w:rsidR="009C7DB6" w:rsidP="00F53B1F" w:rsidRDefault="009C7DB6" w14:paraId="4203C5C6" w14:textId="77777777">
      <w:pPr>
        <w:spacing w:line="276" w:lineRule="auto"/>
      </w:pPr>
      <w:r>
        <w:t xml:space="preserve">Deze plenaire vergadering was de derde onder het tweejarig voorzitterschap van </w:t>
      </w:r>
    </w:p>
    <w:p w:rsidR="009C7DB6" w:rsidP="00F53B1F" w:rsidRDefault="009C7DB6" w14:paraId="25C72588" w14:textId="77777777">
      <w:pPr>
        <w:spacing w:line="276" w:lineRule="auto"/>
      </w:pPr>
      <w:r>
        <w:t xml:space="preserve">Mexico en vond plaats in Straatsburg. Omdat de eerste evaluatie van de vijfde ronde (Letland) besproken werd, vond de vergadering gezamenlijk plaats met de Europese zusterorganisatie MONEYVAL. </w:t>
      </w:r>
    </w:p>
    <w:p w:rsidR="009C7DB6" w:rsidP="00F53B1F" w:rsidRDefault="009C7DB6" w14:paraId="63F79BC2" w14:textId="77777777">
      <w:pPr>
        <w:spacing w:line="276" w:lineRule="auto"/>
      </w:pPr>
    </w:p>
    <w:p w:rsidRPr="009C7DB6" w:rsidR="009C7DB6" w:rsidP="00F53B1F" w:rsidRDefault="009C7DB6" w14:paraId="2D1F5B03" w14:textId="77777777">
      <w:pPr>
        <w:spacing w:line="276" w:lineRule="auto"/>
        <w:rPr>
          <w:b/>
          <w:bCs/>
        </w:rPr>
      </w:pPr>
      <w:r w:rsidRPr="009C7DB6">
        <w:rPr>
          <w:b/>
          <w:bCs/>
        </w:rPr>
        <w:t>Schorsing van de Russische Federatie als lid van de FATF</w:t>
      </w:r>
    </w:p>
    <w:p w:rsidR="00885094" w:rsidP="00F53B1F" w:rsidRDefault="009C7DB6" w14:paraId="26F34D65" w14:textId="77777777">
      <w:pPr>
        <w:spacing w:line="276" w:lineRule="auto"/>
      </w:pPr>
      <w:r>
        <w:t xml:space="preserve">Op 24 februari 2023 heeft de plenaire vergadering van de FATF besloten om de Russische Federatie te schorsen als lid van de FATF en </w:t>
      </w:r>
      <w:r w:rsidR="00C93DD3">
        <w:t xml:space="preserve">heeft de FATF </w:t>
      </w:r>
      <w:r>
        <w:t xml:space="preserve">een verklaring </w:t>
      </w:r>
      <w:proofErr w:type="gramStart"/>
      <w:r>
        <w:t>uitgebracht  over</w:t>
      </w:r>
      <w:proofErr w:type="gramEnd"/>
      <w:r>
        <w:t xml:space="preserve"> de Russische oorlogshandelingen in Oekraïne.</w:t>
      </w:r>
      <w:r w:rsidR="008268F6">
        <w:t xml:space="preserve"> In februari 2024 heeft de FATF een nieuwe verklaring naar buiten gebracht.</w:t>
      </w:r>
      <w:r w:rsidR="008268F6">
        <w:rPr>
          <w:rStyle w:val="Voetnootmarkering"/>
        </w:rPr>
        <w:footnoteReference w:id="2"/>
      </w:r>
      <w:r>
        <w:t xml:space="preserve"> Op de afgelopen plenaire vergadering is deze schorsing wederom in stand gelaten. De FATF zal de situatie monitoren en elke plenaire vergadering nagaan of er gronden zijn om de schorsing op te heffen of te wijzigen. Ondertussen blijft het land gebonden aan de FATF-standaarden en dient het aan zijn financiële verplichtingen te blijven voldoen. De Russische Federatie blijft wel lid van de regionale zusterorganisatie </w:t>
      </w:r>
      <w:proofErr w:type="spellStart"/>
      <w:r>
        <w:t>Eurasian</w:t>
      </w:r>
      <w:proofErr w:type="spellEnd"/>
      <w:r>
        <w:t xml:space="preserve"> Group on </w:t>
      </w:r>
      <w:proofErr w:type="spellStart"/>
      <w:r>
        <w:t>Combating</w:t>
      </w:r>
      <w:proofErr w:type="spellEnd"/>
      <w:r>
        <w:t xml:space="preserve"> Money </w:t>
      </w:r>
      <w:proofErr w:type="spellStart"/>
      <w:r>
        <w:t>Laundering</w:t>
      </w:r>
      <w:proofErr w:type="spellEnd"/>
      <w:r>
        <w:t xml:space="preserve"> (EAG).</w:t>
      </w:r>
    </w:p>
    <w:p w:rsidR="009C7DB6" w:rsidP="00F53B1F" w:rsidRDefault="009C7DB6" w14:paraId="5EECE438" w14:textId="77777777">
      <w:pPr>
        <w:spacing w:line="276" w:lineRule="auto"/>
      </w:pPr>
    </w:p>
    <w:p w:rsidRPr="009C7DB6" w:rsidR="009C7DB6" w:rsidP="00F53B1F" w:rsidRDefault="009C7DB6" w14:paraId="40FC31F4" w14:textId="77777777">
      <w:pPr>
        <w:spacing w:line="276" w:lineRule="auto"/>
        <w:rPr>
          <w:b/>
          <w:bCs/>
        </w:rPr>
      </w:pPr>
      <w:r w:rsidRPr="009C7DB6">
        <w:rPr>
          <w:b/>
          <w:bCs/>
        </w:rPr>
        <w:t>Monitoring van naleving van de FATF-standaarden</w:t>
      </w:r>
    </w:p>
    <w:p w:rsidRPr="009C7DB6" w:rsidR="009C7DB6" w:rsidP="00F53B1F" w:rsidRDefault="009C7DB6" w14:paraId="26152FEA" w14:textId="77777777">
      <w:pPr>
        <w:spacing w:line="276" w:lineRule="auto"/>
      </w:pPr>
      <w:r w:rsidRPr="009C7DB6">
        <w:rPr>
          <w:i/>
          <w:iCs/>
        </w:rPr>
        <w:t xml:space="preserve">Wederzijdse evaluatie van </w:t>
      </w:r>
      <w:r>
        <w:rPr>
          <w:i/>
          <w:iCs/>
        </w:rPr>
        <w:t>Letland</w:t>
      </w:r>
      <w:r w:rsidRPr="009C7DB6">
        <w:rPr>
          <w:i/>
          <w:iCs/>
        </w:rPr>
        <w:t xml:space="preserve"> </w:t>
      </w:r>
    </w:p>
    <w:p w:rsidR="009C7DB6" w:rsidP="00F53B1F" w:rsidRDefault="009C7DB6" w14:paraId="15DBE86C" w14:textId="77777777">
      <w:pPr>
        <w:spacing w:line="276" w:lineRule="auto"/>
      </w:pPr>
      <w:r w:rsidRPr="009C7DB6">
        <w:t>De FATF</w:t>
      </w:r>
      <w:r>
        <w:t xml:space="preserve"> en MONEYVAL</w:t>
      </w:r>
      <w:r w:rsidRPr="009C7DB6">
        <w:t xml:space="preserve"> he</w:t>
      </w:r>
      <w:r>
        <w:t>bben</w:t>
      </w:r>
      <w:r w:rsidRPr="009C7DB6">
        <w:t xml:space="preserve"> de bespreking van de wederzijdse evaluatie</w:t>
      </w:r>
      <w:r>
        <w:t xml:space="preserve"> v</w:t>
      </w:r>
      <w:r w:rsidRPr="009C7DB6">
        <w:t xml:space="preserve">an </w:t>
      </w:r>
      <w:r>
        <w:t>Letland</w:t>
      </w:r>
      <w:r w:rsidRPr="009C7DB6">
        <w:t xml:space="preserve"> afgerond. Door middel van peer reviews is beoordeeld of de wet- en regelgeving van </w:t>
      </w:r>
      <w:r w:rsidR="00293B1E">
        <w:t>het land</w:t>
      </w:r>
      <w:r w:rsidRPr="009C7DB6">
        <w:t xml:space="preserve"> technisch voldoen aan de FATF-standaarden en in </w:t>
      </w:r>
      <w:r w:rsidRPr="009C7DB6">
        <w:lastRenderedPageBreak/>
        <w:t xml:space="preserve">hoeverre dit stelsel effectief is in het beschermen van de integriteit van het financiële systeem. </w:t>
      </w:r>
      <w:r w:rsidR="00293B1E">
        <w:t>Het</w:t>
      </w:r>
      <w:r w:rsidRPr="009C7DB6" w:rsidR="00293B1E">
        <w:t xml:space="preserve"> </w:t>
      </w:r>
      <w:r w:rsidRPr="009C7DB6">
        <w:t xml:space="preserve">evaluatierapport van </w:t>
      </w:r>
      <w:r>
        <w:t>het land</w:t>
      </w:r>
      <w:r w:rsidRPr="009C7DB6">
        <w:t xml:space="preserve"> zal naar verwachting in </w:t>
      </w:r>
      <w:r w:rsidR="00293B1E">
        <w:t>het vierde kwartaal</w:t>
      </w:r>
      <w:r w:rsidRPr="009C7DB6" w:rsidR="00293B1E">
        <w:t xml:space="preserve"> </w:t>
      </w:r>
      <w:r w:rsidRPr="009C7DB6">
        <w:t xml:space="preserve">worden gepubliceerd. </w:t>
      </w:r>
      <w:r w:rsidR="00210D7B">
        <w:t>Deze evaluatie was de eerste evaluatie van de vijfde ronde van evaluaties</w:t>
      </w:r>
      <w:r w:rsidRPr="009C7DB6">
        <w:t>. Waar de vierde ronde 10 jaar in beslag nam (als gevolg van COVID heeft de ronde in werkelijkheid 12 jaar geduurd)</w:t>
      </w:r>
      <w:r w:rsidR="00293B1E">
        <w:t>,</w:t>
      </w:r>
      <w:r w:rsidRPr="009C7DB6">
        <w:t xml:space="preserve"> gaat de vijfde ronde 6 jaar duren. De vijfde ronde zal zich nog meer richten op de</w:t>
      </w:r>
      <w:r w:rsidR="00293B1E">
        <w:t xml:space="preserve"> evaluatie van de</w:t>
      </w:r>
      <w:r w:rsidRPr="009C7DB6">
        <w:t xml:space="preserve"> effectiviteit van het </w:t>
      </w:r>
      <w:r w:rsidR="00293B1E">
        <w:t>gevoerde</w:t>
      </w:r>
      <w:r w:rsidRPr="009C7DB6">
        <w:t xml:space="preserve"> beleid. De FATF zal naar verwachting de Nederlandse evaluatie van de vijfde ronde in 2030 bespreken.  </w:t>
      </w:r>
    </w:p>
    <w:p w:rsidR="00452E8C" w:rsidP="00F53B1F" w:rsidRDefault="00452E8C" w14:paraId="3070247E" w14:textId="77777777">
      <w:pPr>
        <w:spacing w:line="276" w:lineRule="auto"/>
      </w:pPr>
    </w:p>
    <w:p w:rsidRPr="00452E8C" w:rsidR="00452E8C" w:rsidP="00F53B1F" w:rsidRDefault="00452E8C" w14:paraId="5934C486" w14:textId="77777777">
      <w:pPr>
        <w:spacing w:line="276" w:lineRule="auto"/>
      </w:pPr>
      <w:r w:rsidRPr="00452E8C">
        <w:rPr>
          <w:b/>
          <w:bCs/>
        </w:rPr>
        <w:t>Jurisdicties met verhoogde risico’s</w:t>
      </w:r>
      <w:r w:rsidRPr="00452E8C">
        <w:t xml:space="preserve"> </w:t>
      </w:r>
    </w:p>
    <w:p w:rsidRPr="00452E8C" w:rsidR="00452E8C" w:rsidP="00F53B1F" w:rsidRDefault="00452E8C" w14:paraId="58641ED9" w14:textId="77777777">
      <w:pPr>
        <w:spacing w:line="276" w:lineRule="auto"/>
      </w:pPr>
      <w:r w:rsidRPr="00452E8C">
        <w:t>De FATF publiceert twee lijsten waarop landen en jurisdicties staan met strategische tekortkomingen in hun nationale beleid ter voorkoming en bestrijding van witwassen en terrorismefinanciering. De eerste lijst betreft de zogeheten “hoog risicolanden onderhevig aan een oproep tot tegenmaatregelen”. Deze lijst wordt vaak aangeduid als de “zwarte lijst”. De lijst bevat jurisdicties die geen betrokkenheid tonen om verbeteringen door te voeren of onvoldoende voortgang hebben geboekt in het terugdringen van hun strategische tekortkomingen en die een bedreiging kunnen vormen voor het internationale financiële systeem.</w:t>
      </w:r>
      <w:r w:rsidRPr="00452E8C">
        <w:rPr>
          <w:vertAlign w:val="superscript"/>
        </w:rPr>
        <w:footnoteReference w:id="3"/>
      </w:r>
      <w:r w:rsidRPr="00452E8C">
        <w:t xml:space="preserve"> Noord-Korea en Iran staan al geruime tijd op deze lijst. Er geldt een oproep aan alle landen om effectieve tegenmaatregelen te nemen tegen deze twee landen. </w:t>
      </w:r>
    </w:p>
    <w:p w:rsidRPr="00452E8C" w:rsidR="00452E8C" w:rsidP="00F53B1F" w:rsidRDefault="00452E8C" w14:paraId="14004054" w14:textId="77777777">
      <w:pPr>
        <w:spacing w:line="276" w:lineRule="auto"/>
      </w:pPr>
    </w:p>
    <w:p w:rsidRPr="00452E8C" w:rsidR="00452E8C" w:rsidP="00F53B1F" w:rsidRDefault="00452E8C" w14:paraId="68B093A8" w14:textId="77777777">
      <w:pPr>
        <w:spacing w:line="276" w:lineRule="auto"/>
      </w:pPr>
      <w:r w:rsidRPr="00452E8C">
        <w:t xml:space="preserve">Myanmar staat sinds oktober 2022 op de zwarte lijst, omdat het land een gebrek aan voortgang laat zien bij het uitvoeren van zijn verbeterplan. De FATF roept daarom alle landen ter wereld op om verscherpt cliëntenonderzoek te doen bij transacties van en naar Myanmar, in lijn met de bijbehorende risico’s. De FATF meldt daarbij wel expliciet dat deze verscherpte maatregelen niet ten koste mogen gaan van humanitaire geldstromen, financiering van legitieme </w:t>
      </w:r>
      <w:proofErr w:type="spellStart"/>
      <w:r w:rsidRPr="00452E8C">
        <w:t>NGO’s</w:t>
      </w:r>
      <w:proofErr w:type="spellEnd"/>
      <w:r w:rsidRPr="00452E8C">
        <w:t xml:space="preserve"> en particuliere geldtransfers. </w:t>
      </w:r>
    </w:p>
    <w:p w:rsidRPr="00452E8C" w:rsidR="00452E8C" w:rsidP="00F53B1F" w:rsidRDefault="00452E8C" w14:paraId="591D7643" w14:textId="77777777">
      <w:pPr>
        <w:spacing w:line="276" w:lineRule="auto"/>
      </w:pPr>
    </w:p>
    <w:p w:rsidRPr="00452E8C" w:rsidR="00452E8C" w:rsidP="00F53B1F" w:rsidRDefault="00452E8C" w14:paraId="5A4EC733" w14:textId="77777777">
      <w:pPr>
        <w:spacing w:line="276" w:lineRule="auto"/>
      </w:pPr>
      <w:r w:rsidRPr="00452E8C">
        <w:t>De tweede lijst die de FATF publiceert is getiteld “Jurisdicties onder verscherpt toezicht”.</w:t>
      </w:r>
      <w:r w:rsidRPr="00452E8C">
        <w:rPr>
          <w:vertAlign w:val="superscript"/>
        </w:rPr>
        <w:footnoteReference w:id="4"/>
      </w:r>
      <w:r w:rsidRPr="00452E8C">
        <w:t xml:space="preserve"> Deze lijst wordt vaak aangeduid als de “grijze lijst”. De lijst bevat landen die strategische tekortkomingen hebben in hun nationale regimes ter voorkoming en bestrijding van witwassen en terrorismefinanciering, maar die gecommitteerd zijn om deze tekortkomingen aan te pakken. In de laatste plenaire vergadering is besloten dat </w:t>
      </w:r>
      <w:r w:rsidR="00B02DFB">
        <w:t>Bolivia en de Britse Maagdeneilanden</w:t>
      </w:r>
      <w:r w:rsidRPr="00452E8C">
        <w:t xml:space="preserve"> worden toegevoegd aan de grijze lijst. </w:t>
      </w:r>
      <w:r w:rsidRPr="00B02DFB" w:rsidR="00B02DFB">
        <w:t xml:space="preserve">Kroatië, Mali en Tanzania </w:t>
      </w:r>
      <w:r w:rsidR="00B02DFB">
        <w:t xml:space="preserve">zijn </w:t>
      </w:r>
      <w:r w:rsidRPr="00452E8C">
        <w:t>van de lijst afgehaald. In totaal staan sinds juni 202</w:t>
      </w:r>
      <w:r w:rsidR="00B02DFB">
        <w:t>5</w:t>
      </w:r>
      <w:r w:rsidRPr="00452E8C">
        <w:t xml:space="preserve"> vierentwintig landen op deze lijst.</w:t>
      </w:r>
      <w:r w:rsidRPr="00452E8C">
        <w:rPr>
          <w:vertAlign w:val="superscript"/>
        </w:rPr>
        <w:footnoteReference w:id="5"/>
      </w:r>
      <w:r w:rsidRPr="00452E8C">
        <w:t xml:space="preserve"> De Nederlandsche Bank en de Autoriteit Financiële Markten verwijzen op hun website na elke plenaire vergadering naar de meest recente lijsten. Op diezelfde websites wordt toegelicht welke (aanvullende) maatregelen Nederlandse financiële instellingen dienen te nemen in het kader van de naleving van de Wet ter voorkoming van witwassen en financieren van terrorisme (</w:t>
      </w:r>
      <w:proofErr w:type="spellStart"/>
      <w:r w:rsidRPr="00452E8C">
        <w:t>Wwft</w:t>
      </w:r>
      <w:proofErr w:type="spellEnd"/>
      <w:r w:rsidRPr="00452E8C">
        <w:t xml:space="preserve">) om het </w:t>
      </w:r>
      <w:r w:rsidRPr="00452E8C">
        <w:lastRenderedPageBreak/>
        <w:t>verhoogde risico ten aanzien van relaties met ingezetenen van deze landen en het uitvoeren van transacties van of naar deze landen te mitigeren.</w:t>
      </w:r>
    </w:p>
    <w:p w:rsidR="00836633" w:rsidP="00F53B1F" w:rsidRDefault="00836633" w14:paraId="1B3CC7B8" w14:textId="77777777">
      <w:pPr>
        <w:spacing w:line="276" w:lineRule="auto"/>
        <w:rPr>
          <w:b/>
          <w:bCs/>
        </w:rPr>
      </w:pPr>
    </w:p>
    <w:p w:rsidRPr="00B50AE4" w:rsidR="00452E8C" w:rsidP="00F53B1F" w:rsidRDefault="00B50AE4" w14:paraId="05C6AFAB" w14:textId="77777777">
      <w:pPr>
        <w:spacing w:line="276" w:lineRule="auto"/>
        <w:rPr>
          <w:b/>
          <w:bCs/>
        </w:rPr>
      </w:pPr>
      <w:r w:rsidRPr="00B50AE4">
        <w:rPr>
          <w:b/>
          <w:bCs/>
        </w:rPr>
        <w:t>Strategische initiatieven</w:t>
      </w:r>
    </w:p>
    <w:p w:rsidR="009C7DB6" w:rsidP="00F53B1F" w:rsidRDefault="003430D0" w14:paraId="324DF416" w14:textId="77777777">
      <w:pPr>
        <w:spacing w:line="276" w:lineRule="auto"/>
        <w:rPr>
          <w:i/>
          <w:iCs/>
        </w:rPr>
      </w:pPr>
      <w:r w:rsidRPr="003430D0">
        <w:rPr>
          <w:i/>
          <w:iCs/>
        </w:rPr>
        <w:t>Herziening standaard betalingsverkeer</w:t>
      </w:r>
    </w:p>
    <w:p w:rsidR="003430D0" w:rsidP="00F53B1F" w:rsidRDefault="003430D0" w14:paraId="7399B5F9" w14:textId="77777777">
      <w:pPr>
        <w:spacing w:line="276" w:lineRule="auto"/>
      </w:pPr>
      <w:r>
        <w:t>De plenaire vergadering heeft ingestemd met de hernieuwde standaard voor het betalingsverkeer. De nieuwe standaard is gepubliceerd</w:t>
      </w:r>
      <w:r>
        <w:rPr>
          <w:rStyle w:val="Voetnootmarkering"/>
        </w:rPr>
        <w:footnoteReference w:id="6"/>
      </w:r>
      <w:r>
        <w:t xml:space="preserve"> en wordt vanaf 2030 van kracht. De aanpassingen aan de standaard </w:t>
      </w:r>
      <w:r w:rsidR="00C13989">
        <w:t xml:space="preserve">geven extra handvatten </w:t>
      </w:r>
      <w:r w:rsidR="00836633">
        <w:t xml:space="preserve">voor </w:t>
      </w:r>
      <w:r>
        <w:t xml:space="preserve">de opsporing van misdrijven en de uitvoering van sanctiescreening door meer duidelijkheid te scheppen over wie geld verzendt en ontvangt bij grensoverschrijdende betalingen boven de 1000 USD/EUR. </w:t>
      </w:r>
    </w:p>
    <w:p w:rsidR="00C13989" w:rsidP="00F53B1F" w:rsidRDefault="003430D0" w14:paraId="6AE70452" w14:textId="77777777">
      <w:pPr>
        <w:spacing w:line="276" w:lineRule="auto"/>
      </w:pPr>
      <w:r>
        <w:t>Door de eisen voor de informatie die betalingen dien</w:t>
      </w:r>
      <w:r w:rsidR="00836633">
        <w:t>t</w:t>
      </w:r>
      <w:r>
        <w:t xml:space="preserve"> te vergezellen te harmoniseren, wordt de efficiëntie van grensoverschrijdende betalingen verhoogd. Daarnaast zorgen nieuwe eisen rond het gebruik van technologie om fraude en fouten te voorkomen voor een betere bescherming van klanten.</w:t>
      </w:r>
      <w:r w:rsidR="00C93DD3">
        <w:t xml:space="preserve"> </w:t>
      </w:r>
      <w:r w:rsidR="00C13989">
        <w:t xml:space="preserve">De hernieuwde standaard is tweemaal publiek geconsulteerd. </w:t>
      </w:r>
    </w:p>
    <w:p w:rsidR="00C13989" w:rsidP="00F53B1F" w:rsidRDefault="00C13989" w14:paraId="3B9DA929" w14:textId="77777777">
      <w:pPr>
        <w:spacing w:line="276" w:lineRule="auto"/>
      </w:pPr>
    </w:p>
    <w:p w:rsidR="00C13989" w:rsidP="00F53B1F" w:rsidRDefault="00F87F2D" w14:paraId="2A6F6EF9" w14:textId="77777777">
      <w:pPr>
        <w:spacing w:line="276" w:lineRule="auto"/>
        <w:rPr>
          <w:i/>
          <w:iCs/>
        </w:rPr>
      </w:pPr>
      <w:r>
        <w:rPr>
          <w:i/>
          <w:iCs/>
        </w:rPr>
        <w:t xml:space="preserve">Leidraad </w:t>
      </w:r>
      <w:r w:rsidR="00C13989">
        <w:rPr>
          <w:i/>
          <w:iCs/>
        </w:rPr>
        <w:t xml:space="preserve">standaard </w:t>
      </w:r>
      <w:r>
        <w:rPr>
          <w:i/>
          <w:iCs/>
        </w:rPr>
        <w:t>toegang tot het betalingsverkeer</w:t>
      </w:r>
      <w:r w:rsidR="00C13989">
        <w:rPr>
          <w:i/>
          <w:iCs/>
        </w:rPr>
        <w:t xml:space="preserve"> en de </w:t>
      </w:r>
      <w:proofErr w:type="spellStart"/>
      <w:r w:rsidR="00C13989">
        <w:rPr>
          <w:i/>
          <w:iCs/>
        </w:rPr>
        <w:t>riscogebaseerde</w:t>
      </w:r>
      <w:proofErr w:type="spellEnd"/>
      <w:r w:rsidR="00C13989">
        <w:rPr>
          <w:i/>
          <w:iCs/>
        </w:rPr>
        <w:t xml:space="preserve"> aanpak</w:t>
      </w:r>
    </w:p>
    <w:p w:rsidR="00C13989" w:rsidP="00F53B1F" w:rsidRDefault="00C13989" w14:paraId="10012193" w14:textId="77777777">
      <w:pPr>
        <w:spacing w:line="276" w:lineRule="auto"/>
      </w:pPr>
      <w:r>
        <w:t xml:space="preserve">Na de recente herziening van de standaard voor financiële inclusie en de </w:t>
      </w:r>
      <w:proofErr w:type="spellStart"/>
      <w:r>
        <w:t>risicogebaseerde</w:t>
      </w:r>
      <w:proofErr w:type="spellEnd"/>
      <w:r>
        <w:t xml:space="preserve"> aanpak heeft de plenaire vergadering ingestemd met </w:t>
      </w:r>
      <w:r w:rsidR="00F87F2D">
        <w:t xml:space="preserve">de leidraad </w:t>
      </w:r>
      <w:r>
        <w:t>voor deze standaard.</w:t>
      </w:r>
      <w:r w:rsidR="00D4240A">
        <w:t xml:space="preserve"> </w:t>
      </w:r>
      <w:r w:rsidR="00F87F2D">
        <w:t>De leidraad</w:t>
      </w:r>
      <w:r w:rsidR="00F02BBB">
        <w:t xml:space="preserve"> is inmiddels gepubliceerd.</w:t>
      </w:r>
      <w:r w:rsidR="00F02BBB">
        <w:rPr>
          <w:rStyle w:val="Voetnootmarkering"/>
        </w:rPr>
        <w:footnoteReference w:id="7"/>
      </w:r>
      <w:r>
        <w:t xml:space="preserve"> </w:t>
      </w:r>
    </w:p>
    <w:p w:rsidR="00C13989" w:rsidP="00F53B1F" w:rsidRDefault="00F87F2D" w14:paraId="1671B316" w14:textId="77777777">
      <w:pPr>
        <w:spacing w:line="276" w:lineRule="auto"/>
      </w:pPr>
      <w:r>
        <w:t>De leidraad</w:t>
      </w:r>
      <w:r w:rsidR="00C13989">
        <w:t xml:space="preserve"> bevat onder meer praktische voorbeelden van hoe eenvoudig cliëntonderzoek toe te passen bij laag</w:t>
      </w:r>
      <w:r>
        <w:t>-</w:t>
      </w:r>
      <w:r w:rsidR="00C13989">
        <w:t xml:space="preserve">risicosituaties en hoe </w:t>
      </w:r>
      <w:r w:rsidR="00C13989">
        <w:rPr>
          <w:i/>
          <w:iCs/>
        </w:rPr>
        <w:t>de</w:t>
      </w:r>
      <w:r>
        <w:rPr>
          <w:i/>
          <w:iCs/>
        </w:rPr>
        <w:t>-</w:t>
      </w:r>
      <w:proofErr w:type="spellStart"/>
      <w:r w:rsidR="00C13989">
        <w:rPr>
          <w:i/>
          <w:iCs/>
        </w:rPr>
        <w:t>risking</w:t>
      </w:r>
      <w:proofErr w:type="spellEnd"/>
      <w:r w:rsidR="00C13989">
        <w:rPr>
          <w:i/>
          <w:iCs/>
        </w:rPr>
        <w:t xml:space="preserve"> </w:t>
      </w:r>
      <w:r w:rsidR="00C13989">
        <w:t xml:space="preserve">te voorkomen. Ook heeft de plenaire vergadering besloten deze standaard en </w:t>
      </w:r>
      <w:r w:rsidR="006E7E0E">
        <w:t>leidraad</w:t>
      </w:r>
      <w:r w:rsidR="00C13989">
        <w:t>, en daar</w:t>
      </w:r>
      <w:r w:rsidR="006E7E0E">
        <w:t>mee</w:t>
      </w:r>
      <w:r w:rsidR="00C13989">
        <w:t xml:space="preserve"> de focus op de </w:t>
      </w:r>
      <w:proofErr w:type="spellStart"/>
      <w:r w:rsidR="00C13989">
        <w:t>risicogebaseerde</w:t>
      </w:r>
      <w:proofErr w:type="spellEnd"/>
      <w:r w:rsidR="00C13989">
        <w:t xml:space="preserve"> aanpak, te toetsen bij toekomstige wederzijdse evaluaties. </w:t>
      </w:r>
    </w:p>
    <w:p w:rsidR="007465B3" w:rsidP="00F53B1F" w:rsidRDefault="007465B3" w14:paraId="22F00CB0" w14:textId="77777777">
      <w:pPr>
        <w:spacing w:line="276" w:lineRule="auto"/>
      </w:pPr>
    </w:p>
    <w:p w:rsidR="007465B3" w:rsidP="00F53B1F" w:rsidRDefault="00B84DE2" w14:paraId="6E239087" w14:textId="77777777">
      <w:pPr>
        <w:spacing w:line="276" w:lineRule="auto"/>
        <w:rPr>
          <w:i/>
          <w:iCs/>
        </w:rPr>
      </w:pPr>
      <w:r>
        <w:rPr>
          <w:i/>
          <w:iCs/>
        </w:rPr>
        <w:t>Procedures voorkomen misbruik FATF-standaarden</w:t>
      </w:r>
    </w:p>
    <w:p w:rsidR="00B84DE2" w:rsidP="00F53B1F" w:rsidRDefault="006E7E0E" w14:paraId="656C8E04" w14:textId="77777777">
      <w:pPr>
        <w:spacing w:line="276" w:lineRule="auto"/>
      </w:pPr>
      <w:r>
        <w:t>De plenaire vergadering heeft</w:t>
      </w:r>
      <w:r w:rsidR="00B84DE2">
        <w:t xml:space="preserve"> ingestemd met procedures die </w:t>
      </w:r>
      <w:r w:rsidR="00062258">
        <w:t xml:space="preserve">negatieve gevolgen voor </w:t>
      </w:r>
      <w:proofErr w:type="spellStart"/>
      <w:r w:rsidR="00062258">
        <w:t>NGO’s</w:t>
      </w:r>
      <w:proofErr w:type="spellEnd"/>
      <w:r w:rsidR="00062258">
        <w:t xml:space="preserve"> en het maatschappelijk middenveld, als gevolg van misbruik van de FATF-standaarden, voorkomen.</w:t>
      </w:r>
      <w:r w:rsidR="00D4240A">
        <w:t xml:space="preserve"> </w:t>
      </w:r>
      <w:r w:rsidR="00164D47">
        <w:t>De FATF kan e</w:t>
      </w:r>
      <w:r w:rsidR="00D4240A">
        <w:t xml:space="preserve">ventuele verkeerde toepassing van de standaarden met negatieve gevolgen voor onder meer </w:t>
      </w:r>
      <w:proofErr w:type="spellStart"/>
      <w:r w:rsidR="00D4240A">
        <w:t>NGO’s</w:t>
      </w:r>
      <w:proofErr w:type="spellEnd"/>
      <w:r w:rsidR="00D4240A">
        <w:t xml:space="preserve"> </w:t>
      </w:r>
      <w:r w:rsidR="00164D47">
        <w:t>onderzoeken en zo nodig aanpakken</w:t>
      </w:r>
      <w:r w:rsidR="00D4240A">
        <w:t xml:space="preserve">. </w:t>
      </w:r>
    </w:p>
    <w:p w:rsidR="00D4240A" w:rsidP="00F53B1F" w:rsidRDefault="00D4240A" w14:paraId="10911CC7" w14:textId="77777777">
      <w:pPr>
        <w:spacing w:line="276" w:lineRule="auto"/>
      </w:pPr>
    </w:p>
    <w:p w:rsidR="00D4240A" w:rsidP="00F53B1F" w:rsidRDefault="00D4240A" w14:paraId="2A09B24B" w14:textId="77777777">
      <w:pPr>
        <w:spacing w:line="276" w:lineRule="auto"/>
        <w:rPr>
          <w:i/>
          <w:iCs/>
        </w:rPr>
      </w:pPr>
      <w:r>
        <w:rPr>
          <w:i/>
          <w:iCs/>
        </w:rPr>
        <w:t>De publicatie van diverse rapporten</w:t>
      </w:r>
      <w:r w:rsidR="00164D47">
        <w:rPr>
          <w:i/>
          <w:iCs/>
        </w:rPr>
        <w:t xml:space="preserve"> over illegale geldstromen</w:t>
      </w:r>
    </w:p>
    <w:p w:rsidR="00D4240A" w:rsidP="00F53B1F" w:rsidRDefault="00462441" w14:paraId="5109C355" w14:textId="77777777">
      <w:pPr>
        <w:pStyle w:val="Lijstalinea"/>
        <w:numPr>
          <w:ilvl w:val="0"/>
          <w:numId w:val="6"/>
        </w:numPr>
        <w:spacing w:line="276" w:lineRule="auto"/>
      </w:pPr>
      <w:r>
        <w:t>De FATF</w:t>
      </w:r>
      <w:r w:rsidR="00F02BBB">
        <w:t xml:space="preserve"> publiceert een rapport over </w:t>
      </w:r>
      <w:r w:rsidR="00164D47">
        <w:t xml:space="preserve">complexe vormen van </w:t>
      </w:r>
      <w:r w:rsidR="00F02BBB">
        <w:t>proliferatiefinanciering en manieren waarop VN-sancties worden ontweken. Het conceptrapport is publiekelijk geconsulteerd.</w:t>
      </w:r>
      <w:r w:rsidR="007E58F1">
        <w:t xml:space="preserve"> Het rapport</w:t>
      </w:r>
      <w:r w:rsidR="007E58F1">
        <w:rPr>
          <w:rStyle w:val="Voetnootmarkering"/>
        </w:rPr>
        <w:footnoteReference w:id="8"/>
      </w:r>
      <w:r w:rsidR="007E58F1">
        <w:t xml:space="preserve"> kan autoriteiten en de private sector helpen om hun verplichtingen na te komen ter voorkoming van de financiering en verspreiding van massavernietigingswapens.</w:t>
      </w:r>
      <w:r w:rsidR="00F02BBB">
        <w:t xml:space="preserve"> </w:t>
      </w:r>
    </w:p>
    <w:p w:rsidR="008D2EB2" w:rsidP="00F53B1F" w:rsidRDefault="008D2EB2" w14:paraId="7E9776C8" w14:textId="77777777">
      <w:pPr>
        <w:pStyle w:val="Lijstalinea"/>
        <w:numPr>
          <w:ilvl w:val="0"/>
          <w:numId w:val="6"/>
        </w:numPr>
        <w:spacing w:line="276" w:lineRule="auto"/>
      </w:pPr>
      <w:r>
        <w:t>De plenaire vergadering heeft ingestemd met de publicatie van een uitgebreide wereldwijde beoordeling van terrorismefinanciering</w:t>
      </w:r>
      <w:r w:rsidR="00164D47">
        <w:t>s</w:t>
      </w:r>
      <w:r>
        <w:t xml:space="preserve">risico’s. </w:t>
      </w:r>
      <w:r>
        <w:lastRenderedPageBreak/>
        <w:t>Het rapport geeft een overzicht hoe terroristen vanuit heel de wereld financiële middelen verwerven, verplaatsen, bewaren en uitgeven</w:t>
      </w:r>
      <w:r w:rsidR="007E58F1">
        <w:rPr>
          <w:rStyle w:val="Voetnootmarkering"/>
        </w:rPr>
        <w:footnoteReference w:id="9"/>
      </w:r>
      <w:r>
        <w:t xml:space="preserve">. Ook schetst het rapport de verwachte trends op dit gebied voor de komende drie tot vijf jaar. </w:t>
      </w:r>
    </w:p>
    <w:p w:rsidRPr="00F02BBB" w:rsidR="00F02BBB" w:rsidP="00F53B1F" w:rsidRDefault="008D2EB2" w14:paraId="13B4CDDF" w14:textId="77777777">
      <w:pPr>
        <w:pStyle w:val="Lijstalinea"/>
        <w:numPr>
          <w:ilvl w:val="0"/>
          <w:numId w:val="6"/>
        </w:numPr>
        <w:spacing w:line="276" w:lineRule="auto"/>
      </w:pPr>
      <w:r>
        <w:t>De FATF publiceert een overzicht van hoe en in welke mate jurisdicties invulling geven aan de implementatie van de FATF-standaard op het gebied van cryptoactiva.</w:t>
      </w:r>
      <w:r w:rsidR="00462441">
        <w:rPr>
          <w:rStyle w:val="Voetnootmarkering"/>
        </w:rPr>
        <w:footnoteReference w:id="10"/>
      </w:r>
      <w:r>
        <w:t xml:space="preserve">    </w:t>
      </w:r>
    </w:p>
    <w:sectPr w:rsidRPr="00F02BBB" w:rsidR="00F02BBB">
      <w:headerReference w:type="default" r:id="rId7"/>
      <w:headerReference w:type="first" r:id="rId8"/>
      <w:pgSz w:w="11905" w:h="16837"/>
      <w:pgMar w:top="3050"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A000" w14:textId="77777777" w:rsidR="003D53D4" w:rsidRDefault="003D53D4">
      <w:pPr>
        <w:spacing w:line="240" w:lineRule="auto"/>
      </w:pPr>
      <w:r>
        <w:separator/>
      </w:r>
    </w:p>
  </w:endnote>
  <w:endnote w:type="continuationSeparator" w:id="0">
    <w:p w14:paraId="68A4A2FD" w14:textId="77777777" w:rsidR="003D53D4" w:rsidRDefault="003D53D4">
      <w:pPr>
        <w:spacing w:line="240" w:lineRule="auto"/>
      </w:pPr>
      <w:r>
        <w:continuationSeparator/>
      </w:r>
    </w:p>
  </w:endnote>
  <w:endnote w:type="continuationNotice" w:id="1">
    <w:p w14:paraId="18CB5C07" w14:textId="77777777" w:rsidR="00673901" w:rsidRDefault="006739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EA26" w14:textId="77777777" w:rsidR="003D53D4" w:rsidRDefault="003D53D4">
      <w:pPr>
        <w:spacing w:line="240" w:lineRule="auto"/>
      </w:pPr>
      <w:r>
        <w:separator/>
      </w:r>
    </w:p>
  </w:footnote>
  <w:footnote w:type="continuationSeparator" w:id="0">
    <w:p w14:paraId="54B8CBDB" w14:textId="77777777" w:rsidR="003D53D4" w:rsidRDefault="003D53D4">
      <w:pPr>
        <w:spacing w:line="240" w:lineRule="auto"/>
      </w:pPr>
      <w:r>
        <w:continuationSeparator/>
      </w:r>
    </w:p>
  </w:footnote>
  <w:footnote w:type="continuationNotice" w:id="1">
    <w:p w14:paraId="2A115C78" w14:textId="77777777" w:rsidR="00673901" w:rsidRDefault="00673901">
      <w:pPr>
        <w:spacing w:line="240" w:lineRule="auto"/>
      </w:pPr>
    </w:p>
  </w:footnote>
  <w:footnote w:id="2">
    <w:p w14:paraId="2F132CE0" w14:textId="77777777" w:rsidR="008268F6" w:rsidRDefault="008268F6">
      <w:pPr>
        <w:pStyle w:val="Voetnoottekst"/>
      </w:pPr>
      <w:r>
        <w:rPr>
          <w:rStyle w:val="Voetnootmarkering"/>
        </w:rPr>
        <w:footnoteRef/>
      </w:r>
      <w:r>
        <w:t xml:space="preserve"> </w:t>
      </w:r>
      <w:proofErr w:type="gramStart"/>
      <w:r w:rsidRPr="008268F6">
        <w:rPr>
          <w:sz w:val="16"/>
          <w:szCs w:val="16"/>
        </w:rPr>
        <w:t>https://www.fatf-gafi.org/en/publications/Fatfgeneral/fatf-statement-russian-federation-feb-2024.html</w:t>
      </w:r>
      <w:proofErr w:type="gramEnd"/>
    </w:p>
  </w:footnote>
  <w:footnote w:id="3">
    <w:p w14:paraId="0DAD4713" w14:textId="77777777" w:rsidR="00452E8C" w:rsidRPr="002F29E2" w:rsidRDefault="00452E8C" w:rsidP="00452E8C">
      <w:pPr>
        <w:pStyle w:val="Voetnoottekst"/>
        <w:rPr>
          <w:sz w:val="16"/>
          <w:szCs w:val="16"/>
        </w:rPr>
      </w:pPr>
      <w:r w:rsidRPr="002F29E2">
        <w:rPr>
          <w:rStyle w:val="Voetnootmarkering"/>
          <w:sz w:val="16"/>
          <w:szCs w:val="16"/>
        </w:rPr>
        <w:footnoteRef/>
      </w:r>
      <w:r w:rsidRPr="002F29E2">
        <w:rPr>
          <w:sz w:val="16"/>
          <w:szCs w:val="16"/>
        </w:rPr>
        <w:t xml:space="preserve"> </w:t>
      </w:r>
      <w:proofErr w:type="gramStart"/>
      <w:r w:rsidR="002F29E2" w:rsidRPr="002F29E2">
        <w:rPr>
          <w:sz w:val="16"/>
          <w:szCs w:val="16"/>
        </w:rPr>
        <w:t>https://www.fatf-gafi.org/en/publications/High-risk-and-other-monitored-jurisdictions/Call-for-action-june-2025.html</w:t>
      </w:r>
      <w:proofErr w:type="gramEnd"/>
    </w:p>
  </w:footnote>
  <w:footnote w:id="4">
    <w:p w14:paraId="4B8C5222" w14:textId="77777777" w:rsidR="00452E8C" w:rsidRPr="002F29E2" w:rsidRDefault="00452E8C" w:rsidP="00452E8C">
      <w:pPr>
        <w:pStyle w:val="Voetnoottekst"/>
        <w:rPr>
          <w:sz w:val="16"/>
          <w:szCs w:val="16"/>
        </w:rPr>
      </w:pPr>
      <w:r w:rsidRPr="002F29E2">
        <w:rPr>
          <w:rStyle w:val="Voetnootmarkering"/>
          <w:sz w:val="16"/>
          <w:szCs w:val="16"/>
        </w:rPr>
        <w:footnoteRef/>
      </w:r>
      <w:r w:rsidRPr="002F29E2">
        <w:rPr>
          <w:sz w:val="16"/>
          <w:szCs w:val="16"/>
        </w:rPr>
        <w:t xml:space="preserve"> </w:t>
      </w:r>
      <w:proofErr w:type="gramStart"/>
      <w:r w:rsidR="002F29E2" w:rsidRPr="002F29E2">
        <w:rPr>
          <w:sz w:val="16"/>
          <w:szCs w:val="16"/>
        </w:rPr>
        <w:t>https://www.fatf-gafi.org/en/publications/High-risk-and-other-monitored-jurisdictions/increased-monitoring-june-2025.html</w:t>
      </w:r>
      <w:proofErr w:type="gramEnd"/>
    </w:p>
  </w:footnote>
  <w:footnote w:id="5">
    <w:p w14:paraId="6137BEF6" w14:textId="77777777" w:rsidR="00452E8C" w:rsidRPr="002F29E2" w:rsidRDefault="00452E8C" w:rsidP="00452E8C">
      <w:pPr>
        <w:pStyle w:val="Voetnoottekst"/>
        <w:rPr>
          <w:sz w:val="16"/>
          <w:szCs w:val="16"/>
        </w:rPr>
      </w:pPr>
      <w:r w:rsidRPr="002F29E2">
        <w:rPr>
          <w:rStyle w:val="Voetnootmarkering"/>
          <w:sz w:val="16"/>
          <w:szCs w:val="16"/>
        </w:rPr>
        <w:footnoteRef/>
      </w:r>
      <w:r w:rsidRPr="002F29E2">
        <w:rPr>
          <w:sz w:val="16"/>
          <w:szCs w:val="16"/>
        </w:rPr>
        <w:t xml:space="preserve"> </w:t>
      </w:r>
      <w:r w:rsidR="002F29E2" w:rsidRPr="002F29E2">
        <w:rPr>
          <w:sz w:val="16"/>
          <w:szCs w:val="16"/>
        </w:rPr>
        <w:t xml:space="preserve">Algerije, Angola, Bolivia, Britse Maagdeneilanden, Bulgarije, Burkina </w:t>
      </w:r>
      <w:proofErr w:type="gramStart"/>
      <w:r w:rsidR="002F29E2" w:rsidRPr="002F29E2">
        <w:rPr>
          <w:sz w:val="16"/>
          <w:szCs w:val="16"/>
        </w:rPr>
        <w:t>Faso,  Democratische</w:t>
      </w:r>
      <w:proofErr w:type="gramEnd"/>
      <w:r w:rsidR="002F29E2" w:rsidRPr="002F29E2">
        <w:rPr>
          <w:sz w:val="16"/>
          <w:szCs w:val="16"/>
        </w:rPr>
        <w:t xml:space="preserve"> Republiek Congo, Haïti, Ivoorkust, Jemen, </w:t>
      </w:r>
      <w:r w:rsidR="00836633">
        <w:rPr>
          <w:sz w:val="16"/>
          <w:szCs w:val="16"/>
        </w:rPr>
        <w:t xml:space="preserve">Kameroen, </w:t>
      </w:r>
      <w:r w:rsidR="002F29E2" w:rsidRPr="002F29E2">
        <w:rPr>
          <w:sz w:val="16"/>
          <w:szCs w:val="16"/>
        </w:rPr>
        <w:t>Kenia, Laos, Libanon, Monaco, Mozambique, Namibië, Nepal, Nigeria, Syrië, Venezuela, Vietnam, Zuid-Afrika</w:t>
      </w:r>
      <w:r w:rsidR="008A0283">
        <w:rPr>
          <w:sz w:val="16"/>
          <w:szCs w:val="16"/>
        </w:rPr>
        <w:t xml:space="preserve"> en</w:t>
      </w:r>
      <w:r w:rsidR="002F29E2" w:rsidRPr="002F29E2">
        <w:rPr>
          <w:sz w:val="16"/>
          <w:szCs w:val="16"/>
        </w:rPr>
        <w:t xml:space="preserve"> Zuid-Soedan.</w:t>
      </w:r>
    </w:p>
    <w:p w14:paraId="32A5D0B0" w14:textId="77777777" w:rsidR="00452E8C" w:rsidRPr="007D4C81" w:rsidRDefault="00452E8C" w:rsidP="00452E8C">
      <w:pPr>
        <w:pStyle w:val="Voetnoottekst"/>
      </w:pPr>
    </w:p>
  </w:footnote>
  <w:footnote w:id="6">
    <w:p w14:paraId="1E43CA4E" w14:textId="77777777" w:rsidR="003430D0" w:rsidRPr="002C3796" w:rsidRDefault="003430D0">
      <w:pPr>
        <w:pStyle w:val="Voetnoottekst"/>
        <w:rPr>
          <w:sz w:val="16"/>
          <w:szCs w:val="16"/>
        </w:rPr>
      </w:pPr>
      <w:r>
        <w:rPr>
          <w:rStyle w:val="Voetnootmarkering"/>
        </w:rPr>
        <w:footnoteRef/>
      </w:r>
      <w:r>
        <w:t xml:space="preserve"> </w:t>
      </w:r>
      <w:proofErr w:type="gramStart"/>
      <w:r w:rsidR="002C3796" w:rsidRPr="002C3796">
        <w:rPr>
          <w:sz w:val="16"/>
          <w:szCs w:val="16"/>
        </w:rPr>
        <w:t>https://www.fatf-gafi.org/en/publications/Fatfrecommendations/update-Recommendation-16-payment-transparency-june-2025.html</w:t>
      </w:r>
      <w:proofErr w:type="gramEnd"/>
    </w:p>
  </w:footnote>
  <w:footnote w:id="7">
    <w:p w14:paraId="29B4C810" w14:textId="77777777" w:rsidR="00F02BBB" w:rsidRDefault="00F02BBB">
      <w:pPr>
        <w:pStyle w:val="Voetnoottekst"/>
      </w:pPr>
      <w:r w:rsidRPr="002C3796">
        <w:rPr>
          <w:rStyle w:val="Voetnootmarkering"/>
          <w:sz w:val="16"/>
          <w:szCs w:val="16"/>
        </w:rPr>
        <w:footnoteRef/>
      </w:r>
      <w:r w:rsidRPr="002C3796">
        <w:rPr>
          <w:sz w:val="16"/>
          <w:szCs w:val="16"/>
        </w:rPr>
        <w:t xml:space="preserve"> </w:t>
      </w:r>
      <w:proofErr w:type="gramStart"/>
      <w:r w:rsidR="002C3796" w:rsidRPr="002C3796">
        <w:rPr>
          <w:sz w:val="16"/>
          <w:szCs w:val="16"/>
        </w:rPr>
        <w:t>https://www.fatf-gafi.org/en/publications/Fatfrecommendations/update-standards-promote-financial-conclusion-feb-2025.html</w:t>
      </w:r>
      <w:proofErr w:type="gramEnd"/>
    </w:p>
  </w:footnote>
  <w:footnote w:id="8">
    <w:p w14:paraId="176BCA5B" w14:textId="77777777" w:rsidR="007E58F1" w:rsidRDefault="007E58F1">
      <w:pPr>
        <w:pStyle w:val="Voetnoottekst"/>
      </w:pPr>
      <w:r>
        <w:rPr>
          <w:rStyle w:val="Voetnootmarkering"/>
        </w:rPr>
        <w:footnoteRef/>
      </w:r>
      <w:r>
        <w:t xml:space="preserve"> </w:t>
      </w:r>
      <w:proofErr w:type="gramStart"/>
      <w:r w:rsidR="002C3796" w:rsidRPr="002C3796">
        <w:rPr>
          <w:sz w:val="16"/>
          <w:szCs w:val="16"/>
        </w:rPr>
        <w:t>https://www.fatf-gafi.org/en/publications/Financingofproliferation/complex-proliferation-financing-sanction-evasion-schemes.html</w:t>
      </w:r>
      <w:proofErr w:type="gramEnd"/>
    </w:p>
  </w:footnote>
  <w:footnote w:id="9">
    <w:p w14:paraId="1D3ED5E9" w14:textId="77777777" w:rsidR="007E58F1" w:rsidRPr="00462441" w:rsidRDefault="007E58F1">
      <w:pPr>
        <w:pStyle w:val="Voetnoottekst"/>
        <w:rPr>
          <w:sz w:val="16"/>
          <w:szCs w:val="16"/>
        </w:rPr>
      </w:pPr>
      <w:r>
        <w:rPr>
          <w:rStyle w:val="Voetnootmarkering"/>
        </w:rPr>
        <w:footnoteRef/>
      </w:r>
      <w:r>
        <w:t xml:space="preserve"> </w:t>
      </w:r>
      <w:proofErr w:type="gramStart"/>
      <w:r w:rsidR="002C3796" w:rsidRPr="00462441">
        <w:rPr>
          <w:sz w:val="16"/>
          <w:szCs w:val="16"/>
        </w:rPr>
        <w:t>https://www.fatf-gafi.org/en/publications/Fatfgeneral/combat-terrorist-financing.html</w:t>
      </w:r>
      <w:proofErr w:type="gramEnd"/>
    </w:p>
  </w:footnote>
  <w:footnote w:id="10">
    <w:p w14:paraId="0EA0FEC0" w14:textId="77777777" w:rsidR="00462441" w:rsidRDefault="00462441">
      <w:pPr>
        <w:pStyle w:val="Voetnoottekst"/>
      </w:pPr>
      <w:r w:rsidRPr="00462441">
        <w:rPr>
          <w:rStyle w:val="Voetnootmarkering"/>
          <w:sz w:val="16"/>
          <w:szCs w:val="16"/>
        </w:rPr>
        <w:footnoteRef/>
      </w:r>
      <w:r w:rsidRPr="00462441">
        <w:rPr>
          <w:sz w:val="16"/>
          <w:szCs w:val="16"/>
        </w:rPr>
        <w:t xml:space="preserve"> </w:t>
      </w:r>
      <w:proofErr w:type="gramStart"/>
      <w:r w:rsidRPr="00462441">
        <w:rPr>
          <w:sz w:val="16"/>
          <w:szCs w:val="16"/>
        </w:rPr>
        <w:t>https://www.fatf-gafi.org/en/publications/Fatfrecommendations/targeted-update-virtual-assets-vasps-2025.html</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E292" w14:textId="77777777" w:rsidR="00885094" w:rsidRDefault="007E58F1">
    <w:r>
      <w:rPr>
        <w:noProof/>
      </w:rPr>
      <mc:AlternateContent>
        <mc:Choice Requires="wps">
          <w:drawing>
            <wp:anchor distT="0" distB="0" distL="0" distR="0" simplePos="0" relativeHeight="251658240" behindDoc="0" locked="1" layoutInCell="1" allowOverlap="1" wp14:anchorId="0A0AC02C" wp14:editId="597B07D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57ADC2" w14:textId="77777777" w:rsidR="00885094" w:rsidRDefault="007E58F1">
                          <w:pPr>
                            <w:pStyle w:val="Referentiegegevensbold"/>
                          </w:pPr>
                          <w:r>
                            <w:t>Generale Thesaurie</w:t>
                          </w:r>
                        </w:p>
                        <w:p w14:paraId="10B1DE32" w14:textId="77777777" w:rsidR="00885094" w:rsidRDefault="007E58F1">
                          <w:pPr>
                            <w:pStyle w:val="Referentiegegevens"/>
                          </w:pPr>
                          <w:r>
                            <w:t>Directie Financiële Markten</w:t>
                          </w:r>
                        </w:p>
                        <w:p w14:paraId="12A5DB3D" w14:textId="77777777" w:rsidR="00885094" w:rsidRDefault="007E58F1">
                          <w:pPr>
                            <w:pStyle w:val="Referentiegegevens"/>
                          </w:pPr>
                          <w:r>
                            <w:t>AFD IBI</w:t>
                          </w:r>
                        </w:p>
                        <w:p w14:paraId="7FD87A0A" w14:textId="77777777" w:rsidR="00885094" w:rsidRDefault="00885094">
                          <w:pPr>
                            <w:pStyle w:val="WitregelW2"/>
                          </w:pPr>
                        </w:p>
                        <w:p w14:paraId="2ECECB65" w14:textId="77777777" w:rsidR="00885094" w:rsidRDefault="007E58F1">
                          <w:pPr>
                            <w:pStyle w:val="Referentiegegevensbold"/>
                          </w:pPr>
                          <w:r>
                            <w:t>Datum</w:t>
                          </w:r>
                        </w:p>
                        <w:p w14:paraId="4E5D9B9C" w14:textId="77777777" w:rsidR="00E33CCE" w:rsidRDefault="00227502">
                          <w:pPr>
                            <w:pStyle w:val="Referentiegegevens"/>
                          </w:pPr>
                          <w:r>
                            <w:fldChar w:fldCharType="begin"/>
                          </w:r>
                          <w:r>
                            <w:instrText xml:space="preserve"> DOCPROPERTY  "Datum"  \* MERGEFORMAT </w:instrText>
                          </w:r>
                          <w:r>
                            <w:fldChar w:fldCharType="separate"/>
                          </w:r>
                          <w:r>
                            <w:t>13 juni 2025</w:t>
                          </w:r>
                          <w:r>
                            <w:fldChar w:fldCharType="end"/>
                          </w:r>
                        </w:p>
                        <w:p w14:paraId="7827992B" w14:textId="77777777" w:rsidR="00885094" w:rsidRDefault="00885094">
                          <w:pPr>
                            <w:pStyle w:val="WitregelW1"/>
                          </w:pPr>
                        </w:p>
                        <w:p w14:paraId="222BFD3C" w14:textId="77777777" w:rsidR="00885094" w:rsidRDefault="007E58F1">
                          <w:pPr>
                            <w:pStyle w:val="Referentiegegevensbold"/>
                          </w:pPr>
                          <w:r>
                            <w:t>Ons kenmerk</w:t>
                          </w:r>
                        </w:p>
                        <w:p w14:paraId="0C9EAEF5" w14:textId="77777777" w:rsidR="00E33CCE" w:rsidRDefault="00227502">
                          <w:pPr>
                            <w:pStyle w:val="Referentiegegevens"/>
                          </w:pPr>
                          <w:r>
                            <w:fldChar w:fldCharType="begin"/>
                          </w:r>
                          <w:r>
                            <w:instrText xml:space="preserve"> DOCPROPERTY  "Kenmerk"  \* MERGEFORMAT </w:instrText>
                          </w:r>
                          <w:r>
                            <w:fldChar w:fldCharType="separate"/>
                          </w:r>
                          <w:r>
                            <w:t>2025-0000168296</w:t>
                          </w:r>
                          <w:r>
                            <w:fldChar w:fldCharType="end"/>
                          </w:r>
                        </w:p>
                      </w:txbxContent>
                    </wps:txbx>
                    <wps:bodyPr vert="horz" wrap="square" lIns="0" tIns="0" rIns="0" bIns="0" anchor="t" anchorCtr="0"/>
                  </wps:wsp>
                </a:graphicData>
              </a:graphic>
            </wp:anchor>
          </w:drawing>
        </mc:Choice>
        <mc:Fallback>
          <w:pict>
            <v:shapetype w14:anchorId="0A0AC02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A57ADC2" w14:textId="77777777" w:rsidR="00885094" w:rsidRDefault="007E58F1">
                    <w:pPr>
                      <w:pStyle w:val="Referentiegegevensbold"/>
                    </w:pPr>
                    <w:r>
                      <w:t>Generale Thesaurie</w:t>
                    </w:r>
                  </w:p>
                  <w:p w14:paraId="10B1DE32" w14:textId="77777777" w:rsidR="00885094" w:rsidRDefault="007E58F1">
                    <w:pPr>
                      <w:pStyle w:val="Referentiegegevens"/>
                    </w:pPr>
                    <w:r>
                      <w:t>Directie Financiële Markten</w:t>
                    </w:r>
                  </w:p>
                  <w:p w14:paraId="12A5DB3D" w14:textId="77777777" w:rsidR="00885094" w:rsidRDefault="007E58F1">
                    <w:pPr>
                      <w:pStyle w:val="Referentiegegevens"/>
                    </w:pPr>
                    <w:r>
                      <w:t>AFD IBI</w:t>
                    </w:r>
                  </w:p>
                  <w:p w14:paraId="7FD87A0A" w14:textId="77777777" w:rsidR="00885094" w:rsidRDefault="00885094">
                    <w:pPr>
                      <w:pStyle w:val="WitregelW2"/>
                    </w:pPr>
                  </w:p>
                  <w:p w14:paraId="2ECECB65" w14:textId="77777777" w:rsidR="00885094" w:rsidRDefault="007E58F1">
                    <w:pPr>
                      <w:pStyle w:val="Referentiegegevensbold"/>
                    </w:pPr>
                    <w:r>
                      <w:t>Datum</w:t>
                    </w:r>
                  </w:p>
                  <w:p w14:paraId="4E5D9B9C" w14:textId="77777777" w:rsidR="00E33CCE" w:rsidRDefault="00227502">
                    <w:pPr>
                      <w:pStyle w:val="Referentiegegevens"/>
                    </w:pPr>
                    <w:r>
                      <w:fldChar w:fldCharType="begin"/>
                    </w:r>
                    <w:r>
                      <w:instrText xml:space="preserve"> DOCPROPERTY  "Datum"  \* MERGEFORMAT </w:instrText>
                    </w:r>
                    <w:r>
                      <w:fldChar w:fldCharType="separate"/>
                    </w:r>
                    <w:r>
                      <w:t>13 juni 2025</w:t>
                    </w:r>
                    <w:r>
                      <w:fldChar w:fldCharType="end"/>
                    </w:r>
                  </w:p>
                  <w:p w14:paraId="7827992B" w14:textId="77777777" w:rsidR="00885094" w:rsidRDefault="00885094">
                    <w:pPr>
                      <w:pStyle w:val="WitregelW1"/>
                    </w:pPr>
                  </w:p>
                  <w:p w14:paraId="222BFD3C" w14:textId="77777777" w:rsidR="00885094" w:rsidRDefault="007E58F1">
                    <w:pPr>
                      <w:pStyle w:val="Referentiegegevensbold"/>
                    </w:pPr>
                    <w:r>
                      <w:t>Ons kenmerk</w:t>
                    </w:r>
                  </w:p>
                  <w:p w14:paraId="0C9EAEF5" w14:textId="77777777" w:rsidR="00E33CCE" w:rsidRDefault="00227502">
                    <w:pPr>
                      <w:pStyle w:val="Referentiegegevens"/>
                    </w:pPr>
                    <w:r>
                      <w:fldChar w:fldCharType="begin"/>
                    </w:r>
                    <w:r>
                      <w:instrText xml:space="preserve"> DOCPROPERTY  "Kenmerk"  \* MERGEFORMAT </w:instrText>
                    </w:r>
                    <w:r>
                      <w:fldChar w:fldCharType="separate"/>
                    </w:r>
                    <w:r>
                      <w:t>2025-0000168296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FE985BF" wp14:editId="1CBCCFC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26585A9" w14:textId="77777777" w:rsidR="00B44349" w:rsidRDefault="00B44349"/>
                      </w:txbxContent>
                    </wps:txbx>
                    <wps:bodyPr vert="horz" wrap="square" lIns="0" tIns="0" rIns="0" bIns="0" anchor="t" anchorCtr="0"/>
                  </wps:wsp>
                </a:graphicData>
              </a:graphic>
            </wp:anchor>
          </w:drawing>
        </mc:Choice>
        <mc:Fallback>
          <w:pict>
            <v:shape w14:anchorId="5FE985BF" id="46fef06f-aa3c-11ea-a756-beb5f67e67be" o:spid="_x0000_s1027" type="#_x0000_t202" style="position:absolute;margin-left:79.35pt;margin-top:802.75pt;width:377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26585A9" w14:textId="77777777" w:rsidR="00B44349" w:rsidRDefault="00B44349"/>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27B9B2D" wp14:editId="2AFCC25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0A9DB0" w14:textId="77777777" w:rsidR="00E33CCE" w:rsidRDefault="0022750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27B9B2D" id="46fef0b8-aa3c-11ea-a756-beb5f67e67be"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F0A9DB0" w14:textId="77777777" w:rsidR="00E33CCE" w:rsidRDefault="0022750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2953" w14:textId="77777777" w:rsidR="00885094" w:rsidRDefault="007E58F1">
    <w:pPr>
      <w:spacing w:after="5952" w:line="14" w:lineRule="exact"/>
    </w:pPr>
    <w:r>
      <w:rPr>
        <w:noProof/>
      </w:rPr>
      <mc:AlternateContent>
        <mc:Choice Requires="wps">
          <w:drawing>
            <wp:anchor distT="0" distB="0" distL="0" distR="0" simplePos="0" relativeHeight="251658243" behindDoc="0" locked="1" layoutInCell="1" allowOverlap="1" wp14:anchorId="3DB7ADBD" wp14:editId="4A90FF5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690395" w14:textId="77777777" w:rsidR="00B44349" w:rsidRDefault="00B44349"/>
                      </w:txbxContent>
                    </wps:txbx>
                    <wps:bodyPr vert="horz" wrap="square" lIns="0" tIns="0" rIns="0" bIns="0" anchor="t" anchorCtr="0"/>
                  </wps:wsp>
                </a:graphicData>
              </a:graphic>
            </wp:anchor>
          </w:drawing>
        </mc:Choice>
        <mc:Fallback>
          <w:pict>
            <v:shapetype w14:anchorId="3DB7ADB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5690395" w14:textId="77777777" w:rsidR="00B44349" w:rsidRDefault="00B4434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7A11BC7" wp14:editId="3AB37357">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13BEEADB" w14:textId="77777777" w:rsidR="00E33CCE" w:rsidRDefault="00227502">
                          <w:pPr>
                            <w:rPr>
                              <w:lang w:val="en-GB"/>
                            </w:rPr>
                          </w:pPr>
                          <w:r>
                            <w:fldChar w:fldCharType="begin"/>
                          </w:r>
                          <w:r w:rsidRPr="00227502">
                            <w:rPr>
                              <w:lang w:val="en-US"/>
                            </w:rPr>
                            <w:instrText xml:space="preserve"> DOCPROPERTY  "Onderwerp"  \* MERGEFORMAT </w:instrText>
                          </w:r>
                          <w:r>
                            <w:fldChar w:fldCharType="separate"/>
                          </w:r>
                          <w:proofErr w:type="spellStart"/>
                          <w:r w:rsidRPr="00227502">
                            <w:rPr>
                              <w:lang w:val="en-US"/>
                            </w:rPr>
                            <w:t>Plenaire</w:t>
                          </w:r>
                          <w:proofErr w:type="spellEnd"/>
                          <w:r w:rsidRPr="00227502">
                            <w:rPr>
                              <w:lang w:val="en-US"/>
                            </w:rPr>
                            <w:t xml:space="preserve"> </w:t>
                          </w:r>
                          <w:proofErr w:type="spellStart"/>
                          <w:r w:rsidRPr="00227502">
                            <w:rPr>
                              <w:lang w:val="en-US"/>
                            </w:rPr>
                            <w:t>vergadering</w:t>
                          </w:r>
                          <w:proofErr w:type="spellEnd"/>
                          <w:r w:rsidRPr="00227502">
                            <w:rPr>
                              <w:lang w:val="en-US"/>
                            </w:rPr>
                            <w:t xml:space="preserve"> Financial Action Task Force (FATF) </w:t>
                          </w:r>
                          <w:proofErr w:type="spellStart"/>
                          <w:r w:rsidRPr="00227502">
                            <w:rPr>
                              <w:lang w:val="en-US"/>
                            </w:rPr>
                            <w:t>Juni</w:t>
                          </w:r>
                          <w:proofErr w:type="spellEnd"/>
                          <w:r w:rsidRPr="00227502">
                            <w:rPr>
                              <w:lang w:val="en-US"/>
                            </w:rPr>
                            <w:t xml:space="preserve"> 2025</w:t>
                          </w:r>
                          <w:r>
                            <w:fldChar w:fldCharType="end"/>
                          </w:r>
                        </w:p>
                      </w:txbxContent>
                    </wps:txbx>
                    <wps:bodyPr vert="horz" wrap="square" lIns="0" tIns="0" rIns="0" bIns="0" anchor="t" anchorCtr="0"/>
                  </wps:wsp>
                </a:graphicData>
              </a:graphic>
            </wp:anchor>
          </w:drawing>
        </mc:Choice>
        <mc:Fallback>
          <w:pict>
            <v:shape w14:anchorId="37A11BC7" id="46feebd0-aa3c-11ea-a756-beb5f67e67be" o:spid="_x0000_s1030" type="#_x0000_t202" style="position:absolute;margin-left:190.45pt;margin-top:264.15pt;width:264.75pt;height:25.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" filled="f" stroked="f">
              <v:textbox inset="0,0,0,0">
                <w:txbxContent>
                  <w:p w14:paraId="13BEEADB" w14:textId="77777777" w:rsidR="00E33CCE" w:rsidRDefault="00227502">
                    <w:pPr>
                      <w:rPr>
                        <w:lang w:val="en-GB"/>
                      </w:rPr>
                    </w:pPr>
                    <w:r>
                      <w:fldChar w:fldCharType="begin"/>
                    </w:r>
                    <w:r w:rsidRPr="00227502">
                      <w:rPr>
                        <w:lang w:val="en-US"/>
                      </w:rPr>
                      <w:instrText xml:space="preserve"> DOCPROPERTY  "Onderwerp"  \* MERGEFORMAT </w:instrText>
                    </w:r>
                    <w:r>
                      <w:fldChar w:fldCharType="separate"/>
                    </w:r>
                    <w:proofErr w:type="spellStart"/>
                    <w:r w:rsidRPr="00227502">
                      <w:rPr>
                        <w:lang w:val="en-US"/>
                      </w:rPr>
                      <w:t>Plenaire</w:t>
                    </w:r>
                    <w:proofErr w:type="spellEnd"/>
                    <w:r w:rsidRPr="00227502">
                      <w:rPr>
                        <w:lang w:val="en-US"/>
                      </w:rPr>
                      <w:t xml:space="preserve"> </w:t>
                    </w:r>
                    <w:proofErr w:type="spellStart"/>
                    <w:r w:rsidRPr="00227502">
                      <w:rPr>
                        <w:lang w:val="en-US"/>
                      </w:rPr>
                      <w:t>vergadering</w:t>
                    </w:r>
                    <w:proofErr w:type="spellEnd"/>
                    <w:r w:rsidRPr="00227502">
                      <w:rPr>
                        <w:lang w:val="en-US"/>
                      </w:rPr>
                      <w:t xml:space="preserve"> Financial Action Task Force (FATF) </w:t>
                    </w:r>
                    <w:proofErr w:type="spellStart"/>
                    <w:r w:rsidRPr="00227502">
                      <w:rPr>
                        <w:lang w:val="en-US"/>
                      </w:rPr>
                      <w:t>Juni</w:t>
                    </w:r>
                    <w:proofErr w:type="spellEnd"/>
                    <w:r w:rsidRPr="00227502">
                      <w:rPr>
                        <w:lang w:val="en-US"/>
                      </w:rPr>
                      <w:t xml:space="preserve"> 2025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15CA67A" wp14:editId="2A6B4FF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733C26" w14:textId="77777777" w:rsidR="00885094" w:rsidRDefault="007E58F1">
                          <w:pPr>
                            <w:pStyle w:val="Referentiegegevensbold"/>
                          </w:pPr>
                          <w:r>
                            <w:t>Generale Thesaurie</w:t>
                          </w:r>
                        </w:p>
                        <w:p w14:paraId="70D75D30" w14:textId="77777777" w:rsidR="00885094" w:rsidRDefault="007E58F1">
                          <w:pPr>
                            <w:pStyle w:val="Referentiegegevens"/>
                          </w:pPr>
                          <w:r>
                            <w:t>Directie Financiële Markten</w:t>
                          </w:r>
                        </w:p>
                        <w:p w14:paraId="111EDD0C" w14:textId="77777777" w:rsidR="00885094" w:rsidRDefault="007E58F1">
                          <w:pPr>
                            <w:pStyle w:val="Referentiegegevens"/>
                          </w:pPr>
                          <w:r>
                            <w:t>AFD IBI</w:t>
                          </w:r>
                        </w:p>
                        <w:p w14:paraId="6812CA55" w14:textId="77777777" w:rsidR="00885094" w:rsidRDefault="00885094">
                          <w:pPr>
                            <w:pStyle w:val="WitregelW1"/>
                          </w:pPr>
                        </w:p>
                        <w:p w14:paraId="33E908D4" w14:textId="77777777" w:rsidR="00885094" w:rsidRDefault="007E58F1">
                          <w:pPr>
                            <w:pStyle w:val="Referentiegegevens"/>
                          </w:pPr>
                          <w:r>
                            <w:t>Korte Voorhout 7</w:t>
                          </w:r>
                        </w:p>
                        <w:p w14:paraId="0E0480B7" w14:textId="77777777" w:rsidR="00885094" w:rsidRDefault="007E58F1">
                          <w:pPr>
                            <w:pStyle w:val="Referentiegegevens"/>
                          </w:pPr>
                          <w:r>
                            <w:t>2511 CW  'S-GRAVENHAGE</w:t>
                          </w:r>
                        </w:p>
                        <w:p w14:paraId="5DCA9BD5" w14:textId="77777777" w:rsidR="00885094" w:rsidRDefault="007E58F1">
                          <w:pPr>
                            <w:pStyle w:val="Referentiegegevens"/>
                          </w:pPr>
                          <w:r>
                            <w:t>POSTBUS 20201</w:t>
                          </w:r>
                        </w:p>
                        <w:p w14:paraId="40C932CA" w14:textId="77777777" w:rsidR="00885094" w:rsidRDefault="007E58F1">
                          <w:pPr>
                            <w:pStyle w:val="Referentiegegevens"/>
                          </w:pPr>
                          <w:r>
                            <w:t>2500 EE  'S-GRAVENHAGE</w:t>
                          </w:r>
                        </w:p>
                        <w:p w14:paraId="01AE4541" w14:textId="77777777" w:rsidR="00885094" w:rsidRDefault="00885094">
                          <w:pPr>
                            <w:pStyle w:val="WitregelW1"/>
                          </w:pPr>
                        </w:p>
                        <w:p w14:paraId="15A3883C" w14:textId="77777777" w:rsidR="00885094" w:rsidRDefault="00885094">
                          <w:pPr>
                            <w:pStyle w:val="WitregelW2"/>
                          </w:pPr>
                        </w:p>
                        <w:p w14:paraId="3DAE336D" w14:textId="77777777" w:rsidR="00885094" w:rsidRDefault="007E58F1">
                          <w:pPr>
                            <w:pStyle w:val="Referentiegegevensbold"/>
                          </w:pPr>
                          <w:r>
                            <w:t>Datum</w:t>
                          </w:r>
                        </w:p>
                        <w:p w14:paraId="5EF7ADF8" w14:textId="77777777" w:rsidR="00E33CCE" w:rsidRDefault="00227502">
                          <w:pPr>
                            <w:pStyle w:val="Referentiegegevens"/>
                          </w:pPr>
                          <w:r>
                            <w:fldChar w:fldCharType="begin"/>
                          </w:r>
                          <w:r>
                            <w:instrText xml:space="preserve"> DOCPROPERTY  "Datum"  \* MERGEFORMAT </w:instrText>
                          </w:r>
                          <w:r>
                            <w:fldChar w:fldCharType="separate"/>
                          </w:r>
                          <w:r>
                            <w:t>13 juni 2025</w:t>
                          </w:r>
                          <w:r>
                            <w:fldChar w:fldCharType="end"/>
                          </w:r>
                        </w:p>
                        <w:p w14:paraId="5ED9E6F9" w14:textId="77777777" w:rsidR="00885094" w:rsidRDefault="00885094">
                          <w:pPr>
                            <w:pStyle w:val="WitregelW1"/>
                          </w:pPr>
                        </w:p>
                        <w:p w14:paraId="687EBD2A" w14:textId="77777777" w:rsidR="00885094" w:rsidRDefault="007E58F1">
                          <w:pPr>
                            <w:pStyle w:val="Referentiegegevensbold"/>
                          </w:pPr>
                          <w:r>
                            <w:t>Ons kenmerk</w:t>
                          </w:r>
                        </w:p>
                        <w:p w14:paraId="612BE4E0" w14:textId="77777777" w:rsidR="00E33CCE" w:rsidRDefault="00227502">
                          <w:pPr>
                            <w:pStyle w:val="Referentiegegevens"/>
                          </w:pPr>
                          <w:r>
                            <w:fldChar w:fldCharType="begin"/>
                          </w:r>
                          <w:r>
                            <w:instrText xml:space="preserve"> DOCPROPERTY  "Kenmerk"  \* MERGEFORMAT </w:instrText>
                          </w:r>
                          <w:r>
                            <w:fldChar w:fldCharType="separate"/>
                          </w:r>
                          <w:r>
                            <w:t>2025-0000168296</w:t>
                          </w:r>
                          <w:r>
                            <w:fldChar w:fldCharType="end"/>
                          </w:r>
                        </w:p>
                        <w:p w14:paraId="6BF83F70" w14:textId="77777777" w:rsidR="00885094" w:rsidRDefault="00885094">
                          <w:pPr>
                            <w:pStyle w:val="WitregelW1"/>
                          </w:pPr>
                        </w:p>
                        <w:p w14:paraId="2DA69244" w14:textId="77777777" w:rsidR="00885094" w:rsidRDefault="007E58F1">
                          <w:pPr>
                            <w:pStyle w:val="Referentiegegevensbold"/>
                          </w:pPr>
                          <w:r>
                            <w:t>Uw kenmerk</w:t>
                          </w:r>
                        </w:p>
                        <w:p w14:paraId="6A4607CD" w14:textId="77777777" w:rsidR="00E33CCE" w:rsidRDefault="0022750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15CA67A" id="46feec20-aa3c-11ea-a756-beb5f67e67be"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5733C26" w14:textId="77777777" w:rsidR="00885094" w:rsidRDefault="007E58F1">
                    <w:pPr>
                      <w:pStyle w:val="Referentiegegevensbold"/>
                    </w:pPr>
                    <w:r>
                      <w:t>Generale Thesaurie</w:t>
                    </w:r>
                  </w:p>
                  <w:p w14:paraId="70D75D30" w14:textId="77777777" w:rsidR="00885094" w:rsidRDefault="007E58F1">
                    <w:pPr>
                      <w:pStyle w:val="Referentiegegevens"/>
                    </w:pPr>
                    <w:r>
                      <w:t>Directie Financiële Markten</w:t>
                    </w:r>
                  </w:p>
                  <w:p w14:paraId="111EDD0C" w14:textId="77777777" w:rsidR="00885094" w:rsidRDefault="007E58F1">
                    <w:pPr>
                      <w:pStyle w:val="Referentiegegevens"/>
                    </w:pPr>
                    <w:r>
                      <w:t>AFD IBI</w:t>
                    </w:r>
                  </w:p>
                  <w:p w14:paraId="6812CA55" w14:textId="77777777" w:rsidR="00885094" w:rsidRDefault="00885094">
                    <w:pPr>
                      <w:pStyle w:val="WitregelW1"/>
                    </w:pPr>
                  </w:p>
                  <w:p w14:paraId="33E908D4" w14:textId="77777777" w:rsidR="00885094" w:rsidRDefault="007E58F1">
                    <w:pPr>
                      <w:pStyle w:val="Referentiegegevens"/>
                    </w:pPr>
                    <w:r>
                      <w:t>Korte Voorhout 7</w:t>
                    </w:r>
                  </w:p>
                  <w:p w14:paraId="0E0480B7" w14:textId="77777777" w:rsidR="00885094" w:rsidRDefault="007E58F1">
                    <w:pPr>
                      <w:pStyle w:val="Referentiegegevens"/>
                    </w:pPr>
                    <w:r>
                      <w:t>2511 CW  'S-GRAVENHAGE</w:t>
                    </w:r>
                  </w:p>
                  <w:p w14:paraId="5DCA9BD5" w14:textId="77777777" w:rsidR="00885094" w:rsidRDefault="007E58F1">
                    <w:pPr>
                      <w:pStyle w:val="Referentiegegevens"/>
                    </w:pPr>
                    <w:r>
                      <w:t>POSTBUS 20201</w:t>
                    </w:r>
                  </w:p>
                  <w:p w14:paraId="40C932CA" w14:textId="77777777" w:rsidR="00885094" w:rsidRDefault="007E58F1">
                    <w:pPr>
                      <w:pStyle w:val="Referentiegegevens"/>
                    </w:pPr>
                    <w:r>
                      <w:t>2500 EE  'S-GRAVENHAGE</w:t>
                    </w:r>
                  </w:p>
                  <w:p w14:paraId="01AE4541" w14:textId="77777777" w:rsidR="00885094" w:rsidRDefault="00885094">
                    <w:pPr>
                      <w:pStyle w:val="WitregelW1"/>
                    </w:pPr>
                  </w:p>
                  <w:p w14:paraId="15A3883C" w14:textId="77777777" w:rsidR="00885094" w:rsidRDefault="00885094">
                    <w:pPr>
                      <w:pStyle w:val="WitregelW2"/>
                    </w:pPr>
                  </w:p>
                  <w:p w14:paraId="3DAE336D" w14:textId="77777777" w:rsidR="00885094" w:rsidRDefault="007E58F1">
                    <w:pPr>
                      <w:pStyle w:val="Referentiegegevensbold"/>
                    </w:pPr>
                    <w:r>
                      <w:t>Datum</w:t>
                    </w:r>
                  </w:p>
                  <w:p w14:paraId="5EF7ADF8" w14:textId="77777777" w:rsidR="00E33CCE" w:rsidRDefault="00227502">
                    <w:pPr>
                      <w:pStyle w:val="Referentiegegevens"/>
                    </w:pPr>
                    <w:r>
                      <w:fldChar w:fldCharType="begin"/>
                    </w:r>
                    <w:r>
                      <w:instrText xml:space="preserve"> DOCPROPERTY  "Datum"  \* MERGEFORMAT </w:instrText>
                    </w:r>
                    <w:r>
                      <w:fldChar w:fldCharType="separate"/>
                    </w:r>
                    <w:r>
                      <w:t>13 juni 2025</w:t>
                    </w:r>
                    <w:r>
                      <w:fldChar w:fldCharType="end"/>
                    </w:r>
                  </w:p>
                  <w:p w14:paraId="5ED9E6F9" w14:textId="77777777" w:rsidR="00885094" w:rsidRDefault="00885094">
                    <w:pPr>
                      <w:pStyle w:val="WitregelW1"/>
                    </w:pPr>
                  </w:p>
                  <w:p w14:paraId="687EBD2A" w14:textId="77777777" w:rsidR="00885094" w:rsidRDefault="007E58F1">
                    <w:pPr>
                      <w:pStyle w:val="Referentiegegevensbold"/>
                    </w:pPr>
                    <w:r>
                      <w:t>Ons kenmerk</w:t>
                    </w:r>
                  </w:p>
                  <w:p w14:paraId="612BE4E0" w14:textId="77777777" w:rsidR="00E33CCE" w:rsidRDefault="00227502">
                    <w:pPr>
                      <w:pStyle w:val="Referentiegegevens"/>
                    </w:pPr>
                    <w:r>
                      <w:fldChar w:fldCharType="begin"/>
                    </w:r>
                    <w:r>
                      <w:instrText xml:space="preserve"> DOCPROPERTY  "Kenmerk"  \* MERGEFORMAT </w:instrText>
                    </w:r>
                    <w:r>
                      <w:fldChar w:fldCharType="separate"/>
                    </w:r>
                    <w:r>
                      <w:t>2025-0000168296</w:t>
                    </w:r>
                    <w:r>
                      <w:fldChar w:fldCharType="end"/>
                    </w:r>
                  </w:p>
                  <w:p w14:paraId="6BF83F70" w14:textId="77777777" w:rsidR="00885094" w:rsidRDefault="00885094">
                    <w:pPr>
                      <w:pStyle w:val="WitregelW1"/>
                    </w:pPr>
                  </w:p>
                  <w:p w14:paraId="2DA69244" w14:textId="77777777" w:rsidR="00885094" w:rsidRDefault="007E58F1">
                    <w:pPr>
                      <w:pStyle w:val="Referentiegegevensbold"/>
                    </w:pPr>
                    <w:r>
                      <w:t>Uw kenmerk</w:t>
                    </w:r>
                  </w:p>
                  <w:p w14:paraId="6A4607CD" w14:textId="77777777" w:rsidR="00E33CCE" w:rsidRDefault="0022750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1E69E2C" wp14:editId="374F051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F7FB99" w14:textId="77777777" w:rsidR="00B44349" w:rsidRDefault="00B44349"/>
                      </w:txbxContent>
                    </wps:txbx>
                    <wps:bodyPr vert="horz" wrap="square" lIns="0" tIns="0" rIns="0" bIns="0" anchor="t" anchorCtr="0"/>
                  </wps:wsp>
                </a:graphicData>
              </a:graphic>
            </wp:anchor>
          </w:drawing>
        </mc:Choice>
        <mc:Fallback>
          <w:pict>
            <v:shape w14:anchorId="71E69E2C" id="46feec6f-aa3c-11ea-a756-beb5f67e67be" o:spid="_x0000_s1032" type="#_x0000_t202" style="position:absolute;margin-left:79.35pt;margin-top:802.7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3F7FB99" w14:textId="77777777" w:rsidR="00B44349" w:rsidRDefault="00B44349"/>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D82BD49" wp14:editId="4BA47E5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DFFC74" w14:textId="77777777" w:rsidR="00E33CCE" w:rsidRDefault="0022750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82BD49" id="46feecbe-aa3c-11ea-a756-beb5f67e67be"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DDFFC74" w14:textId="77777777" w:rsidR="00E33CCE" w:rsidRDefault="0022750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090EF3D" wp14:editId="533699C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CE3F6F" w14:textId="77777777" w:rsidR="00885094" w:rsidRDefault="007E58F1">
                          <w:pPr>
                            <w:spacing w:line="240" w:lineRule="auto"/>
                          </w:pPr>
                          <w:r>
                            <w:rPr>
                              <w:noProof/>
                            </w:rPr>
                            <w:drawing>
                              <wp:inline distT="0" distB="0" distL="0" distR="0" wp14:anchorId="22B0620D" wp14:editId="63AE4A76">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90EF3D" id="46feed0e-aa3c-11ea-a756-beb5f67e67be"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1CE3F6F" w14:textId="77777777" w:rsidR="00885094" w:rsidRDefault="007E58F1">
                    <w:pPr>
                      <w:spacing w:line="240" w:lineRule="auto"/>
                    </w:pPr>
                    <w:r>
                      <w:rPr>
                        <w:noProof/>
                      </w:rPr>
                      <w:drawing>
                        <wp:inline distT="0" distB="0" distL="0" distR="0" wp14:anchorId="22B0620D" wp14:editId="63AE4A76">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0B63DFC" wp14:editId="1A74D7E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61AE6A" w14:textId="77777777" w:rsidR="00885094" w:rsidRDefault="007E58F1">
                          <w:pPr>
                            <w:spacing w:line="240" w:lineRule="auto"/>
                          </w:pPr>
                          <w:r>
                            <w:rPr>
                              <w:noProof/>
                            </w:rPr>
                            <w:drawing>
                              <wp:inline distT="0" distB="0" distL="0" distR="0" wp14:anchorId="306B847C" wp14:editId="27C646F0">
                                <wp:extent cx="2339975" cy="1582834"/>
                                <wp:effectExtent l="0" t="0" r="0" b="0"/>
                                <wp:docPr id="12"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2"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B63DFC" id="46feed67-aa3c-11ea-a756-beb5f67e67be"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461AE6A" w14:textId="77777777" w:rsidR="00885094" w:rsidRDefault="007E58F1">
                    <w:pPr>
                      <w:spacing w:line="240" w:lineRule="auto"/>
                    </w:pPr>
                    <w:r>
                      <w:rPr>
                        <w:noProof/>
                      </w:rPr>
                      <w:drawing>
                        <wp:inline distT="0" distB="0" distL="0" distR="0" wp14:anchorId="306B847C" wp14:editId="27C646F0">
                          <wp:extent cx="2339975" cy="1582834"/>
                          <wp:effectExtent l="0" t="0" r="0" b="0"/>
                          <wp:docPr id="12"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2"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F8C3774" wp14:editId="113811E5">
              <wp:simplePos x="0" y="0"/>
              <wp:positionH relativeFrom="page">
                <wp:posOffset>1007744</wp:posOffset>
              </wp:positionH>
              <wp:positionV relativeFrom="page">
                <wp:posOffset>3070225</wp:posOffset>
              </wp:positionV>
              <wp:extent cx="1205865"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05865" cy="532765"/>
                      </a:xfrm>
                      <a:prstGeom prst="rect">
                        <a:avLst/>
                      </a:prstGeom>
                      <a:noFill/>
                    </wps:spPr>
                    <wps:txbx>
                      <w:txbxContent>
                        <w:p w14:paraId="48B6D0B6" w14:textId="77777777" w:rsidR="00885094" w:rsidRDefault="007E58F1">
                          <w:pPr>
                            <w:spacing w:line="240" w:lineRule="auto"/>
                          </w:pPr>
                          <w:r>
                            <w:rPr>
                              <w:noProof/>
                            </w:rPr>
                            <w:drawing>
                              <wp:inline distT="0" distB="0" distL="0" distR="0" wp14:anchorId="7C9C405F" wp14:editId="115E7EE4">
                                <wp:extent cx="1205865" cy="540054"/>
                                <wp:effectExtent l="0" t="0" r="0" b="0"/>
                                <wp:docPr id="14" name="Document_name_-_minutes" descr="verslag"/>
                                <wp:cNvGraphicFramePr/>
                                <a:graphic xmlns:a="http://schemas.openxmlformats.org/drawingml/2006/main">
                                  <a:graphicData uri="http://schemas.openxmlformats.org/drawingml/2006/picture">
                                    <pic:pic xmlns:pic="http://schemas.openxmlformats.org/drawingml/2006/picture">
                                      <pic:nvPicPr>
                                        <pic:cNvPr id="14" name="Document_name_-_minutes"/>
                                        <pic:cNvPicPr/>
                                      </pic:nvPicPr>
                                      <pic:blipFill>
                                        <a:blip r:embed="rId3"/>
                                        <a:stretch>
                                          <a:fillRect/>
                                        </a:stretch>
                                      </pic:blipFill>
                                      <pic:spPr bwMode="auto">
                                        <a:xfrm>
                                          <a:off x="0" y="0"/>
                                          <a:ext cx="1205865" cy="54005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8C3774" id="46fef31b-aa3c-11ea-a756-beb5f67e67be" o:spid="_x0000_s1036" type="#_x0000_t202" style="position:absolute;margin-left:79.35pt;margin-top:241.75pt;width:94.95pt;height:41.9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" filled="f" stroked="f">
              <v:textbox inset="0,0,0,0">
                <w:txbxContent>
                  <w:p w14:paraId="48B6D0B6" w14:textId="77777777" w:rsidR="00885094" w:rsidRDefault="007E58F1">
                    <w:pPr>
                      <w:spacing w:line="240" w:lineRule="auto"/>
                    </w:pPr>
                    <w:r>
                      <w:rPr>
                        <w:noProof/>
                      </w:rPr>
                      <w:drawing>
                        <wp:inline distT="0" distB="0" distL="0" distR="0" wp14:anchorId="7C9C405F" wp14:editId="115E7EE4">
                          <wp:extent cx="1205865" cy="540054"/>
                          <wp:effectExtent l="0" t="0" r="0" b="0"/>
                          <wp:docPr id="14" name="Document_name_-_minutes" descr="verslag"/>
                          <wp:cNvGraphicFramePr/>
                          <a:graphic xmlns:a="http://schemas.openxmlformats.org/drawingml/2006/main">
                            <a:graphicData uri="http://schemas.openxmlformats.org/drawingml/2006/picture">
                              <pic:pic xmlns:pic="http://schemas.openxmlformats.org/drawingml/2006/picture">
                                <pic:nvPicPr>
                                  <pic:cNvPr id="14" name="Document_name_-_minutes"/>
                                  <pic:cNvPicPr/>
                                </pic:nvPicPr>
                                <pic:blipFill>
                                  <a:blip r:embed="rId3"/>
                                  <a:stretch>
                                    <a:fillRect/>
                                  </a:stretch>
                                </pic:blipFill>
                                <pic:spPr bwMode="auto">
                                  <a:xfrm>
                                    <a:off x="0" y="0"/>
                                    <a:ext cx="1205865" cy="54005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E2F9C"/>
    <w:multiLevelType w:val="multilevel"/>
    <w:tmpl w:val="56F3E5B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297BA72"/>
    <w:multiLevelType w:val="multilevel"/>
    <w:tmpl w:val="331CE7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842091A"/>
    <w:multiLevelType w:val="hybridMultilevel"/>
    <w:tmpl w:val="DCF06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D0835"/>
    <w:multiLevelType w:val="multilevel"/>
    <w:tmpl w:val="B3C49CE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873936"/>
    <w:multiLevelType w:val="multilevel"/>
    <w:tmpl w:val="3094022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9EB2358"/>
    <w:multiLevelType w:val="multilevel"/>
    <w:tmpl w:val="D9335C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25059008">
    <w:abstractNumId w:val="0"/>
  </w:num>
  <w:num w:numId="2" w16cid:durableId="1563636685">
    <w:abstractNumId w:val="4"/>
  </w:num>
  <w:num w:numId="3" w16cid:durableId="1143891060">
    <w:abstractNumId w:val="1"/>
  </w:num>
  <w:num w:numId="4" w16cid:durableId="321665916">
    <w:abstractNumId w:val="3"/>
  </w:num>
  <w:num w:numId="5" w16cid:durableId="1586760695">
    <w:abstractNumId w:val="5"/>
  </w:num>
  <w:num w:numId="6" w16cid:durableId="20638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B6"/>
    <w:rsid w:val="00062258"/>
    <w:rsid w:val="00164D47"/>
    <w:rsid w:val="00195F7E"/>
    <w:rsid w:val="00210D7B"/>
    <w:rsid w:val="00227502"/>
    <w:rsid w:val="0026592C"/>
    <w:rsid w:val="00293B1E"/>
    <w:rsid w:val="002C3796"/>
    <w:rsid w:val="002F29E2"/>
    <w:rsid w:val="003430D0"/>
    <w:rsid w:val="003D53D4"/>
    <w:rsid w:val="0041233D"/>
    <w:rsid w:val="00452E8C"/>
    <w:rsid w:val="00462441"/>
    <w:rsid w:val="00472BAC"/>
    <w:rsid w:val="004E73A3"/>
    <w:rsid w:val="0059255C"/>
    <w:rsid w:val="006160C8"/>
    <w:rsid w:val="00673901"/>
    <w:rsid w:val="006E7E0E"/>
    <w:rsid w:val="006F2533"/>
    <w:rsid w:val="007010F3"/>
    <w:rsid w:val="0070365D"/>
    <w:rsid w:val="007465B3"/>
    <w:rsid w:val="007731B0"/>
    <w:rsid w:val="007E58F1"/>
    <w:rsid w:val="007E6C6E"/>
    <w:rsid w:val="008268F6"/>
    <w:rsid w:val="00836633"/>
    <w:rsid w:val="00885094"/>
    <w:rsid w:val="008A0283"/>
    <w:rsid w:val="008D2EB2"/>
    <w:rsid w:val="008E6DD9"/>
    <w:rsid w:val="009A2DAB"/>
    <w:rsid w:val="009C7DB6"/>
    <w:rsid w:val="009E5053"/>
    <w:rsid w:val="00A035BD"/>
    <w:rsid w:val="00A80150"/>
    <w:rsid w:val="00AA3293"/>
    <w:rsid w:val="00AF1626"/>
    <w:rsid w:val="00B02DFB"/>
    <w:rsid w:val="00B44349"/>
    <w:rsid w:val="00B50AE4"/>
    <w:rsid w:val="00B84DE2"/>
    <w:rsid w:val="00BE14CB"/>
    <w:rsid w:val="00C13989"/>
    <w:rsid w:val="00C473DA"/>
    <w:rsid w:val="00C75092"/>
    <w:rsid w:val="00C76EFD"/>
    <w:rsid w:val="00C93DD3"/>
    <w:rsid w:val="00C95C61"/>
    <w:rsid w:val="00D4240A"/>
    <w:rsid w:val="00DA7BED"/>
    <w:rsid w:val="00E33CCE"/>
    <w:rsid w:val="00E80195"/>
    <w:rsid w:val="00F02BBB"/>
    <w:rsid w:val="00F53B1F"/>
    <w:rsid w:val="00F87F2D"/>
    <w:rsid w:val="00FC0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EB934"/>
  <w15:docId w15:val="{02770CC1-B1ED-4E32-B293-86C31F15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C7D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C7DB6"/>
    <w:rPr>
      <w:rFonts w:ascii="Verdana" w:hAnsi="Verdana"/>
      <w:color w:val="000000"/>
      <w:sz w:val="18"/>
      <w:szCs w:val="18"/>
    </w:rPr>
  </w:style>
  <w:style w:type="paragraph" w:styleId="Voettekst">
    <w:name w:val="footer"/>
    <w:basedOn w:val="Standaard"/>
    <w:link w:val="VoettekstChar"/>
    <w:uiPriority w:val="99"/>
    <w:unhideWhenUsed/>
    <w:rsid w:val="009C7D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C7DB6"/>
    <w:rPr>
      <w:rFonts w:ascii="Verdana" w:hAnsi="Verdana"/>
      <w:color w:val="000000"/>
      <w:sz w:val="18"/>
      <w:szCs w:val="18"/>
    </w:rPr>
  </w:style>
  <w:style w:type="paragraph" w:styleId="Voetnoottekst">
    <w:name w:val="footnote text"/>
    <w:basedOn w:val="Standaard"/>
    <w:link w:val="VoetnoottekstChar"/>
    <w:uiPriority w:val="99"/>
    <w:unhideWhenUsed/>
    <w:rsid w:val="009C7DB6"/>
    <w:pPr>
      <w:spacing w:line="240" w:lineRule="auto"/>
    </w:pPr>
    <w:rPr>
      <w:sz w:val="20"/>
      <w:szCs w:val="20"/>
    </w:rPr>
  </w:style>
  <w:style w:type="character" w:customStyle="1" w:styleId="VoetnoottekstChar">
    <w:name w:val="Voetnoottekst Char"/>
    <w:basedOn w:val="Standaardalinea-lettertype"/>
    <w:link w:val="Voetnoottekst"/>
    <w:uiPriority w:val="99"/>
    <w:rsid w:val="009C7DB6"/>
    <w:rPr>
      <w:rFonts w:ascii="Verdana" w:hAnsi="Verdana"/>
      <w:color w:val="000000"/>
    </w:rPr>
  </w:style>
  <w:style w:type="character" w:styleId="Voetnootmarkering">
    <w:name w:val="footnote reference"/>
    <w:basedOn w:val="Standaardalinea-lettertype"/>
    <w:uiPriority w:val="99"/>
    <w:semiHidden/>
    <w:unhideWhenUsed/>
    <w:rsid w:val="009C7DB6"/>
    <w:rPr>
      <w:vertAlign w:val="superscript"/>
    </w:rPr>
  </w:style>
  <w:style w:type="paragraph" w:styleId="Lijstalinea">
    <w:name w:val="List Paragraph"/>
    <w:basedOn w:val="Standaard"/>
    <w:uiPriority w:val="34"/>
    <w:semiHidden/>
    <w:rsid w:val="00F02BBB"/>
    <w:pPr>
      <w:ind w:left="720"/>
      <w:contextualSpacing/>
    </w:pPr>
  </w:style>
  <w:style w:type="paragraph" w:styleId="Revisie">
    <w:name w:val="Revision"/>
    <w:hidden/>
    <w:uiPriority w:val="99"/>
    <w:semiHidden/>
    <w:rsid w:val="00293B1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E73A3"/>
    <w:rPr>
      <w:sz w:val="16"/>
      <w:szCs w:val="16"/>
    </w:rPr>
  </w:style>
  <w:style w:type="paragraph" w:styleId="Tekstopmerking">
    <w:name w:val="annotation text"/>
    <w:basedOn w:val="Standaard"/>
    <w:link w:val="TekstopmerkingChar"/>
    <w:uiPriority w:val="99"/>
    <w:unhideWhenUsed/>
    <w:rsid w:val="004E73A3"/>
    <w:pPr>
      <w:spacing w:line="240" w:lineRule="auto"/>
    </w:pPr>
    <w:rPr>
      <w:sz w:val="20"/>
      <w:szCs w:val="20"/>
    </w:rPr>
  </w:style>
  <w:style w:type="character" w:customStyle="1" w:styleId="TekstopmerkingChar">
    <w:name w:val="Tekst opmerking Char"/>
    <w:basedOn w:val="Standaardalinea-lettertype"/>
    <w:link w:val="Tekstopmerking"/>
    <w:uiPriority w:val="99"/>
    <w:rsid w:val="004E73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E73A3"/>
    <w:rPr>
      <w:b/>
      <w:bCs/>
    </w:rPr>
  </w:style>
  <w:style w:type="character" w:customStyle="1" w:styleId="OnderwerpvanopmerkingChar">
    <w:name w:val="Onderwerp van opmerking Char"/>
    <w:basedOn w:val="TekstopmerkingChar"/>
    <w:link w:val="Onderwerpvanopmerking"/>
    <w:uiPriority w:val="99"/>
    <w:semiHidden/>
    <w:rsid w:val="004E73A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1167</ap:Words>
  <ap:Characters>6421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Verslag - Plenaire vergadering Financial Action Task Force (FATF) Juni 2025</vt:lpstr>
    </vt:vector>
  </ap:TitlesOfParts>
  <ap:LinksUpToDate>false</ap:LinksUpToDate>
  <ap:CharactersWithSpaces>7573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2025-06-30T13:28:00.0000000Z</dcterms:created>
  <dcterms:modified xsi:type="dcterms:W3CDTF">2025-06-30T13:28:00.0000000Z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Verslag - Plenaire vergadering Financial Action Task Force (FATF) Juni 2025</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Verslag FATF Juni 2025</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juni 2025</vt:lpwstr>
  </property>
  <property fmtid="{D5CDD505-2E9C-101B-9397-08002B2CF9AE}" pid="13" name="Opgesteld door, Naam">
    <vt:lpwstr>H.J.F. Hoogendijk</vt:lpwstr>
  </property>
  <property fmtid="{D5CDD505-2E9C-101B-9397-08002B2CF9AE}" pid="14" name="Opgesteld door, Telefoonnummer">
    <vt:lpwstr/>
  </property>
  <property fmtid="{D5CDD505-2E9C-101B-9397-08002B2CF9AE}" pid="15" name="Kenmerk">
    <vt:lpwstr>2025-0000168296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DocGen_Verslag_nl_NL</vt:lpwstr>
  </property>
  <property fmtid="{D5CDD505-2E9C-101B-9397-08002B2CF9AE}" pid="29" name="Onderwerp">
    <vt:lpwstr>Plenaire vergadering Financial Action Task Force (FATF) Juni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2025-06-13T12:32:12Z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15e39412-5437-4d49-84fd-7c326683ad4f</vt:lpwstr>
  </property>
  <property fmtid="{D5CDD505-2E9C-101B-9397-08002B2CF9AE}" pid="37" name="MSIP_Label_6800fede-0e59-47ad-af95-4e63bbdb932d_ContentBits">
    <vt:lpwstr>0</vt:lpwstr>
  </property>
</Properties>
</file>