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67FBA" w:rsidR="003C21AC" w:rsidP="005748E1" w:rsidRDefault="005748E1" w14:paraId="6C1F89D3" w14:textId="3AE3B2D8">
            <w:pPr>
              <w:rPr>
                <w:b/>
                <w:bCs/>
              </w:rPr>
            </w:pPr>
            <w:r w:rsidRPr="00667FBA">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C80B3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C80B3C" w:rsidP="00C80B3C" w:rsidRDefault="00C80B3C" w14:paraId="2E3E6428" w14:textId="0D32B4CB">
            <w:pPr>
              <w:pStyle w:val="Amendement"/>
              <w:tabs>
                <w:tab w:val="clear" w:pos="3310"/>
                <w:tab w:val="clear" w:pos="3600"/>
              </w:tabs>
              <w:rPr>
                <w:rFonts w:ascii="Times New Roman" w:hAnsi="Times New Roman"/>
              </w:rPr>
            </w:pPr>
            <w:r w:rsidRPr="00C035D4">
              <w:rPr>
                <w:rFonts w:ascii="Times New Roman" w:hAnsi="Times New Roman"/>
              </w:rPr>
              <w:t xml:space="preserve">Nr. </w:t>
            </w:r>
            <w:r>
              <w:rPr>
                <w:rFonts w:ascii="Times New Roman" w:hAnsi="Times New Roman"/>
                <w:caps/>
              </w:rPr>
              <w:t>5</w:t>
            </w:r>
            <w:r w:rsidR="00252BD5">
              <w:rPr>
                <w:rFonts w:ascii="Times New Roman" w:hAnsi="Times New Roman"/>
                <w:caps/>
              </w:rPr>
              <w:t>4</w:t>
            </w:r>
          </w:p>
        </w:tc>
        <w:tc>
          <w:tcPr>
            <w:tcW w:w="7371" w:type="dxa"/>
            <w:gridSpan w:val="2"/>
          </w:tcPr>
          <w:p w:rsidRPr="00C035D4" w:rsidR="00C80B3C" w:rsidP="00C80B3C" w:rsidRDefault="00C80B3C" w14:paraId="2A952913" w14:textId="774F098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w:t>
            </w:r>
            <w:r>
              <w:rPr>
                <w:rFonts w:ascii="Times New Roman" w:hAnsi="Times New Roman"/>
                <w:caps/>
              </w:rPr>
              <w:t xml:space="preserve">van </w:t>
            </w:r>
            <w:r w:rsidR="00252BD5">
              <w:rPr>
                <w:rFonts w:ascii="Times New Roman" w:hAnsi="Times New Roman"/>
                <w:caps/>
              </w:rPr>
              <w:t>het lid</w:t>
            </w:r>
            <w:r w:rsidRPr="00C035D4">
              <w:rPr>
                <w:rFonts w:ascii="Times New Roman" w:hAnsi="Times New Roman"/>
                <w:caps/>
              </w:rPr>
              <w:t xml:space="preserve"> </w:t>
            </w:r>
            <w:r>
              <w:rPr>
                <w:rFonts w:ascii="Times New Roman" w:hAnsi="Times New Roman"/>
                <w:caps/>
              </w:rPr>
              <w:t xml:space="preserve">Wijen-Nass </w:t>
            </w:r>
            <w:r w:rsidR="00252BD5">
              <w:rPr>
                <w:rFonts w:ascii="Times New Roman" w:hAnsi="Times New Roman"/>
                <w:caps/>
              </w:rPr>
              <w:t>c.s.</w:t>
            </w:r>
            <w:r>
              <w:rPr>
                <w:rFonts w:ascii="Times New Roman" w:hAnsi="Times New Roman"/>
                <w:caps/>
              </w:rPr>
              <w:t xml:space="preserve"> ter vervanging van dat gedrukt onder nr. </w:t>
            </w:r>
            <w:r w:rsidR="00252BD5">
              <w:rPr>
                <w:rFonts w:ascii="Times New Roman" w:hAnsi="Times New Roman"/>
                <w:caps/>
              </w:rPr>
              <w:t>50</w:t>
            </w:r>
            <w:r>
              <w:rPr>
                <w:rStyle w:val="Voetnootmarkering"/>
                <w:rFonts w:ascii="Times New Roman" w:hAnsi="Times New Roman"/>
                <w:caps/>
              </w:rPr>
              <w:footnoteReference w:id="1"/>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6F47150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13677">
              <w:rPr>
                <w:rFonts w:ascii="Times New Roman" w:hAnsi="Times New Roman"/>
                <w:b w:val="0"/>
              </w:rPr>
              <w:t>2</w:t>
            </w:r>
            <w:r w:rsidR="00C80B3C">
              <w:rPr>
                <w:rFonts w:ascii="Times New Roman" w:hAnsi="Times New Roman"/>
                <w:b w:val="0"/>
              </w:rPr>
              <w:t>5</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40C05FCE">
            <w:pPr>
              <w:ind w:firstLine="284"/>
            </w:pPr>
            <w:r w:rsidRPr="00EA69AC">
              <w:t>De ondergetekende</w:t>
            </w:r>
            <w:r w:rsidR="00C80B3C">
              <w:t>n</w:t>
            </w:r>
            <w:r w:rsidRPr="00EA69AC">
              <w:t xml:space="preserve"> stel</w:t>
            </w:r>
            <w:r w:rsidR="00C80B3C">
              <w:t>len</w:t>
            </w:r>
            <w:r w:rsidRPr="00EA69AC">
              <w:t xml:space="preserve"> het volgende amendement voor:</w:t>
            </w:r>
          </w:p>
        </w:tc>
      </w:tr>
    </w:tbl>
    <w:p w:rsidR="004330ED" w:rsidP="00D774B3" w:rsidRDefault="004330ED" w14:paraId="71855E87" w14:textId="77777777"/>
    <w:p w:rsidR="00E770CD" w:rsidP="00D774B3" w:rsidRDefault="00E770CD" w14:paraId="1A0073F7" w14:textId="2396CD71">
      <w:r>
        <w:tab/>
        <w:t>In artikel III wordt na onderdeel I een onderdeel ingevoegd, luidende:</w:t>
      </w:r>
    </w:p>
    <w:p w:rsidR="00E770CD" w:rsidP="00D774B3" w:rsidRDefault="00E770CD" w14:paraId="1A39FBF6" w14:textId="77777777"/>
    <w:p w:rsidR="00E770CD" w:rsidP="00D774B3" w:rsidRDefault="00E770CD" w14:paraId="02919113" w14:textId="6B6DBE10">
      <w:r>
        <w:t>Ia</w:t>
      </w:r>
    </w:p>
    <w:p w:rsidRPr="00EA69AC" w:rsidR="00E770CD" w:rsidP="00D774B3" w:rsidRDefault="00E770CD" w14:paraId="57DDD6EC" w14:textId="77777777"/>
    <w:p w:rsidRPr="003B4597" w:rsidR="00E770CD" w:rsidP="00E770CD" w:rsidRDefault="00E770CD" w14:paraId="54FE7308" w14:textId="77777777">
      <w:pPr>
        <w:spacing w:line="276" w:lineRule="auto"/>
        <w:ind w:firstLine="284"/>
      </w:pPr>
      <w:r w:rsidRPr="003B4597">
        <w:t>Na artikel 16.8</w:t>
      </w:r>
      <w:r>
        <w:t>6</w:t>
      </w:r>
      <w:r w:rsidRPr="003B4597">
        <w:t xml:space="preserve"> wordt een artikel ingevoegd, luidende: </w:t>
      </w:r>
    </w:p>
    <w:p w:rsidR="00E770CD" w:rsidP="00E770CD" w:rsidRDefault="00E770CD" w14:paraId="4A9603B6" w14:textId="77777777">
      <w:pPr>
        <w:spacing w:line="276" w:lineRule="auto"/>
        <w:rPr>
          <w:b/>
          <w:bCs/>
        </w:rPr>
      </w:pPr>
    </w:p>
    <w:p w:rsidRPr="003B4597" w:rsidR="00E770CD" w:rsidP="00E770CD" w:rsidRDefault="00E770CD" w14:paraId="408FD9AA" w14:textId="0F6C58C4">
      <w:pPr>
        <w:spacing w:line="276" w:lineRule="auto"/>
        <w:rPr>
          <w:b/>
          <w:bCs/>
        </w:rPr>
      </w:pPr>
      <w:r w:rsidRPr="003B4597">
        <w:rPr>
          <w:b/>
          <w:bCs/>
        </w:rPr>
        <w:t>Artikel 16.8</w:t>
      </w:r>
      <w:r>
        <w:rPr>
          <w:b/>
          <w:bCs/>
        </w:rPr>
        <w:t>6a (</w:t>
      </w:r>
      <w:r w:rsidRPr="003B4597">
        <w:rPr>
          <w:b/>
          <w:bCs/>
        </w:rPr>
        <w:t>geen tweede zitting</w:t>
      </w:r>
      <w:r>
        <w:rPr>
          <w:b/>
          <w:bCs/>
        </w:rPr>
        <w:t>)</w:t>
      </w:r>
      <w:r w:rsidRPr="003B4597">
        <w:rPr>
          <w:b/>
          <w:bCs/>
        </w:rPr>
        <w:t xml:space="preserve"> </w:t>
      </w:r>
    </w:p>
    <w:p w:rsidR="00E770CD" w:rsidP="00E770CD" w:rsidRDefault="00E770CD" w14:paraId="79C2EDA8" w14:textId="77777777">
      <w:pPr>
        <w:spacing w:line="276" w:lineRule="auto"/>
      </w:pPr>
    </w:p>
    <w:p w:rsidR="00E770CD" w:rsidP="00E770CD" w:rsidRDefault="0049392A" w14:paraId="699E2DD7" w14:textId="247E7DBC">
      <w:pPr>
        <w:spacing w:line="276" w:lineRule="auto"/>
        <w:ind w:firstLine="284"/>
      </w:pPr>
      <w:r>
        <w:t>Onverminderd</w:t>
      </w:r>
      <w:r w:rsidR="00E770CD">
        <w:t xml:space="preserve"> </w:t>
      </w:r>
      <w:r w:rsidRPr="003B4597" w:rsidR="00E770CD">
        <w:t xml:space="preserve">artikel 8:57 van de Algemene wet bestuursrecht kan de Afdeling bestuursrechtspraak van de Raad van State bij beroepen tegen </w:t>
      </w:r>
      <w:r w:rsidR="00E770CD">
        <w:t>e</w:t>
      </w:r>
      <w:r w:rsidRPr="00FC529D" w:rsidR="00E770CD">
        <w:t>en beslissing op een aanvraag om een omgevingsvergunning voor</w:t>
      </w:r>
      <w:r w:rsidRPr="00FC529D" w:rsidR="00E770CD">
        <w:rPr>
          <w:rFonts w:cs="Segoe UI"/>
        </w:rPr>
        <w:t xml:space="preserve"> een bouwactiviteit of een omgevingsplanactiviteit bestaande uit een bouwactiviteit voor </w:t>
      </w:r>
      <w:r w:rsidRPr="00FC529D" w:rsidR="00E770CD">
        <w:t>woningbouwprojecten van ten minste een woning</w:t>
      </w:r>
      <w:r w:rsidRPr="003B4597" w:rsidR="00E770CD">
        <w:t xml:space="preserve"> bepalen dat een nader onderzoek ter zitting achterwege blijft </w:t>
      </w:r>
      <w:r w:rsidR="00E770CD">
        <w:t>als</w:t>
      </w:r>
      <w:r w:rsidRPr="003B4597" w:rsidR="00E770CD">
        <w:t xml:space="preserve"> het beroep </w:t>
      </w:r>
      <w:r w:rsidRPr="00DB2E91" w:rsidR="00E770CD">
        <w:t xml:space="preserve">al </w:t>
      </w:r>
      <w:r w:rsidRPr="003B4597" w:rsidR="00E770CD">
        <w:t>ter zitting is behandeld.</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991D5A" w:rsidR="00991D5A" w:rsidP="00991D5A" w:rsidRDefault="00991D5A" w14:paraId="5621E9E6" w14:textId="5315F9A6">
      <w:pPr>
        <w:rPr>
          <w:rFonts w:eastAsia="DejaVu Sans" w:cs="Lohit Hindi"/>
          <w:color w:val="000000"/>
        </w:rPr>
      </w:pPr>
      <w:r w:rsidRPr="00991D5A">
        <w:rPr>
          <w:rFonts w:eastAsia="DejaVu Sans" w:cs="Lohit Hindi"/>
          <w:color w:val="000000"/>
        </w:rPr>
        <w:t xml:space="preserve">Als de bestuursrechter na de behandeling van de zaak ter zitting het onderzoek niet sluit, maar schorst en het vooronderzoek hervat, of als hij het onderzoek ter zitting wel sluit, maar het na de zitting weer heropent (artikelen 8:64 en 8:68 van de Algemene wet bestuursrecht) heeft de </w:t>
      </w:r>
      <w:r w:rsidR="00216B7A">
        <w:rPr>
          <w:rFonts w:eastAsia="DejaVu Sans" w:cs="Lohit Hindi"/>
          <w:color w:val="000000"/>
        </w:rPr>
        <w:t>bestuurs</w:t>
      </w:r>
      <w:r w:rsidRPr="00991D5A">
        <w:rPr>
          <w:rFonts w:eastAsia="DejaVu Sans" w:cs="Lohit Hindi"/>
          <w:color w:val="000000"/>
        </w:rPr>
        <w:t xml:space="preserve">rechter niet de vrijheid om zelf te beslissen of de zaak wel of niet nogmaals ter zitting wordt behandeld. Als de </w:t>
      </w:r>
      <w:r w:rsidR="00216B7A">
        <w:rPr>
          <w:rFonts w:eastAsia="DejaVu Sans" w:cs="Lohit Hindi"/>
          <w:color w:val="000000"/>
        </w:rPr>
        <w:t>bestuurs</w:t>
      </w:r>
      <w:r w:rsidRPr="00991D5A">
        <w:rPr>
          <w:rFonts w:eastAsia="DejaVu Sans" w:cs="Lohit Hindi"/>
          <w:color w:val="000000"/>
        </w:rPr>
        <w:t xml:space="preserve">rechter het niet nodig vindt dat de zaak voor een tweede keer ter zitting wordt behandeld, zal </w:t>
      </w:r>
      <w:r w:rsidR="00216B7A">
        <w:rPr>
          <w:rFonts w:eastAsia="DejaVu Sans" w:cs="Lohit Hindi"/>
          <w:color w:val="000000"/>
        </w:rPr>
        <w:t xml:space="preserve">de bestuursrechter </w:t>
      </w:r>
      <w:r w:rsidRPr="00991D5A">
        <w:rPr>
          <w:rFonts w:eastAsia="DejaVu Sans" w:cs="Lohit Hindi"/>
          <w:color w:val="000000"/>
        </w:rPr>
        <w:t xml:space="preserve">– behoudens in geval van een bestuurlijke lus - partijen moeten vragen of zij akkoord zijn met het achterwege laten van een zitting. </w:t>
      </w:r>
    </w:p>
    <w:p w:rsidRPr="00991D5A" w:rsidR="00991D5A" w:rsidP="00991D5A" w:rsidRDefault="00991D5A" w14:paraId="6E16F378" w14:textId="77777777">
      <w:pPr>
        <w:rPr>
          <w:rFonts w:eastAsia="DejaVu Sans" w:cs="Lohit Hindi"/>
          <w:color w:val="000000"/>
        </w:rPr>
      </w:pPr>
    </w:p>
    <w:p w:rsidRPr="00991D5A" w:rsidR="00991D5A" w:rsidP="00991D5A" w:rsidRDefault="00991D5A" w14:paraId="01873769" w14:textId="5A2F8C16">
      <w:pPr>
        <w:rPr>
          <w:rFonts w:eastAsia="DejaVu Sans" w:cs="Lohit Hindi"/>
          <w:color w:val="000000"/>
        </w:rPr>
      </w:pPr>
      <w:r w:rsidRPr="00991D5A">
        <w:rPr>
          <w:rFonts w:eastAsia="DejaVu Sans" w:cs="Lohit Hindi"/>
          <w:color w:val="000000"/>
        </w:rPr>
        <w:t xml:space="preserve">Met dit amendement wordt mogelijk gemaakt dat de bestuursrechter ambtshalve kan bepalen dat het beroep na hervatting van het onderzoek na de zitting niet opnieuw op een (tweede)zitting wordt behandeld. Ook als partijen bereid zijn om in te stemmen met een verzoek om geen tweede zitting te houden, levert dit tijdswinst op. Het is </w:t>
      </w:r>
      <w:r w:rsidR="00216B7A">
        <w:rPr>
          <w:rFonts w:eastAsia="DejaVu Sans" w:cs="Lohit Hindi"/>
          <w:color w:val="000000"/>
        </w:rPr>
        <w:t xml:space="preserve">dan </w:t>
      </w:r>
      <w:r w:rsidRPr="00991D5A">
        <w:rPr>
          <w:rFonts w:eastAsia="DejaVu Sans" w:cs="Lohit Hindi"/>
          <w:color w:val="000000"/>
        </w:rPr>
        <w:t>niet nodig om partijen hierom te verzoeken en op een reactie van partijen te wachten.  </w:t>
      </w:r>
    </w:p>
    <w:p w:rsidRPr="00EA69AC" w:rsidR="00B74637" w:rsidP="00B74637" w:rsidRDefault="00B74637" w14:paraId="0AC9108A" w14:textId="77777777"/>
    <w:p w:rsidR="00B4708A" w:rsidP="00EA1CE4" w:rsidRDefault="005748E1" w14:paraId="3AC39A83" w14:textId="6ACB3472">
      <w:r>
        <w:t>Wijen-Nass</w:t>
      </w:r>
    </w:p>
    <w:p w:rsidR="00C80B3C" w:rsidP="00EA1CE4" w:rsidRDefault="00C80B3C" w14:paraId="547E9DA3" w14:textId="6B539E41">
      <w:r>
        <w:t>Vijlbrief</w:t>
      </w:r>
    </w:p>
    <w:p w:rsidRPr="00EA69AC" w:rsidR="00252BD5" w:rsidP="00EA1CE4" w:rsidRDefault="00252BD5" w14:paraId="46E820A7" w14:textId="145F4789">
      <w:r>
        <w:t>Meulenkamp</w:t>
      </w:r>
    </w:p>
    <w:sectPr w:rsidRPr="00EA69AC" w:rsidR="00252BD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305E" w14:textId="77777777" w:rsidR="003A4A88" w:rsidRDefault="003A4A88">
      <w:pPr>
        <w:spacing w:line="20" w:lineRule="exact"/>
      </w:pPr>
    </w:p>
  </w:endnote>
  <w:endnote w:type="continuationSeparator" w:id="0">
    <w:p w14:paraId="1D3F2298" w14:textId="77777777" w:rsidR="003A4A88" w:rsidRDefault="003A4A88">
      <w:pPr>
        <w:pStyle w:val="Amendement"/>
      </w:pPr>
      <w:r>
        <w:rPr>
          <w:b w:val="0"/>
        </w:rPr>
        <w:t xml:space="preserve"> </w:t>
      </w:r>
    </w:p>
  </w:endnote>
  <w:endnote w:type="continuationNotice" w:id="1">
    <w:p w14:paraId="2DA70D42" w14:textId="77777777" w:rsidR="003A4A88" w:rsidRDefault="003A4A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5B37" w14:textId="77777777" w:rsidR="003A4A88" w:rsidRDefault="003A4A88">
      <w:pPr>
        <w:pStyle w:val="Amendement"/>
      </w:pPr>
      <w:r>
        <w:rPr>
          <w:b w:val="0"/>
        </w:rPr>
        <w:separator/>
      </w:r>
    </w:p>
  </w:footnote>
  <w:footnote w:type="continuationSeparator" w:id="0">
    <w:p w14:paraId="1459F3D4" w14:textId="77777777" w:rsidR="003A4A88" w:rsidRDefault="003A4A88">
      <w:r>
        <w:continuationSeparator/>
      </w:r>
    </w:p>
  </w:footnote>
  <w:footnote w:id="1">
    <w:p w14:paraId="6B145FC8" w14:textId="77777777" w:rsidR="00C80B3C" w:rsidRDefault="00C80B3C">
      <w:pPr>
        <w:pStyle w:val="Voetnoottekst"/>
      </w:pPr>
      <w:r w:rsidRPr="00055E1E">
        <w:rPr>
          <w:rStyle w:val="Voetnootmarkering"/>
          <w:sz w:val="20"/>
          <w:szCs w:val="16"/>
        </w:rPr>
        <w:footnoteRef/>
      </w:r>
      <w:r w:rsidRPr="00055E1E">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2192D"/>
    <w:rsid w:val="00035030"/>
    <w:rsid w:val="00047C5B"/>
    <w:rsid w:val="0007471A"/>
    <w:rsid w:val="000D17BF"/>
    <w:rsid w:val="00101FCE"/>
    <w:rsid w:val="00157CAF"/>
    <w:rsid w:val="001656EE"/>
    <w:rsid w:val="0016653D"/>
    <w:rsid w:val="001C14D4"/>
    <w:rsid w:val="001D56AF"/>
    <w:rsid w:val="001E0E21"/>
    <w:rsid w:val="00212E0A"/>
    <w:rsid w:val="002153B0"/>
    <w:rsid w:val="00216B7A"/>
    <w:rsid w:val="0021777F"/>
    <w:rsid w:val="00241DD0"/>
    <w:rsid w:val="00252BD5"/>
    <w:rsid w:val="002A0713"/>
    <w:rsid w:val="00377344"/>
    <w:rsid w:val="003A4A88"/>
    <w:rsid w:val="003C21AC"/>
    <w:rsid w:val="003C5218"/>
    <w:rsid w:val="003C7876"/>
    <w:rsid w:val="003E2308"/>
    <w:rsid w:val="003E2F98"/>
    <w:rsid w:val="0042574B"/>
    <w:rsid w:val="004330ED"/>
    <w:rsid w:val="00481C91"/>
    <w:rsid w:val="004911E3"/>
    <w:rsid w:val="0049392A"/>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62836"/>
    <w:rsid w:val="00667FBA"/>
    <w:rsid w:val="00672D25"/>
    <w:rsid w:val="006738BC"/>
    <w:rsid w:val="00685353"/>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1D5A"/>
    <w:rsid w:val="00993E91"/>
    <w:rsid w:val="009A409F"/>
    <w:rsid w:val="009B5845"/>
    <w:rsid w:val="009C0C1F"/>
    <w:rsid w:val="00A10505"/>
    <w:rsid w:val="00A1288B"/>
    <w:rsid w:val="00A44734"/>
    <w:rsid w:val="00A53203"/>
    <w:rsid w:val="00A772EB"/>
    <w:rsid w:val="00B01BA6"/>
    <w:rsid w:val="00B0379E"/>
    <w:rsid w:val="00B13677"/>
    <w:rsid w:val="00B4708A"/>
    <w:rsid w:val="00B74637"/>
    <w:rsid w:val="00BF623B"/>
    <w:rsid w:val="00C035D4"/>
    <w:rsid w:val="00C5524E"/>
    <w:rsid w:val="00C679BF"/>
    <w:rsid w:val="00C80B3C"/>
    <w:rsid w:val="00C81BBD"/>
    <w:rsid w:val="00CD3132"/>
    <w:rsid w:val="00CE27CD"/>
    <w:rsid w:val="00D134F3"/>
    <w:rsid w:val="00D47D01"/>
    <w:rsid w:val="00D774B3"/>
    <w:rsid w:val="00DD35A5"/>
    <w:rsid w:val="00DD650A"/>
    <w:rsid w:val="00DE2948"/>
    <w:rsid w:val="00DF68BE"/>
    <w:rsid w:val="00DF712A"/>
    <w:rsid w:val="00E25DF4"/>
    <w:rsid w:val="00E3485D"/>
    <w:rsid w:val="00E6619B"/>
    <w:rsid w:val="00E75DD7"/>
    <w:rsid w:val="00E770CD"/>
    <w:rsid w:val="00E908D7"/>
    <w:rsid w:val="00EA1CE4"/>
    <w:rsid w:val="00EA69AC"/>
    <w:rsid w:val="00EB40A1"/>
    <w:rsid w:val="00EC3112"/>
    <w:rsid w:val="00ED5E57"/>
    <w:rsid w:val="00ED69BF"/>
    <w:rsid w:val="00EE1BD8"/>
    <w:rsid w:val="00F3273F"/>
    <w:rsid w:val="00FA5BBE"/>
    <w:rsid w:val="00FC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16B7A"/>
    <w:rPr>
      <w:sz w:val="24"/>
    </w:rPr>
  </w:style>
  <w:style w:type="character" w:styleId="Voetnootmarkering">
    <w:name w:val="footnote reference"/>
    <w:basedOn w:val="Standaardalinea-lettertype"/>
    <w:semiHidden/>
    <w:unhideWhenUsed/>
    <w:rsid w:val="00B13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3927">
      <w:bodyDiv w:val="1"/>
      <w:marLeft w:val="0"/>
      <w:marRight w:val="0"/>
      <w:marTop w:val="0"/>
      <w:marBottom w:val="0"/>
      <w:divBdr>
        <w:top w:val="none" w:sz="0" w:space="0" w:color="auto"/>
        <w:left w:val="none" w:sz="0" w:space="0" w:color="auto"/>
        <w:bottom w:val="none" w:sz="0" w:space="0" w:color="auto"/>
        <w:right w:val="none" w:sz="0" w:space="0" w:color="auto"/>
      </w:divBdr>
    </w:div>
    <w:div w:id="809715673">
      <w:bodyDiv w:val="1"/>
      <w:marLeft w:val="0"/>
      <w:marRight w:val="0"/>
      <w:marTop w:val="0"/>
      <w:marBottom w:val="0"/>
      <w:divBdr>
        <w:top w:val="none" w:sz="0" w:space="0" w:color="auto"/>
        <w:left w:val="none" w:sz="0" w:space="0" w:color="auto"/>
        <w:bottom w:val="none" w:sz="0" w:space="0" w:color="auto"/>
        <w:right w:val="none" w:sz="0" w:space="0" w:color="auto"/>
      </w:divBdr>
    </w:div>
    <w:div w:id="971712731">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353</ap:Words>
  <ap:Characters>1991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2025-06-25T09:25:00.0000000Z</dcterms:created>
  <dcterms:modified xsi:type="dcterms:W3CDTF">2025-06-25T09:25:00.0000000Z</dcterms:modified>
  <dc:description>------------------------</dc:description>
  <dc:subject/>
  <keywords/>
  <version/>
  <category/>
</coreProperties>
</file>