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027F7" w:rsidTr="00D9561B" w14:paraId="0979B9D3" w14:textId="77777777">
        <w:trPr>
          <w:trHeight w:val="1514"/>
        </w:trPr>
        <w:tc>
          <w:tcPr>
            <w:tcW w:w="7522" w:type="dxa"/>
            <w:tcBorders>
              <w:top w:val="nil"/>
              <w:left w:val="nil"/>
              <w:bottom w:val="nil"/>
              <w:right w:val="nil"/>
            </w:tcBorders>
            <w:tcMar>
              <w:left w:w="0" w:type="dxa"/>
              <w:right w:w="0" w:type="dxa"/>
            </w:tcMar>
          </w:tcPr>
          <w:p w:rsidR="00374412" w:rsidP="00D9561B" w:rsidRDefault="00BE2028" w14:paraId="5073E081" w14:textId="77777777">
            <w:r>
              <w:t>De v</w:t>
            </w:r>
            <w:r w:rsidR="008E3932">
              <w:t>oorzitter van de Tweede Kamer der Staten-Generaal</w:t>
            </w:r>
          </w:p>
          <w:p w:rsidR="00374412" w:rsidP="00D9561B" w:rsidRDefault="00BE2028" w14:paraId="08789F6A" w14:textId="77777777">
            <w:r>
              <w:t>Postbus 20018</w:t>
            </w:r>
          </w:p>
          <w:p w:rsidR="008E3932" w:rsidP="00D9561B" w:rsidRDefault="00BE2028" w14:paraId="1688643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027F7" w:rsidTr="00FF66F9" w14:paraId="013089C9" w14:textId="77777777">
        <w:trPr>
          <w:trHeight w:val="289" w:hRule="exact"/>
        </w:trPr>
        <w:tc>
          <w:tcPr>
            <w:tcW w:w="929" w:type="dxa"/>
          </w:tcPr>
          <w:p w:rsidRPr="00434042" w:rsidR="0005404B" w:rsidP="00FF66F9" w:rsidRDefault="00BE2028" w14:paraId="1DDA8256" w14:textId="77777777">
            <w:pPr>
              <w:rPr>
                <w:lang w:eastAsia="en-US"/>
              </w:rPr>
            </w:pPr>
            <w:r>
              <w:rPr>
                <w:lang w:eastAsia="en-US"/>
              </w:rPr>
              <w:t>Datum</w:t>
            </w:r>
          </w:p>
        </w:tc>
        <w:tc>
          <w:tcPr>
            <w:tcW w:w="6581" w:type="dxa"/>
          </w:tcPr>
          <w:p w:rsidRPr="00434042" w:rsidR="0005404B" w:rsidP="00FF66F9" w:rsidRDefault="00A66F1A" w14:paraId="62C6D6EF" w14:textId="20376914">
            <w:pPr>
              <w:rPr>
                <w:lang w:eastAsia="en-US"/>
              </w:rPr>
            </w:pPr>
            <w:r>
              <w:rPr>
                <w:lang w:eastAsia="en-US"/>
              </w:rPr>
              <w:t>24 juni 2025</w:t>
            </w:r>
          </w:p>
        </w:tc>
      </w:tr>
      <w:tr w:rsidR="002027F7" w:rsidTr="00FF66F9" w14:paraId="1BC49C03" w14:textId="77777777">
        <w:trPr>
          <w:trHeight w:val="368"/>
        </w:trPr>
        <w:tc>
          <w:tcPr>
            <w:tcW w:w="929" w:type="dxa"/>
          </w:tcPr>
          <w:p w:rsidR="0005404B" w:rsidP="00FF66F9" w:rsidRDefault="00BE2028" w14:paraId="3E229A45" w14:textId="77777777">
            <w:pPr>
              <w:rPr>
                <w:lang w:eastAsia="en-US"/>
              </w:rPr>
            </w:pPr>
            <w:r>
              <w:rPr>
                <w:lang w:eastAsia="en-US"/>
              </w:rPr>
              <w:t>Betreft</w:t>
            </w:r>
          </w:p>
        </w:tc>
        <w:tc>
          <w:tcPr>
            <w:tcW w:w="6581" w:type="dxa"/>
          </w:tcPr>
          <w:p w:rsidR="0005404B" w:rsidP="00FF66F9" w:rsidRDefault="00DE73DE" w14:paraId="50851006" w14:textId="5DCAAB96">
            <w:pPr>
              <w:rPr>
                <w:lang w:eastAsia="en-US"/>
              </w:rPr>
            </w:pPr>
            <w:r>
              <w:rPr>
                <w:lang w:eastAsia="en-US"/>
              </w:rPr>
              <w:t>Een betere start voor kinderen met Nederlands als tweede taal</w:t>
            </w:r>
          </w:p>
        </w:tc>
      </w:tr>
    </w:tbl>
    <w:p w:rsidR="002027F7" w:rsidRDefault="001C2C36" w14:paraId="60A1CCCB"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7769C" w:rsidR="002027F7" w:rsidTr="00A421A1" w14:paraId="2FFD39B1" w14:textId="77777777">
        <w:tc>
          <w:tcPr>
            <w:tcW w:w="2160" w:type="dxa"/>
          </w:tcPr>
          <w:p w:rsidRPr="00F53C9D" w:rsidR="006205C0" w:rsidP="00686AED" w:rsidRDefault="00BE2028" w14:paraId="3A3A804E" w14:textId="77777777">
            <w:pPr>
              <w:pStyle w:val="Colofonkop"/>
              <w:framePr w:hSpace="0" w:wrap="auto" w:hAnchor="text" w:vAnchor="margin" w:xAlign="left" w:yAlign="inline"/>
            </w:pPr>
            <w:r>
              <w:t>Onderwijspersoneel en Primair Onderwijs</w:t>
            </w:r>
          </w:p>
          <w:p w:rsidR="006205C0" w:rsidP="00A421A1" w:rsidRDefault="00BE2028" w14:paraId="71591423" w14:textId="77777777">
            <w:pPr>
              <w:pStyle w:val="Huisstijl-Gegeven"/>
              <w:spacing w:after="0"/>
            </w:pPr>
            <w:r>
              <w:t xml:space="preserve">Rijnstraat 50 </w:t>
            </w:r>
          </w:p>
          <w:p w:rsidR="004425A7" w:rsidP="00E972A2" w:rsidRDefault="00BE2028" w14:paraId="016680D3" w14:textId="77777777">
            <w:pPr>
              <w:pStyle w:val="Huisstijl-Gegeven"/>
              <w:spacing w:after="0"/>
            </w:pPr>
            <w:r>
              <w:t>Den Haag</w:t>
            </w:r>
          </w:p>
          <w:p w:rsidR="004425A7" w:rsidP="00E972A2" w:rsidRDefault="00BE2028" w14:paraId="5468C6BD" w14:textId="77777777">
            <w:pPr>
              <w:pStyle w:val="Huisstijl-Gegeven"/>
              <w:spacing w:after="0"/>
            </w:pPr>
            <w:r>
              <w:t>Postbus 16375</w:t>
            </w:r>
          </w:p>
          <w:p w:rsidR="004425A7" w:rsidP="00E972A2" w:rsidRDefault="00BE2028" w14:paraId="529D2151" w14:textId="77777777">
            <w:pPr>
              <w:pStyle w:val="Huisstijl-Gegeven"/>
              <w:spacing w:after="0"/>
            </w:pPr>
            <w:r>
              <w:t>2500 BJ Den Haag</w:t>
            </w:r>
          </w:p>
          <w:p w:rsidR="004425A7" w:rsidP="00E972A2" w:rsidRDefault="00BE2028" w14:paraId="711411DD" w14:textId="77777777">
            <w:pPr>
              <w:pStyle w:val="Huisstijl-Gegeven"/>
              <w:spacing w:after="90"/>
            </w:pPr>
            <w:r>
              <w:t>www.rijksoverheid.nl</w:t>
            </w:r>
          </w:p>
          <w:p w:rsidRPr="00D86CC6" w:rsidR="006205C0" w:rsidP="00A421A1" w:rsidRDefault="00BE2028" w14:paraId="29FE4BA4" w14:textId="77777777">
            <w:pPr>
              <w:spacing w:line="180" w:lineRule="exact"/>
              <w:rPr>
                <w:b/>
                <w:sz w:val="13"/>
                <w:szCs w:val="13"/>
              </w:rPr>
            </w:pPr>
            <w:r>
              <w:rPr>
                <w:b/>
                <w:sz w:val="13"/>
                <w:szCs w:val="13"/>
              </w:rPr>
              <w:t>Contactpersoon</w:t>
            </w:r>
          </w:p>
          <w:p w:rsidRPr="003E27C8" w:rsidR="00A66F1A" w:rsidP="00A66F1A" w:rsidRDefault="00A66F1A" w14:paraId="1BA88BE7" w14:textId="701C8D08">
            <w:pPr>
              <w:spacing w:after="90" w:line="180" w:lineRule="exact"/>
              <w:rPr>
                <w:sz w:val="13"/>
                <w:szCs w:val="13"/>
                <w:lang w:val="en-US"/>
              </w:rPr>
            </w:pPr>
          </w:p>
          <w:p w:rsidRPr="003E27C8" w:rsidR="006205C0" w:rsidP="00A421A1" w:rsidRDefault="006205C0" w14:paraId="5C046756" w14:textId="2C799EB1">
            <w:pPr>
              <w:spacing w:line="180" w:lineRule="exact"/>
              <w:rPr>
                <w:sz w:val="13"/>
                <w:szCs w:val="13"/>
                <w:lang w:val="en-US"/>
              </w:rPr>
            </w:pPr>
          </w:p>
        </w:tc>
      </w:tr>
      <w:tr w:rsidRPr="00F7769C" w:rsidR="002027F7" w:rsidTr="00A421A1" w14:paraId="757EBAAA" w14:textId="77777777">
        <w:trPr>
          <w:trHeight w:val="200" w:hRule="exact"/>
        </w:trPr>
        <w:tc>
          <w:tcPr>
            <w:tcW w:w="2160" w:type="dxa"/>
          </w:tcPr>
          <w:p w:rsidRPr="003E27C8" w:rsidR="006205C0" w:rsidP="00A421A1" w:rsidRDefault="006205C0" w14:paraId="209B00E9" w14:textId="77777777">
            <w:pPr>
              <w:spacing w:after="90" w:line="180" w:lineRule="exact"/>
              <w:rPr>
                <w:sz w:val="13"/>
                <w:szCs w:val="13"/>
                <w:lang w:val="en-US"/>
              </w:rPr>
            </w:pPr>
          </w:p>
        </w:tc>
      </w:tr>
      <w:tr w:rsidR="002027F7" w:rsidTr="00A421A1" w14:paraId="3D51C755" w14:textId="77777777">
        <w:trPr>
          <w:trHeight w:val="450"/>
        </w:trPr>
        <w:tc>
          <w:tcPr>
            <w:tcW w:w="2160" w:type="dxa"/>
          </w:tcPr>
          <w:p w:rsidR="00F51A76" w:rsidP="00A421A1" w:rsidRDefault="00BE2028" w14:paraId="19CC0BAA" w14:textId="77777777">
            <w:pPr>
              <w:spacing w:line="180" w:lineRule="exact"/>
              <w:rPr>
                <w:b/>
                <w:sz w:val="13"/>
                <w:szCs w:val="13"/>
              </w:rPr>
            </w:pPr>
            <w:r>
              <w:rPr>
                <w:b/>
                <w:sz w:val="13"/>
                <w:szCs w:val="13"/>
              </w:rPr>
              <w:t>Onze referentie</w:t>
            </w:r>
          </w:p>
          <w:p w:rsidRPr="00FA7882" w:rsidR="006205C0" w:rsidP="00215356" w:rsidRDefault="00385B95" w14:paraId="43E82EA2" w14:textId="42D0B153">
            <w:pPr>
              <w:spacing w:line="180" w:lineRule="exact"/>
              <w:rPr>
                <w:sz w:val="13"/>
                <w:szCs w:val="13"/>
              </w:rPr>
            </w:pPr>
            <w:r>
              <w:rPr>
                <w:sz w:val="13"/>
                <w:szCs w:val="13"/>
              </w:rPr>
              <w:t>52104501</w:t>
            </w:r>
          </w:p>
        </w:tc>
      </w:tr>
      <w:tr w:rsidR="002027F7" w:rsidTr="00D130C0" w14:paraId="3B42FF43" w14:textId="77777777">
        <w:trPr>
          <w:trHeight w:val="113"/>
        </w:trPr>
        <w:tc>
          <w:tcPr>
            <w:tcW w:w="2160" w:type="dxa"/>
          </w:tcPr>
          <w:p w:rsidRPr="00C5333A" w:rsidR="006205C0" w:rsidP="00D36088" w:rsidRDefault="00BE2028" w14:paraId="0558D07D" w14:textId="77777777">
            <w:pPr>
              <w:tabs>
                <w:tab w:val="center" w:pos="1080"/>
              </w:tabs>
              <w:spacing w:line="180" w:lineRule="exact"/>
              <w:rPr>
                <w:sz w:val="13"/>
                <w:szCs w:val="13"/>
              </w:rPr>
            </w:pPr>
            <w:r>
              <w:rPr>
                <w:b/>
                <w:sz w:val="13"/>
                <w:szCs w:val="13"/>
              </w:rPr>
              <w:t>Bijlagen</w:t>
            </w:r>
          </w:p>
        </w:tc>
      </w:tr>
      <w:tr w:rsidR="002027F7" w:rsidTr="00D130C0" w14:paraId="1559558F" w14:textId="77777777">
        <w:trPr>
          <w:trHeight w:val="113"/>
        </w:trPr>
        <w:tc>
          <w:tcPr>
            <w:tcW w:w="2160" w:type="dxa"/>
          </w:tcPr>
          <w:p w:rsidRPr="00D74F66" w:rsidR="006205C0" w:rsidP="00A421A1" w:rsidRDefault="006205C0" w14:paraId="14477B7E" w14:textId="77777777">
            <w:pPr>
              <w:spacing w:after="90" w:line="180" w:lineRule="exact"/>
              <w:rPr>
                <w:sz w:val="13"/>
              </w:rPr>
            </w:pPr>
          </w:p>
        </w:tc>
      </w:tr>
    </w:tbl>
    <w:p w:rsidR="00BE2028" w:rsidP="00BE2028" w:rsidRDefault="00BE2028" w14:paraId="68C61681" w14:textId="276CF74B">
      <w:r w:rsidRPr="00BE2028">
        <w:t>Goed kunnen spreken, lezen en schrijven is de basis om je te kunnen redden in de samenleving. Ook leerlingen die nieuw zijn in Nederland moeten zo snel mogelijk de taal leren zodat ze mee kunnen doen in de maatschappij. Het gaat hierbij bijvoorbeeld om kinderen van arbeidsmigranten, expats en vluchtelingen. Zij hebben net als alle andere kinderen in Nederland recht op goed onderwijs op grond van (</w:t>
      </w:r>
      <w:proofErr w:type="spellStart"/>
      <w:r w:rsidRPr="00BE2028">
        <w:t>inter</w:t>
      </w:r>
      <w:proofErr w:type="spellEnd"/>
      <w:r w:rsidRPr="00BE2028">
        <w:t>)nationale wet- en regelgeving.</w:t>
      </w:r>
    </w:p>
    <w:p w:rsidR="00D55374" w:rsidP="00BE2028" w:rsidRDefault="00D55374" w14:paraId="56190910" w14:textId="77777777"/>
    <w:p w:rsidR="00D55374" w:rsidP="00D55374" w:rsidRDefault="00D55374" w14:paraId="48B1F399" w14:textId="410D3039">
      <w:pPr>
        <w:rPr>
          <w:rStyle w:val="cf01"/>
          <w:rFonts w:ascii="Verdana" w:hAnsi="Verdana"/>
        </w:rPr>
      </w:pPr>
      <w:r w:rsidRPr="00BE2028">
        <w:rPr>
          <w:rStyle w:val="cf01"/>
          <w:rFonts w:ascii="Verdana" w:hAnsi="Verdana"/>
        </w:rPr>
        <w:t xml:space="preserve">In deze brief informeer ik uw Kamer over de </w:t>
      </w:r>
      <w:r w:rsidR="00542CD4">
        <w:rPr>
          <w:rStyle w:val="cf01"/>
          <w:rFonts w:ascii="Verdana" w:hAnsi="Verdana"/>
        </w:rPr>
        <w:t>hoofdlijnen</w:t>
      </w:r>
      <w:r w:rsidRPr="00BE2028">
        <w:rPr>
          <w:rStyle w:val="cf01"/>
          <w:rFonts w:ascii="Verdana" w:hAnsi="Verdana"/>
        </w:rPr>
        <w:t xml:space="preserve"> </w:t>
      </w:r>
      <w:r w:rsidR="00BA2753">
        <w:rPr>
          <w:rStyle w:val="cf01"/>
          <w:rFonts w:ascii="Verdana" w:hAnsi="Verdana"/>
        </w:rPr>
        <w:t>waarop</w:t>
      </w:r>
      <w:r w:rsidRPr="00BE2028">
        <w:rPr>
          <w:rStyle w:val="cf01"/>
          <w:rFonts w:ascii="Verdana" w:hAnsi="Verdana"/>
        </w:rPr>
        <w:t xml:space="preserve"> ik het funderend onderwijs aan nieuwkomers </w:t>
      </w:r>
      <w:r>
        <w:rPr>
          <w:rStyle w:val="cf01"/>
          <w:rFonts w:ascii="Verdana" w:hAnsi="Verdana"/>
        </w:rPr>
        <w:t xml:space="preserve">op een andere manier </w:t>
      </w:r>
      <w:r w:rsidRPr="00BE2028">
        <w:rPr>
          <w:rStyle w:val="cf01"/>
          <w:rFonts w:ascii="Verdana" w:hAnsi="Verdana"/>
        </w:rPr>
        <w:t>wil gaan vormgeven</w:t>
      </w:r>
      <w:r w:rsidR="00542CD4">
        <w:rPr>
          <w:rStyle w:val="cf01"/>
          <w:rFonts w:ascii="Verdana" w:hAnsi="Verdana"/>
        </w:rPr>
        <w:t>. Daarbij geef ik ook aan</w:t>
      </w:r>
      <w:r w:rsidRPr="00BE2028">
        <w:rPr>
          <w:rStyle w:val="cf01"/>
          <w:rFonts w:ascii="Verdana" w:hAnsi="Verdana"/>
        </w:rPr>
        <w:t xml:space="preserve"> welke aanvullende beleidsmaatregelen ik in aanloop </w:t>
      </w:r>
      <w:r w:rsidR="00542CD4">
        <w:rPr>
          <w:rStyle w:val="cf01"/>
          <w:rFonts w:ascii="Verdana" w:hAnsi="Verdana"/>
        </w:rPr>
        <w:t>naar deze wetswijziging</w:t>
      </w:r>
      <w:r w:rsidRPr="00BE2028">
        <w:rPr>
          <w:rStyle w:val="cf01"/>
          <w:rFonts w:ascii="Verdana" w:hAnsi="Verdana"/>
        </w:rPr>
        <w:t xml:space="preserve"> wil treffen.</w:t>
      </w:r>
      <w:r w:rsidR="00BA2753">
        <w:rPr>
          <w:rStyle w:val="cf01"/>
          <w:rFonts w:ascii="Verdana" w:hAnsi="Verdana"/>
        </w:rPr>
        <w:t xml:space="preserve"> Ook informeer ik u hoe ik samen met de minister van OCW de overgang naar het middelbaar beroepsonderwijs (mbo) wil verbeteren</w:t>
      </w:r>
      <w:r w:rsidRPr="00BE2028">
        <w:rPr>
          <w:rStyle w:val="cf01"/>
          <w:rFonts w:ascii="Verdana" w:hAnsi="Verdana"/>
        </w:rPr>
        <w:t>. Hiermee geef ik invulling aan mijn toezegging om u te informeren over de vervolgstappen rondom de toekomstverkenning naar het onderwijs aan nieuwkomers.</w:t>
      </w:r>
      <w:r w:rsidRPr="00BE2028">
        <w:rPr>
          <w:rStyle w:val="Voetnootmarkering"/>
          <w:rFonts w:cs="Segoe UI"/>
          <w:szCs w:val="18"/>
        </w:rPr>
        <w:footnoteReference w:id="1"/>
      </w:r>
      <w:r w:rsidRPr="00BE2028">
        <w:rPr>
          <w:rStyle w:val="cf01"/>
          <w:rFonts w:ascii="Verdana" w:hAnsi="Verdana"/>
        </w:rPr>
        <w:t xml:space="preserve"> </w:t>
      </w:r>
    </w:p>
    <w:p w:rsidRPr="00BE2028" w:rsidR="00542CD4" w:rsidP="00D55374" w:rsidRDefault="00542CD4" w14:paraId="22707CBE" w14:textId="77777777">
      <w:pPr>
        <w:rPr>
          <w:rStyle w:val="cf01"/>
          <w:rFonts w:ascii="Verdana" w:hAnsi="Verdana"/>
        </w:rPr>
      </w:pPr>
    </w:p>
    <w:p w:rsidRPr="00F66FC5" w:rsidR="00BE2028" w:rsidP="00BE2028" w:rsidRDefault="00D55374" w14:paraId="125A3938" w14:textId="3896F8EB">
      <w:pPr>
        <w:rPr>
          <w:b/>
          <w:bCs/>
        </w:rPr>
      </w:pPr>
      <w:r w:rsidRPr="00F66FC5">
        <w:rPr>
          <w:b/>
          <w:bCs/>
        </w:rPr>
        <w:t>Aanleiding</w:t>
      </w:r>
    </w:p>
    <w:p w:rsidR="00414D71" w:rsidP="00BE2028" w:rsidRDefault="00BE2028" w14:paraId="1F3CB191" w14:textId="715C4A76">
      <w:r w:rsidRPr="00BE2028">
        <w:t>Op dit moment is</w:t>
      </w:r>
      <w:r w:rsidR="00AF4776">
        <w:t xml:space="preserve"> </w:t>
      </w:r>
      <w:r w:rsidRPr="00BE2028">
        <w:t xml:space="preserve">het onderwijs aan </w:t>
      </w:r>
      <w:r w:rsidR="00AF4776">
        <w:t xml:space="preserve">nieuwkomers </w:t>
      </w:r>
      <w:r w:rsidRPr="00BE2028">
        <w:t xml:space="preserve">niet geregeld in de onderwijswetten. </w:t>
      </w:r>
      <w:r w:rsidR="00F53F44">
        <w:t xml:space="preserve">Dit onderwijs valt nu onder de reguliere wetgeving, terwijl de specifieke kenmerken van dit onderwijs </w:t>
      </w:r>
      <w:r w:rsidR="00542CD4">
        <w:t xml:space="preserve">juist </w:t>
      </w:r>
      <w:r w:rsidR="00F53F44">
        <w:t xml:space="preserve">vragen om eigen regelgeving. </w:t>
      </w:r>
      <w:r w:rsidR="00623BE8">
        <w:t xml:space="preserve">Daarmee wordt duidelijker wat van het onderwijs </w:t>
      </w:r>
      <w:r w:rsidR="00542CD4">
        <w:t xml:space="preserve">verwacht </w:t>
      </w:r>
      <w:r w:rsidR="00623BE8">
        <w:t>wordt</w:t>
      </w:r>
      <w:r w:rsidR="00414D71">
        <w:t xml:space="preserve">, wat uiteindelijk bijdraagt aan het beste onderwijs voor elke leerling. </w:t>
      </w:r>
    </w:p>
    <w:p w:rsidR="00414D71" w:rsidP="00BE2028" w:rsidRDefault="00414D71" w14:paraId="2E77536F" w14:textId="77777777"/>
    <w:p w:rsidRPr="009849BB" w:rsidR="00BE2028" w:rsidP="00BE2028" w:rsidRDefault="00BE2028" w14:paraId="2A51D177" w14:textId="549D73B7">
      <w:r w:rsidRPr="00BE2028">
        <w:t>Meerdere onderzoeken en adviezen wijzen op de noodzaak om maatregelen te nemen om het onderwijs aan nieuwkomers beter te organiseren.</w:t>
      </w:r>
      <w:r w:rsidRPr="00BE2028">
        <w:rPr>
          <w:rStyle w:val="Voetnootmarkering"/>
        </w:rPr>
        <w:footnoteReference w:id="2"/>
      </w:r>
      <w:r w:rsidRPr="00BE2028">
        <w:t xml:space="preserve"> </w:t>
      </w:r>
      <w:r w:rsidR="001D0A52">
        <w:t>Het is van groot belang</w:t>
      </w:r>
      <w:r w:rsidRPr="00BE2028">
        <w:t xml:space="preserve"> om leraren, scholen en de Inspectie van het Onderwijs (hierna: inspectie) </w:t>
      </w:r>
      <w:r w:rsidRPr="00BE2028">
        <w:rPr>
          <w:rStyle w:val="cf01"/>
          <w:rFonts w:ascii="Verdana" w:hAnsi="Verdana"/>
        </w:rPr>
        <w:lastRenderedPageBreak/>
        <w:t xml:space="preserve">meer duidelijkheid te bieden in wat </w:t>
      </w:r>
      <w:r w:rsidR="00414D71">
        <w:rPr>
          <w:rStyle w:val="cf01"/>
          <w:rFonts w:ascii="Verdana" w:hAnsi="Verdana"/>
        </w:rPr>
        <w:t>we precies van hen vragen op het gebied van de onderwijs</w:t>
      </w:r>
      <w:r w:rsidRPr="00BE2028">
        <w:rPr>
          <w:rStyle w:val="cf01"/>
          <w:rFonts w:ascii="Verdana" w:hAnsi="Verdana"/>
        </w:rPr>
        <w:t>kwaliteit</w:t>
      </w:r>
      <w:r w:rsidR="00F66FC5">
        <w:rPr>
          <w:rStyle w:val="cf01"/>
          <w:rFonts w:ascii="Verdana" w:hAnsi="Verdana"/>
        </w:rPr>
        <w:t xml:space="preserve"> en </w:t>
      </w:r>
      <w:r w:rsidR="00414D71">
        <w:rPr>
          <w:rStyle w:val="cf01"/>
          <w:rFonts w:ascii="Verdana" w:hAnsi="Verdana"/>
        </w:rPr>
        <w:t xml:space="preserve">de </w:t>
      </w:r>
      <w:r w:rsidRPr="00BE2028">
        <w:rPr>
          <w:rStyle w:val="cf01"/>
          <w:rFonts w:ascii="Verdana" w:hAnsi="Verdana"/>
        </w:rPr>
        <w:t>onderwijsresultaten</w:t>
      </w:r>
      <w:r w:rsidR="00F66FC5">
        <w:rPr>
          <w:rStyle w:val="cf01"/>
          <w:rFonts w:ascii="Verdana" w:hAnsi="Verdana"/>
        </w:rPr>
        <w:t xml:space="preserve">. </w:t>
      </w:r>
      <w:r w:rsidRPr="009849BB" w:rsidR="009849BB">
        <w:t xml:space="preserve">Die </w:t>
      </w:r>
      <w:r w:rsidRPr="009849BB" w:rsidR="00F66FC5">
        <w:t>duidelijkheid helpt ook om leraren, schoolleiders en gemeenten te ontlasten nu er een grote druk op het nieuwkomersonderwijs ligt.</w:t>
      </w:r>
    </w:p>
    <w:p w:rsidRPr="00BE2028" w:rsidR="00BE2028" w:rsidP="00BE2028" w:rsidRDefault="00BE2028" w14:paraId="1FDD9DF2" w14:textId="77777777">
      <w:pPr>
        <w:rPr>
          <w:rStyle w:val="cf01"/>
          <w:rFonts w:ascii="Verdana" w:hAnsi="Verdana"/>
        </w:rPr>
      </w:pPr>
      <w:r w:rsidRPr="00BE2028">
        <w:t xml:space="preserve"> </w:t>
      </w:r>
    </w:p>
    <w:p w:rsidRPr="00BE2028" w:rsidR="00BE2028" w:rsidP="00BE2028" w:rsidRDefault="00BE2028" w14:paraId="14010CFB" w14:textId="24475BE2">
      <w:pPr>
        <w:rPr>
          <w:rStyle w:val="cf01"/>
          <w:rFonts w:ascii="Verdana" w:hAnsi="Verdana"/>
        </w:rPr>
      </w:pPr>
      <w:r w:rsidRPr="00BE2028">
        <w:rPr>
          <w:rStyle w:val="cf01"/>
          <w:rFonts w:ascii="Verdana" w:hAnsi="Verdana"/>
        </w:rPr>
        <w:t>De afgelopen jaren zijn twee spoedwetten ingevoerd om in noodsituaties het onderwijs aan nieuwkomers sneller mogelijk te maken.</w:t>
      </w:r>
      <w:r w:rsidRPr="00BE2028">
        <w:rPr>
          <w:rStyle w:val="Voetnootmarkering"/>
          <w:rFonts w:cs="Segoe UI"/>
          <w:szCs w:val="18"/>
        </w:rPr>
        <w:footnoteReference w:id="3"/>
      </w:r>
      <w:r w:rsidRPr="00BE2028">
        <w:rPr>
          <w:rStyle w:val="cf01"/>
          <w:rFonts w:ascii="Verdana" w:hAnsi="Verdana"/>
        </w:rPr>
        <w:t xml:space="preserve"> Bij de invoering van de </w:t>
      </w:r>
      <w:r w:rsidRPr="007B2133">
        <w:rPr>
          <w:rStyle w:val="cf01"/>
          <w:rFonts w:ascii="Verdana" w:hAnsi="Verdana"/>
        </w:rPr>
        <w:t>Tijdelijke wet tijdelijke nieuwkomersvoorzieningen in het onderwijs</w:t>
      </w:r>
      <w:r w:rsidRPr="00BE2028">
        <w:rPr>
          <w:rStyle w:val="cf01"/>
          <w:rFonts w:ascii="Verdana" w:hAnsi="Verdana"/>
        </w:rPr>
        <w:t xml:space="preserve"> (wet </w:t>
      </w:r>
      <w:proofErr w:type="spellStart"/>
      <w:r w:rsidRPr="00BE2028">
        <w:rPr>
          <w:rStyle w:val="cf01"/>
          <w:rFonts w:ascii="Verdana" w:hAnsi="Verdana"/>
        </w:rPr>
        <w:t>tnv</w:t>
      </w:r>
      <w:proofErr w:type="spellEnd"/>
      <w:r w:rsidRPr="00BE2028">
        <w:rPr>
          <w:rStyle w:val="cf01"/>
          <w:rFonts w:ascii="Verdana" w:hAnsi="Verdana"/>
        </w:rPr>
        <w:t>) is toegezegd dat gewerkt wordt aan een structureel kader voor het onderwijs aan nieuwkomers.</w:t>
      </w:r>
      <w:r w:rsidR="00623BE8">
        <w:rPr>
          <w:rStyle w:val="cf01"/>
          <w:rFonts w:ascii="Verdana" w:hAnsi="Verdana"/>
        </w:rPr>
        <w:t xml:space="preserve"> D</w:t>
      </w:r>
      <w:r w:rsidR="004F6579">
        <w:rPr>
          <w:rStyle w:val="cf01"/>
          <w:rFonts w:ascii="Verdana" w:hAnsi="Verdana"/>
        </w:rPr>
        <w:t>ie</w:t>
      </w:r>
      <w:r w:rsidR="00623BE8">
        <w:rPr>
          <w:rStyle w:val="cf01"/>
          <w:rFonts w:ascii="Verdana" w:hAnsi="Verdana"/>
        </w:rPr>
        <w:t xml:space="preserve"> toezegging kom ik met deze brief na</w:t>
      </w:r>
      <w:r w:rsidR="003F334E">
        <w:rPr>
          <w:rStyle w:val="cf01"/>
          <w:rFonts w:ascii="Verdana" w:hAnsi="Verdana"/>
        </w:rPr>
        <w:t>.</w:t>
      </w:r>
      <w:r w:rsidR="007146B1">
        <w:rPr>
          <w:rStyle w:val="Voetnootmarkering"/>
          <w:rFonts w:cs="Segoe UI"/>
          <w:szCs w:val="18"/>
        </w:rPr>
        <w:footnoteReference w:id="4"/>
      </w:r>
    </w:p>
    <w:p w:rsidRPr="00BE2028" w:rsidR="00BE2028" w:rsidP="00BE2028" w:rsidRDefault="00BE2028" w14:paraId="2F00FF9F" w14:textId="77777777">
      <w:pPr>
        <w:rPr>
          <w:szCs w:val="18"/>
        </w:rPr>
      </w:pPr>
    </w:p>
    <w:p w:rsidRPr="00BE2028" w:rsidR="00BE2028" w:rsidP="00BE2028" w:rsidRDefault="00BE2028" w14:paraId="545B3254" w14:textId="11363564">
      <w:pPr>
        <w:rPr>
          <w:b/>
          <w:bCs/>
          <w:szCs w:val="18"/>
        </w:rPr>
      </w:pPr>
      <w:r w:rsidRPr="00BE2028">
        <w:rPr>
          <w:b/>
          <w:bCs/>
          <w:szCs w:val="18"/>
        </w:rPr>
        <w:t>Juridische inbedding van het onderwijs aan nieuwkomers</w:t>
      </w:r>
    </w:p>
    <w:p w:rsidRPr="00BE2028" w:rsidR="00BE2028" w:rsidP="00BE2028" w:rsidRDefault="004F6579" w14:paraId="456D8CB1" w14:textId="230F07C0">
      <w:pPr>
        <w:rPr>
          <w:rStyle w:val="Verwijzingopmerking"/>
          <w:sz w:val="18"/>
          <w:szCs w:val="18"/>
        </w:rPr>
      </w:pPr>
      <w:r>
        <w:rPr>
          <w:rStyle w:val="Verwijzingopmerking"/>
          <w:sz w:val="18"/>
          <w:szCs w:val="18"/>
        </w:rPr>
        <w:t>De insteek van de nieuwe wetgeving</w:t>
      </w:r>
      <w:r w:rsidRPr="00BE2028" w:rsidR="00BE2028">
        <w:rPr>
          <w:rStyle w:val="Verwijzingopmerking"/>
          <w:sz w:val="18"/>
          <w:szCs w:val="18"/>
        </w:rPr>
        <w:t xml:space="preserve"> </w:t>
      </w:r>
      <w:r w:rsidR="009849BB">
        <w:rPr>
          <w:rStyle w:val="Verwijzingopmerking"/>
          <w:sz w:val="18"/>
          <w:szCs w:val="18"/>
        </w:rPr>
        <w:t xml:space="preserve">is </w:t>
      </w:r>
      <w:r w:rsidRPr="00BE2028" w:rsidR="00BE2028">
        <w:rPr>
          <w:rStyle w:val="Verwijzingopmerking"/>
          <w:sz w:val="18"/>
          <w:szCs w:val="18"/>
        </w:rPr>
        <w:t xml:space="preserve">dat scholen </w:t>
      </w:r>
      <w:r>
        <w:rPr>
          <w:rStyle w:val="Verwijzingopmerking"/>
          <w:sz w:val="18"/>
          <w:szCs w:val="18"/>
        </w:rPr>
        <w:t>weten</w:t>
      </w:r>
      <w:r w:rsidRPr="00BE2028" w:rsidR="00BE2028">
        <w:rPr>
          <w:rStyle w:val="Verwijzingopmerking"/>
          <w:sz w:val="18"/>
          <w:szCs w:val="18"/>
        </w:rPr>
        <w:t xml:space="preserve"> van wat er van hen wordt verwacht</w:t>
      </w:r>
      <w:r w:rsidRPr="007B2133">
        <w:rPr>
          <w:rStyle w:val="Verwijzingopmerking"/>
          <w:sz w:val="18"/>
          <w:szCs w:val="18"/>
        </w:rPr>
        <w:t>.</w:t>
      </w:r>
      <w:r w:rsidRPr="007B2133" w:rsidR="009849BB">
        <w:rPr>
          <w:rStyle w:val="Voetnootmarkering"/>
          <w:szCs w:val="18"/>
        </w:rPr>
        <w:footnoteReference w:id="5"/>
      </w:r>
      <w:r w:rsidRPr="00BE2028" w:rsidR="00BE2028">
        <w:rPr>
          <w:rStyle w:val="Verwijzingopmerking"/>
          <w:sz w:val="18"/>
          <w:szCs w:val="18"/>
        </w:rPr>
        <w:t xml:space="preserve"> </w:t>
      </w:r>
      <w:r>
        <w:rPr>
          <w:rStyle w:val="Verwijzingopmerking"/>
          <w:sz w:val="18"/>
          <w:szCs w:val="18"/>
        </w:rPr>
        <w:t>Bedoeling is ook om –</w:t>
      </w:r>
      <w:r w:rsidRPr="00BE2028" w:rsidR="00BE2028">
        <w:rPr>
          <w:rStyle w:val="Verwijzingopmerking"/>
          <w:sz w:val="18"/>
          <w:szCs w:val="18"/>
        </w:rPr>
        <w:t xml:space="preserve"> in overleg met alle betrokkenen</w:t>
      </w:r>
      <w:r>
        <w:rPr>
          <w:rStyle w:val="Verwijzingopmerking"/>
          <w:sz w:val="18"/>
          <w:szCs w:val="18"/>
        </w:rPr>
        <w:t xml:space="preserve"> –</w:t>
      </w:r>
      <w:r w:rsidRPr="00BE2028" w:rsidR="00BE2028">
        <w:rPr>
          <w:rStyle w:val="Verwijzingopmerking"/>
          <w:sz w:val="18"/>
          <w:szCs w:val="18"/>
        </w:rPr>
        <w:t xml:space="preserve"> wettelijk </w:t>
      </w:r>
      <w:r>
        <w:rPr>
          <w:rStyle w:val="Verwijzingopmerking"/>
          <w:sz w:val="18"/>
          <w:szCs w:val="18"/>
        </w:rPr>
        <w:t xml:space="preserve">te </w:t>
      </w:r>
      <w:r w:rsidRPr="00BE2028" w:rsidR="00BE2028">
        <w:rPr>
          <w:rStyle w:val="Verwijzingopmerking"/>
          <w:sz w:val="18"/>
          <w:szCs w:val="18"/>
        </w:rPr>
        <w:t xml:space="preserve">verankeren hoe de verantwoordelijkheid voor voldoende onderwijscapaciteit </w:t>
      </w:r>
      <w:r>
        <w:rPr>
          <w:rStyle w:val="Verwijzingopmerking"/>
          <w:sz w:val="18"/>
          <w:szCs w:val="18"/>
        </w:rPr>
        <w:t xml:space="preserve">precies is verdeeld </w:t>
      </w:r>
      <w:r w:rsidRPr="00BE2028" w:rsidR="00BE2028">
        <w:rPr>
          <w:rStyle w:val="Verwijzingopmerking"/>
          <w:sz w:val="18"/>
          <w:szCs w:val="18"/>
        </w:rPr>
        <w:t xml:space="preserve">en welke </w:t>
      </w:r>
      <w:r>
        <w:rPr>
          <w:rStyle w:val="Verwijzingopmerking"/>
          <w:sz w:val="18"/>
          <w:szCs w:val="18"/>
        </w:rPr>
        <w:t>route</w:t>
      </w:r>
      <w:r w:rsidRPr="00BE2028">
        <w:rPr>
          <w:rStyle w:val="Verwijzingopmerking"/>
          <w:sz w:val="18"/>
          <w:szCs w:val="18"/>
        </w:rPr>
        <w:t xml:space="preserve"> </w:t>
      </w:r>
      <w:r w:rsidRPr="00BE2028" w:rsidR="00BE2028">
        <w:rPr>
          <w:rStyle w:val="Verwijzingopmerking"/>
          <w:sz w:val="18"/>
          <w:szCs w:val="18"/>
        </w:rPr>
        <w:t xml:space="preserve">gevolgd kan worden </w:t>
      </w:r>
      <w:r>
        <w:rPr>
          <w:rStyle w:val="Verwijzingopmerking"/>
          <w:sz w:val="18"/>
          <w:szCs w:val="18"/>
        </w:rPr>
        <w:t xml:space="preserve">bij haperingen of onduidelijkheden in de regionale samenwerking. </w:t>
      </w:r>
      <w:r w:rsidRPr="00BE2028" w:rsidR="00BE2028">
        <w:rPr>
          <w:rStyle w:val="Verwijzingopmerking"/>
          <w:sz w:val="18"/>
          <w:szCs w:val="18"/>
        </w:rPr>
        <w:t>Vanwege fluctuaties in de instroom van nieuwkomers is het</w:t>
      </w:r>
      <w:r>
        <w:rPr>
          <w:rStyle w:val="Verwijzingopmerking"/>
          <w:sz w:val="18"/>
          <w:szCs w:val="18"/>
        </w:rPr>
        <w:t xml:space="preserve"> in ieder geval</w:t>
      </w:r>
      <w:r w:rsidRPr="00BE2028" w:rsidR="00BE2028">
        <w:rPr>
          <w:rStyle w:val="Verwijzingopmerking"/>
          <w:sz w:val="18"/>
          <w:szCs w:val="18"/>
        </w:rPr>
        <w:t xml:space="preserve"> nodig om </w:t>
      </w:r>
      <w:r>
        <w:rPr>
          <w:rStyle w:val="Verwijzingopmerking"/>
          <w:sz w:val="18"/>
          <w:szCs w:val="18"/>
        </w:rPr>
        <w:t>in de nieuwe wetgeving een zekere mate van</w:t>
      </w:r>
      <w:r w:rsidRPr="00BE2028">
        <w:rPr>
          <w:rStyle w:val="Verwijzingopmerking"/>
          <w:sz w:val="18"/>
          <w:szCs w:val="18"/>
        </w:rPr>
        <w:t xml:space="preserve"> </w:t>
      </w:r>
      <w:r w:rsidRPr="00BE2028" w:rsidR="00BE2028">
        <w:rPr>
          <w:rStyle w:val="Verwijzingopmerking"/>
          <w:sz w:val="18"/>
          <w:szCs w:val="18"/>
        </w:rPr>
        <w:t>flexibiliteit in het op- en afschalen van voorzieningen te bieden.</w:t>
      </w:r>
    </w:p>
    <w:p w:rsidRPr="00BE2028" w:rsidR="00BE2028" w:rsidP="00BE2028" w:rsidRDefault="00BE2028" w14:paraId="16BB315A" w14:textId="77777777">
      <w:pPr>
        <w:rPr>
          <w:rStyle w:val="Verwijzingopmerking"/>
          <w:sz w:val="18"/>
          <w:szCs w:val="18"/>
        </w:rPr>
      </w:pPr>
    </w:p>
    <w:p w:rsidRPr="00BE2028" w:rsidR="00BE2028" w:rsidP="00BE2028" w:rsidRDefault="00BE2028" w14:paraId="75906B1A" w14:textId="5858CD08">
      <w:pPr>
        <w:rPr>
          <w:rStyle w:val="Verwijzingopmerking"/>
          <w:sz w:val="18"/>
          <w:szCs w:val="18"/>
        </w:rPr>
      </w:pPr>
      <w:r w:rsidRPr="00BE2028">
        <w:rPr>
          <w:rStyle w:val="Verwijzingopmerking"/>
          <w:sz w:val="18"/>
          <w:szCs w:val="18"/>
        </w:rPr>
        <w:t>Voor het onderwijsaanbod moet</w:t>
      </w:r>
      <w:r w:rsidR="004F6579">
        <w:rPr>
          <w:rStyle w:val="Verwijzingopmerking"/>
          <w:sz w:val="18"/>
          <w:szCs w:val="18"/>
        </w:rPr>
        <w:t xml:space="preserve"> </w:t>
      </w:r>
      <w:r w:rsidRPr="00BE2028">
        <w:rPr>
          <w:rStyle w:val="Verwijzingopmerking"/>
          <w:sz w:val="18"/>
          <w:szCs w:val="18"/>
        </w:rPr>
        <w:t xml:space="preserve">vastgelegd worden aan welke deugdelijkheidseisen moet worden voldaan. </w:t>
      </w:r>
      <w:r w:rsidR="004D6211">
        <w:rPr>
          <w:rStyle w:val="Verwijzingopmerking"/>
          <w:sz w:val="18"/>
          <w:szCs w:val="18"/>
        </w:rPr>
        <w:t xml:space="preserve">Dat betekent dat we vastleggen aan welke inhoud het onderwijs moet voldoen. </w:t>
      </w:r>
      <w:r w:rsidRPr="00BE2028">
        <w:rPr>
          <w:rStyle w:val="Verwijzingopmerking"/>
          <w:sz w:val="18"/>
          <w:szCs w:val="18"/>
        </w:rPr>
        <w:t xml:space="preserve">Op basis hiervan kan de inspectie een </w:t>
      </w:r>
      <w:proofErr w:type="spellStart"/>
      <w:r w:rsidRPr="00BE2028">
        <w:rPr>
          <w:rStyle w:val="Verwijzingopmerking"/>
          <w:sz w:val="18"/>
          <w:szCs w:val="18"/>
        </w:rPr>
        <w:t>toezichtskader</w:t>
      </w:r>
      <w:proofErr w:type="spellEnd"/>
      <w:r w:rsidRPr="00BE2028">
        <w:rPr>
          <w:rStyle w:val="Verwijzingopmerking"/>
          <w:sz w:val="18"/>
          <w:szCs w:val="18"/>
        </w:rPr>
        <w:t xml:space="preserve"> ontwikkelen voor het nieuwkomersonderwijs.</w:t>
      </w:r>
      <w:r w:rsidR="001F293A">
        <w:rPr>
          <w:rStyle w:val="Verwijzingopmerking"/>
          <w:sz w:val="18"/>
          <w:szCs w:val="18"/>
        </w:rPr>
        <w:t xml:space="preserve"> Hier</w:t>
      </w:r>
      <w:r w:rsidR="00D55374">
        <w:rPr>
          <w:rStyle w:val="Verwijzingopmerking"/>
          <w:sz w:val="18"/>
          <w:szCs w:val="18"/>
        </w:rPr>
        <w:t xml:space="preserve">door weten scholen </w:t>
      </w:r>
      <w:r w:rsidR="001F293A">
        <w:rPr>
          <w:rStyle w:val="Verwijzingopmerking"/>
          <w:sz w:val="18"/>
          <w:szCs w:val="18"/>
        </w:rPr>
        <w:t>beter waar zij aan moet</w:t>
      </w:r>
      <w:r w:rsidR="00D55374">
        <w:rPr>
          <w:rStyle w:val="Verwijzingopmerking"/>
          <w:sz w:val="18"/>
          <w:szCs w:val="18"/>
        </w:rPr>
        <w:t>en</w:t>
      </w:r>
      <w:r w:rsidR="001F293A">
        <w:rPr>
          <w:rStyle w:val="Verwijzingopmerking"/>
          <w:sz w:val="18"/>
          <w:szCs w:val="18"/>
        </w:rPr>
        <w:t xml:space="preserve"> voldoen</w:t>
      </w:r>
      <w:r w:rsidR="004D6211">
        <w:rPr>
          <w:rStyle w:val="Verwijzingopmerking"/>
          <w:sz w:val="18"/>
          <w:szCs w:val="18"/>
        </w:rPr>
        <w:t xml:space="preserve"> en kunnen we de kwaliteit van onderwijs beter garanderen.</w:t>
      </w:r>
      <w:r w:rsidR="00C37EB0">
        <w:rPr>
          <w:rStyle w:val="Verwijzingopmerking"/>
          <w:sz w:val="18"/>
          <w:szCs w:val="18"/>
        </w:rPr>
        <w:t xml:space="preserve"> </w:t>
      </w:r>
      <w:r w:rsidRPr="00BE2028">
        <w:rPr>
          <w:rStyle w:val="Verwijzingopmerking"/>
          <w:sz w:val="18"/>
          <w:szCs w:val="18"/>
        </w:rPr>
        <w:t xml:space="preserve">Daarnaast </w:t>
      </w:r>
      <w:r w:rsidR="00623BE8">
        <w:rPr>
          <w:rStyle w:val="Verwijzingopmerking"/>
          <w:sz w:val="18"/>
          <w:szCs w:val="18"/>
        </w:rPr>
        <w:t xml:space="preserve">bepalen we </w:t>
      </w:r>
      <w:r w:rsidRPr="00BE2028" w:rsidR="00623BE8">
        <w:rPr>
          <w:rStyle w:val="Verwijzingopmerking"/>
          <w:sz w:val="18"/>
          <w:szCs w:val="18"/>
        </w:rPr>
        <w:t xml:space="preserve">met het veld waar bekwaamheden en bevoegdheden </w:t>
      </w:r>
      <w:r w:rsidR="00623BE8">
        <w:rPr>
          <w:rStyle w:val="Verwijzingopmerking"/>
          <w:sz w:val="18"/>
          <w:szCs w:val="18"/>
        </w:rPr>
        <w:t xml:space="preserve">van docenten die onderwijs aan deze doelgroep verzorgen </w:t>
      </w:r>
      <w:r w:rsidRPr="00BE2028" w:rsidR="00623BE8">
        <w:rPr>
          <w:rStyle w:val="Verwijzingopmerking"/>
          <w:sz w:val="18"/>
          <w:szCs w:val="18"/>
        </w:rPr>
        <w:t xml:space="preserve">aanpassing behoeven. </w:t>
      </w:r>
    </w:p>
    <w:p w:rsidR="00465E4A" w:rsidP="00465E4A" w:rsidRDefault="00465E4A" w14:paraId="00CF108E" w14:textId="77777777">
      <w:pPr>
        <w:rPr>
          <w:i/>
          <w:iCs/>
        </w:rPr>
      </w:pPr>
    </w:p>
    <w:p w:rsidR="00465E4A" w:rsidP="00465E4A" w:rsidRDefault="00465E4A" w14:paraId="22BAD52E" w14:textId="580EEC35">
      <w:r>
        <w:t xml:space="preserve">Met de juridische inbedding van het onderwijs aan nieuwkomers zetten we ook in op een verbetering van de overgang voor nieuwkomers naar het vervolgonderwijs door daarin ook te borgen dat de onderwijsinhoud van het onderwijs aan nieuwkomers in het </w:t>
      </w:r>
      <w:r w:rsidR="00116A32">
        <w:t xml:space="preserve">voortgezet onderwijs (hierna: vo) </w:t>
      </w:r>
      <w:r>
        <w:t xml:space="preserve">beter aansluit op het vervolgonderwijs. </w:t>
      </w:r>
    </w:p>
    <w:p w:rsidRPr="00BE2028" w:rsidR="00465E4A" w:rsidP="00BE2028" w:rsidRDefault="00465E4A" w14:paraId="0F5C8212" w14:textId="77777777">
      <w:pPr>
        <w:rPr>
          <w:rStyle w:val="Verwijzingopmerking"/>
          <w:sz w:val="18"/>
          <w:szCs w:val="18"/>
        </w:rPr>
      </w:pPr>
    </w:p>
    <w:p w:rsidRPr="007E6CEC" w:rsidR="00BE2028" w:rsidP="00F7769C" w:rsidRDefault="00BE2028" w14:paraId="33CF6FE2" w14:textId="412AB308">
      <w:pPr>
        <w:pStyle w:val="Geenafstand"/>
      </w:pPr>
      <w:r w:rsidRPr="001F293A">
        <w:rPr>
          <w:rStyle w:val="Verwijzingopmerking"/>
          <w:sz w:val="18"/>
          <w:szCs w:val="18"/>
        </w:rPr>
        <w:t xml:space="preserve">De komende periode gaan medewerkers van het ministerie met experts uit het onderwijsveld aan de slag om de inhoud van </w:t>
      </w:r>
      <w:r w:rsidR="00623BE8">
        <w:rPr>
          <w:rStyle w:val="Verwijzingopmerking"/>
          <w:sz w:val="18"/>
          <w:szCs w:val="18"/>
        </w:rPr>
        <w:t>een wetsvoorstel</w:t>
      </w:r>
      <w:r w:rsidRPr="001F293A">
        <w:rPr>
          <w:rStyle w:val="Verwijzingopmerking"/>
          <w:sz w:val="18"/>
          <w:szCs w:val="18"/>
        </w:rPr>
        <w:t xml:space="preserve"> verder vorm te geven.</w:t>
      </w:r>
      <w:r w:rsidR="00623BE8">
        <w:rPr>
          <w:rStyle w:val="Verwijzingopmerking"/>
          <w:sz w:val="18"/>
          <w:szCs w:val="18"/>
        </w:rPr>
        <w:t xml:space="preserve"> </w:t>
      </w:r>
      <w:r w:rsidR="00AD7BD8">
        <w:rPr>
          <w:rStyle w:val="Verwijzingopmerking"/>
          <w:sz w:val="18"/>
          <w:szCs w:val="18"/>
        </w:rPr>
        <w:t>Bij deze uitwerking wordt rekening gehouden met het vervallen van de</w:t>
      </w:r>
      <w:r w:rsidR="00F7769C">
        <w:t xml:space="preserve"> </w:t>
      </w:r>
      <w:r w:rsidR="00E05C36">
        <w:rPr>
          <w:rStyle w:val="Verwijzingopmerking"/>
          <w:sz w:val="18"/>
          <w:szCs w:val="18"/>
        </w:rPr>
        <w:t>wet tijdelijke nieuwkomersvoorzieningen in 2028 en de inwerkingtreding van het Europese Migratiepact.</w:t>
      </w:r>
      <w:r w:rsidRPr="004F6579" w:rsidR="00E05C36">
        <w:rPr>
          <w:rStyle w:val="Voetnootmarkering"/>
          <w:szCs w:val="18"/>
        </w:rPr>
        <w:t xml:space="preserve"> </w:t>
      </w:r>
      <w:r w:rsidR="00AD7BD8">
        <w:rPr>
          <w:rStyle w:val="Voetnootmarkering"/>
          <w:szCs w:val="18"/>
        </w:rPr>
        <w:footnoteReference w:id="6"/>
      </w:r>
      <w:r w:rsidRPr="004F6579" w:rsidR="00AD7BD8">
        <w:rPr>
          <w:vertAlign w:val="superscript"/>
        </w:rPr>
        <w:t>,</w:t>
      </w:r>
      <w:r w:rsidRPr="007E6CEC" w:rsidR="00AD7BD8">
        <w:rPr>
          <w:rStyle w:val="Voetnootmarkering"/>
          <w:szCs w:val="18"/>
        </w:rPr>
        <w:footnoteReference w:id="7"/>
      </w:r>
      <w:r w:rsidRPr="007E6CEC" w:rsidR="00AD7BD8">
        <w:rPr>
          <w:rStyle w:val="Verwijzingopmerking"/>
          <w:szCs w:val="18"/>
        </w:rPr>
        <w:t xml:space="preserve"> </w:t>
      </w:r>
    </w:p>
    <w:p w:rsidR="00BE2028" w:rsidP="00BE2028" w:rsidRDefault="00BE2028" w14:paraId="0A505D54" w14:textId="77777777">
      <w:pPr>
        <w:rPr>
          <w:b/>
          <w:bCs/>
          <w:szCs w:val="18"/>
        </w:rPr>
      </w:pPr>
    </w:p>
    <w:p w:rsidRPr="0050243C" w:rsidR="00BE2028" w:rsidP="00BE2028" w:rsidRDefault="00BE2028" w14:paraId="48190461" w14:textId="77777777">
      <w:pPr>
        <w:rPr>
          <w:b/>
          <w:bCs/>
          <w:szCs w:val="18"/>
        </w:rPr>
      </w:pPr>
      <w:r w:rsidRPr="0050243C">
        <w:rPr>
          <w:b/>
          <w:bCs/>
          <w:szCs w:val="18"/>
        </w:rPr>
        <w:lastRenderedPageBreak/>
        <w:t>Aanvullende beleidsmaatregelen</w:t>
      </w:r>
    </w:p>
    <w:p w:rsidR="00BE2028" w:rsidP="00BE2028" w:rsidRDefault="004F6579" w14:paraId="02C9E52B" w14:textId="548A3E9A">
      <w:r>
        <w:t xml:space="preserve">Parallel aan het uitwerken van wetgeving </w:t>
      </w:r>
      <w:r w:rsidR="00BE2028">
        <w:t xml:space="preserve">neem ik een aantal </w:t>
      </w:r>
      <w:r>
        <w:t xml:space="preserve">aanvullende </w:t>
      </w:r>
      <w:r w:rsidR="00BE2028">
        <w:t xml:space="preserve">beleidsmaatregelen. </w:t>
      </w:r>
      <w:r>
        <w:t>Bedoeling van deze maatregelen is om op</w:t>
      </w:r>
      <w:r w:rsidR="00BE2028">
        <w:t xml:space="preserve"> kortere termijn verlichting</w:t>
      </w:r>
      <w:r>
        <w:t xml:space="preserve"> te</w:t>
      </w:r>
      <w:r w:rsidR="00BE2028">
        <w:t xml:space="preserve"> bieden voor leraren en schoolleiders bij de organisatie van het onderwijs aan nieuwkomers</w:t>
      </w:r>
      <w:r>
        <w:t>. Ook kunnen de aanvullende maatregelen</w:t>
      </w:r>
      <w:r w:rsidR="00BE2028">
        <w:t xml:space="preserve"> mede richting geven aan de uitwerking van</w:t>
      </w:r>
      <w:r>
        <w:t xml:space="preserve"> de wetgeving.</w:t>
      </w:r>
    </w:p>
    <w:p w:rsidR="00BE2028" w:rsidP="00BE2028" w:rsidRDefault="00BE2028" w14:paraId="166953A1" w14:textId="77777777"/>
    <w:p w:rsidR="00BE2028" w:rsidP="00BE2028" w:rsidRDefault="004F6579" w14:paraId="35AD0C1D" w14:textId="2605C7F1">
      <w:pPr>
        <w:rPr>
          <w:szCs w:val="18"/>
        </w:rPr>
      </w:pPr>
      <w:r>
        <w:rPr>
          <w:szCs w:val="18"/>
        </w:rPr>
        <w:t xml:space="preserve">Een voorbeeld van een thema waar nu al hulp kan worden geboden is de </w:t>
      </w:r>
      <w:r w:rsidR="00BE2028">
        <w:rPr>
          <w:szCs w:val="18"/>
        </w:rPr>
        <w:t xml:space="preserve">overgang tussen </w:t>
      </w:r>
      <w:r>
        <w:rPr>
          <w:szCs w:val="18"/>
        </w:rPr>
        <w:t xml:space="preserve">een </w:t>
      </w:r>
      <w:r w:rsidR="00BE2028">
        <w:rPr>
          <w:szCs w:val="18"/>
        </w:rPr>
        <w:t>nieuwkomersvoorziening en het vervolgonderwijs</w:t>
      </w:r>
      <w:r>
        <w:rPr>
          <w:szCs w:val="18"/>
        </w:rPr>
        <w:t>. Die overgang</w:t>
      </w:r>
      <w:r w:rsidR="00BE2028">
        <w:rPr>
          <w:szCs w:val="18"/>
        </w:rPr>
        <w:t xml:space="preserve"> is nu vaak te groot, waardoor leerlingen </w:t>
      </w:r>
      <w:r>
        <w:rPr>
          <w:szCs w:val="18"/>
        </w:rPr>
        <w:t xml:space="preserve">en </w:t>
      </w:r>
      <w:r w:rsidR="00BE2028">
        <w:rPr>
          <w:szCs w:val="18"/>
        </w:rPr>
        <w:t>leraren in de knel komen.</w:t>
      </w:r>
      <w:r w:rsidR="00EE747E">
        <w:rPr>
          <w:szCs w:val="18"/>
        </w:rPr>
        <w:t xml:space="preserve"> Leerlingen krijgen bijvoorbeeld onvoldoende begeleiding </w:t>
      </w:r>
      <w:r>
        <w:rPr>
          <w:szCs w:val="18"/>
        </w:rPr>
        <w:t xml:space="preserve">en lopen vast, terwijl leraren </w:t>
      </w:r>
      <w:r w:rsidR="00914A17">
        <w:rPr>
          <w:szCs w:val="18"/>
        </w:rPr>
        <w:t>niet in staat</w:t>
      </w:r>
      <w:r>
        <w:rPr>
          <w:szCs w:val="18"/>
        </w:rPr>
        <w:t xml:space="preserve"> zijn</w:t>
      </w:r>
      <w:r w:rsidR="00914A17">
        <w:rPr>
          <w:szCs w:val="18"/>
        </w:rPr>
        <w:t xml:space="preserve"> deze groep</w:t>
      </w:r>
      <w:r>
        <w:rPr>
          <w:szCs w:val="18"/>
        </w:rPr>
        <w:t xml:space="preserve"> de passende begeleiding te bieden. </w:t>
      </w:r>
      <w:r w:rsidR="003F334E">
        <w:rPr>
          <w:szCs w:val="18"/>
        </w:rPr>
        <w:t>Daarom start dit voorjaar een</w:t>
      </w:r>
      <w:r w:rsidR="00BE2028">
        <w:rPr>
          <w:szCs w:val="18"/>
        </w:rPr>
        <w:t xml:space="preserve"> traject </w:t>
      </w:r>
      <w:r w:rsidR="003F334E">
        <w:rPr>
          <w:szCs w:val="18"/>
        </w:rPr>
        <w:t xml:space="preserve">waarin </w:t>
      </w:r>
      <w:r w:rsidR="00BE2028">
        <w:rPr>
          <w:szCs w:val="18"/>
        </w:rPr>
        <w:t xml:space="preserve">in kaart </w:t>
      </w:r>
      <w:r w:rsidR="003F334E">
        <w:rPr>
          <w:szCs w:val="18"/>
        </w:rPr>
        <w:t xml:space="preserve">wordt </w:t>
      </w:r>
      <w:r w:rsidR="00BE2028">
        <w:rPr>
          <w:szCs w:val="18"/>
        </w:rPr>
        <w:t>gebracht wat succesfactoren zijn voor de overgang naar het vervolgonderwijs</w:t>
      </w:r>
      <w:r w:rsidR="00E03DF3">
        <w:rPr>
          <w:szCs w:val="18"/>
        </w:rPr>
        <w:t xml:space="preserve"> en zullen we deze succesfactoren vervolgens ook delen met het onderwijs</w:t>
      </w:r>
      <w:r w:rsidR="00BE2028">
        <w:rPr>
          <w:szCs w:val="18"/>
        </w:rPr>
        <w:t>.</w:t>
      </w:r>
      <w:r w:rsidRPr="00F209FA" w:rsidR="00F209FA">
        <w:t xml:space="preserve"> </w:t>
      </w:r>
    </w:p>
    <w:p w:rsidR="00BE2028" w:rsidP="00BE2028" w:rsidRDefault="00BE2028" w14:paraId="594CE15D" w14:textId="77777777">
      <w:pPr>
        <w:rPr>
          <w:szCs w:val="18"/>
        </w:rPr>
      </w:pPr>
    </w:p>
    <w:p w:rsidR="00BE2028" w:rsidP="00BE2028" w:rsidRDefault="00BE2028" w14:paraId="756E947C" w14:textId="5D74DB75">
      <w:pPr>
        <w:rPr>
          <w:szCs w:val="18"/>
        </w:rPr>
      </w:pPr>
      <w:r>
        <w:rPr>
          <w:szCs w:val="18"/>
        </w:rPr>
        <w:t xml:space="preserve">Verder komen er meer handvatten over de verantwoordelijkheidsverdeling in de regio </w:t>
      </w:r>
      <w:r w:rsidR="004F6579">
        <w:rPr>
          <w:szCs w:val="18"/>
        </w:rPr>
        <w:t>voor het</w:t>
      </w:r>
      <w:r>
        <w:rPr>
          <w:szCs w:val="18"/>
        </w:rPr>
        <w:t xml:space="preserve"> onderwijs aan nieuwkomers.</w:t>
      </w:r>
      <w:r w:rsidR="005B14EC">
        <w:rPr>
          <w:szCs w:val="18"/>
        </w:rPr>
        <w:t xml:space="preserve"> </w:t>
      </w:r>
      <w:r w:rsidRPr="00AD7BD8" w:rsidR="00AD7BD8">
        <w:rPr>
          <w:szCs w:val="18"/>
        </w:rPr>
        <w:t xml:space="preserve">Een hoge instroom van nieuwkomers kan bijvoorbeeld de vraag opwerpen hoe deze leerlingen evenwichtig </w:t>
      </w:r>
      <w:r w:rsidR="00E03DF3">
        <w:rPr>
          <w:szCs w:val="18"/>
        </w:rPr>
        <w:t>kunnen</w:t>
      </w:r>
      <w:r w:rsidRPr="00AD7BD8" w:rsidR="00E03DF3">
        <w:rPr>
          <w:szCs w:val="18"/>
        </w:rPr>
        <w:t xml:space="preserve"> </w:t>
      </w:r>
      <w:r w:rsidRPr="00AD7BD8" w:rsidR="00AD7BD8">
        <w:rPr>
          <w:szCs w:val="18"/>
        </w:rPr>
        <w:t>worden verspreid over de regio.</w:t>
      </w:r>
      <w:r w:rsidRPr="00AD7BD8" w:rsidR="00AD7BD8">
        <w:rPr>
          <w:i/>
          <w:iCs/>
          <w:szCs w:val="18"/>
        </w:rPr>
        <w:t xml:space="preserve"> </w:t>
      </w:r>
      <w:r>
        <w:rPr>
          <w:szCs w:val="18"/>
        </w:rPr>
        <w:t xml:space="preserve">Het ministerie van OCW </w:t>
      </w:r>
      <w:r w:rsidR="004F6579">
        <w:rPr>
          <w:szCs w:val="18"/>
        </w:rPr>
        <w:t>gaat</w:t>
      </w:r>
      <w:r>
        <w:rPr>
          <w:szCs w:val="18"/>
        </w:rPr>
        <w:t xml:space="preserve"> </w:t>
      </w:r>
      <w:r w:rsidR="00C258C7">
        <w:rPr>
          <w:szCs w:val="18"/>
        </w:rPr>
        <w:t xml:space="preserve">hiervoor </w:t>
      </w:r>
      <w:r>
        <w:rPr>
          <w:szCs w:val="18"/>
        </w:rPr>
        <w:t xml:space="preserve">op korte termijn een modelovereenkomst voor regionale afspraken ontwikkelen. </w:t>
      </w:r>
      <w:bookmarkStart w:name="_Hlk198052481" w:id="0"/>
      <w:r>
        <w:rPr>
          <w:szCs w:val="18"/>
        </w:rPr>
        <w:t xml:space="preserve">Ook ontwikkelt het ministerie samen met de inspectie een </w:t>
      </w:r>
      <w:r w:rsidR="00E03DF3">
        <w:rPr>
          <w:szCs w:val="18"/>
        </w:rPr>
        <w:t xml:space="preserve">escalatieladder </w:t>
      </w:r>
      <w:r w:rsidR="004F6579">
        <w:rPr>
          <w:szCs w:val="18"/>
        </w:rPr>
        <w:t>voor</w:t>
      </w:r>
      <w:r>
        <w:rPr>
          <w:szCs w:val="18"/>
        </w:rPr>
        <w:t xml:space="preserve"> het doorbreken van impasses</w:t>
      </w:r>
      <w:r w:rsidR="00AD7BD8">
        <w:rPr>
          <w:szCs w:val="18"/>
        </w:rPr>
        <w:t xml:space="preserve"> </w:t>
      </w:r>
      <w:r>
        <w:rPr>
          <w:szCs w:val="18"/>
        </w:rPr>
        <w:t xml:space="preserve">bij samenwerking in de regio, ieder vanuit zijn eigen rol en verantwoordelijkheden. </w:t>
      </w:r>
    </w:p>
    <w:bookmarkEnd w:id="0"/>
    <w:p w:rsidR="00BE2028" w:rsidP="00BE2028" w:rsidRDefault="00BE2028" w14:paraId="2E4341DF" w14:textId="77777777">
      <w:pPr>
        <w:rPr>
          <w:szCs w:val="18"/>
        </w:rPr>
      </w:pPr>
    </w:p>
    <w:p w:rsidRPr="00326C4B" w:rsidR="00465E4A" w:rsidP="00465E4A" w:rsidRDefault="00465E4A" w14:paraId="7AA85C78" w14:textId="288BE598">
      <w:r>
        <w:t>Nieuwkomers in de leeftijd van 16 jaar of ouder stromen regelmatig vanuit de internationale schakelklassen (</w:t>
      </w:r>
      <w:proofErr w:type="spellStart"/>
      <w:r>
        <w:t>isk</w:t>
      </w:r>
      <w:proofErr w:type="spellEnd"/>
      <w:r>
        <w:t>) door naar het mbo. Uit de toekomstverkenning is gebleken dat deze overgang vaak moeizaam verloopt. De uitval is hoog en nieuwkomers komen vanwege een laag taalniveau vaak terecht in de entreeopleiding, ook als ze capaciteiten hebben die passend zijn bij een mbo-opleiding op niveau 2, 3 of 4.</w:t>
      </w:r>
      <w:r>
        <w:rPr>
          <w:rStyle w:val="Voetnootmarkering"/>
        </w:rPr>
        <w:footnoteReference w:id="8"/>
      </w:r>
      <w:r>
        <w:t xml:space="preserve"> Daarnaast is gebleken dat de onderwijsmogelijkheden die bestaan voor nieuwkomers in de overgang van </w:t>
      </w:r>
      <w:proofErr w:type="spellStart"/>
      <w:r>
        <w:t>isk</w:t>
      </w:r>
      <w:proofErr w:type="spellEnd"/>
      <w:r>
        <w:t xml:space="preserve"> naar mbo nog niet in alle regio’s worden benut.</w:t>
      </w:r>
      <w:r w:rsidRPr="00465E4A">
        <w:t xml:space="preserve"> </w:t>
      </w:r>
      <w:r>
        <w:t>Om voortijdig schoolverlaten en jeugdwerkloosheid onder nieuwkomers tegen te gaan zullen we Doorstroompunten, gemeenten en scholen die samenwerken in de Doorstroompuntregio verplichten om in hun regionale programma’s afspraken te maken over het verbeteren van de overgang van het vo naar het mbo met speciale aandacht voor nieuwkomers. Dit nemen we op in de regeling regionaal programma en Doorstroompuntfunctie 2026-2029.</w:t>
      </w:r>
      <w:r>
        <w:rPr>
          <w:rStyle w:val="Voetnootmarkering"/>
        </w:rPr>
        <w:footnoteReference w:id="9"/>
      </w:r>
      <w:r>
        <w:t xml:space="preserve"> Voor deze regionale programma’s is in totaal €90 </w:t>
      </w:r>
      <w:r w:rsidR="00116A32">
        <w:t xml:space="preserve">miljoen </w:t>
      </w:r>
      <w:r>
        <w:t>per jaar beschikbaar. We ondersteunen regio’s hierbij door goede voorbeelden van samenwerkingen tussen het vo-onderwijs aan nieuwkomers en het mbo met hen te delen. De regeling is een uitwerking van het wetsvoorstel van school naar duurzaam werk dat naar verwachting op 1 januari 2026 in werking zal treden.</w:t>
      </w:r>
    </w:p>
    <w:p w:rsidR="00465E4A" w:rsidP="00BE2028" w:rsidRDefault="00465E4A" w14:paraId="6EC0EC63" w14:textId="77777777">
      <w:pPr>
        <w:rPr>
          <w:szCs w:val="18"/>
        </w:rPr>
      </w:pPr>
    </w:p>
    <w:p w:rsidR="00BE2028" w:rsidP="00BE2028" w:rsidRDefault="00BE2028" w14:paraId="6542E658" w14:textId="380C5211">
      <w:pPr>
        <w:rPr>
          <w:szCs w:val="18"/>
        </w:rPr>
      </w:pPr>
      <w:r>
        <w:rPr>
          <w:szCs w:val="18"/>
        </w:rPr>
        <w:t>Ook blijven de actuele uitdagingen mijn aandacht houden. Op dit moment zijn er</w:t>
      </w:r>
      <w:r w:rsidR="005B14EC">
        <w:rPr>
          <w:szCs w:val="18"/>
        </w:rPr>
        <w:t xml:space="preserve"> </w:t>
      </w:r>
      <w:r>
        <w:rPr>
          <w:szCs w:val="18"/>
        </w:rPr>
        <w:t xml:space="preserve">nog te vaak wachtlijsten waardoor leerlingen (te) laat in het nieuwkomersonderwijs terecht kunnen. </w:t>
      </w:r>
      <w:r w:rsidR="00623BE8">
        <w:rPr>
          <w:szCs w:val="18"/>
        </w:rPr>
        <w:t xml:space="preserve">Hierdoor </w:t>
      </w:r>
      <w:r w:rsidR="0009012F">
        <w:rPr>
          <w:szCs w:val="18"/>
        </w:rPr>
        <w:t xml:space="preserve">lopen ze vertraging op in hun </w:t>
      </w:r>
      <w:r w:rsidR="0009012F">
        <w:rPr>
          <w:szCs w:val="18"/>
        </w:rPr>
        <w:lastRenderedPageBreak/>
        <w:t>schoolloopbaan</w:t>
      </w:r>
      <w:r w:rsidR="003F334E">
        <w:rPr>
          <w:szCs w:val="18"/>
        </w:rPr>
        <w:t>.</w:t>
      </w:r>
      <w:r w:rsidR="00623BE8">
        <w:rPr>
          <w:szCs w:val="18"/>
        </w:rPr>
        <w:t xml:space="preserve"> </w:t>
      </w:r>
      <w:r w:rsidR="00116A32">
        <w:rPr>
          <w:szCs w:val="18"/>
        </w:rPr>
        <w:t xml:space="preserve">Gemeenten en schoolbesturen denken helaas te vaak dat iets niet kan of mag. </w:t>
      </w:r>
      <w:r>
        <w:rPr>
          <w:szCs w:val="18"/>
        </w:rPr>
        <w:t xml:space="preserve">Samen met LOWAN, </w:t>
      </w:r>
      <w:proofErr w:type="spellStart"/>
      <w:r>
        <w:rPr>
          <w:szCs w:val="18"/>
        </w:rPr>
        <w:t>Ingrado</w:t>
      </w:r>
      <w:proofErr w:type="spellEnd"/>
      <w:r>
        <w:rPr>
          <w:szCs w:val="18"/>
        </w:rPr>
        <w:t xml:space="preserve">, de PO-Raad, de VO-raad, de VNG en de inspectie blijft </w:t>
      </w:r>
      <w:r w:rsidR="0024026B">
        <w:rPr>
          <w:szCs w:val="18"/>
        </w:rPr>
        <w:t xml:space="preserve">mijn </w:t>
      </w:r>
      <w:r>
        <w:rPr>
          <w:szCs w:val="18"/>
        </w:rPr>
        <w:t xml:space="preserve">ministerie </w:t>
      </w:r>
      <w:r w:rsidR="00914A17">
        <w:rPr>
          <w:szCs w:val="18"/>
        </w:rPr>
        <w:t xml:space="preserve">de wachtlijsten </w:t>
      </w:r>
      <w:r>
        <w:rPr>
          <w:szCs w:val="18"/>
        </w:rPr>
        <w:t>nauwlettend in de gaten houden</w:t>
      </w:r>
      <w:r w:rsidR="0066042D">
        <w:rPr>
          <w:szCs w:val="18"/>
        </w:rPr>
        <w:t xml:space="preserve"> en biedt waar mogelijk </w:t>
      </w:r>
      <w:r w:rsidR="00C258C7">
        <w:rPr>
          <w:szCs w:val="18"/>
        </w:rPr>
        <w:t>ondersteuning</w:t>
      </w:r>
      <w:r>
        <w:rPr>
          <w:szCs w:val="18"/>
        </w:rPr>
        <w:t>. De regiocoördinatoren nieuwkomersonderwijs van het ministerie helpen gemeenten en schoolbesturen wanneer het niet lukt om het onderwijs te organiseren</w:t>
      </w:r>
      <w:r w:rsidR="00623BE8">
        <w:rPr>
          <w:szCs w:val="18"/>
        </w:rPr>
        <w:t xml:space="preserve"> door partijen </w:t>
      </w:r>
      <w:r w:rsidR="004F6579">
        <w:rPr>
          <w:szCs w:val="18"/>
        </w:rPr>
        <w:t>samen</w:t>
      </w:r>
      <w:r w:rsidR="00623BE8">
        <w:rPr>
          <w:szCs w:val="18"/>
        </w:rPr>
        <w:t xml:space="preserve"> te brengen, de regie te nemen en uitleg te geven over relevante</w:t>
      </w:r>
      <w:r w:rsidR="004F6579">
        <w:rPr>
          <w:szCs w:val="18"/>
        </w:rPr>
        <w:t xml:space="preserve"> wet- en</w:t>
      </w:r>
      <w:r w:rsidR="00623BE8">
        <w:rPr>
          <w:szCs w:val="18"/>
        </w:rPr>
        <w:t xml:space="preserve"> regelgeving. </w:t>
      </w:r>
      <w:r>
        <w:rPr>
          <w:szCs w:val="18"/>
        </w:rPr>
        <w:t>Waar nodig bieden de eerder genoemde tijdelijke nieuwkomersvoorzieningen ruimte</w:t>
      </w:r>
      <w:r w:rsidR="00AF333F">
        <w:rPr>
          <w:szCs w:val="18"/>
        </w:rPr>
        <w:t xml:space="preserve">. </w:t>
      </w:r>
      <w:r>
        <w:rPr>
          <w:szCs w:val="18"/>
        </w:rPr>
        <w:t xml:space="preserve"> </w:t>
      </w:r>
    </w:p>
    <w:p w:rsidR="00BE2028" w:rsidP="00BE2028" w:rsidRDefault="00BE2028" w14:paraId="201C76A2" w14:textId="77777777">
      <w:pPr>
        <w:rPr>
          <w:i/>
          <w:iCs/>
        </w:rPr>
      </w:pPr>
    </w:p>
    <w:p w:rsidR="005B14EC" w:rsidP="005B14EC" w:rsidRDefault="002879DF" w14:paraId="4DB57896" w14:textId="49998AB6">
      <w:pPr>
        <w:rPr>
          <w:szCs w:val="18"/>
        </w:rPr>
      </w:pPr>
      <w:r>
        <w:rPr>
          <w:szCs w:val="18"/>
        </w:rPr>
        <w:t>Met deze brief</w:t>
      </w:r>
      <w:r w:rsidRPr="00810AEF" w:rsidR="00810AEF">
        <w:rPr>
          <w:szCs w:val="18"/>
        </w:rPr>
        <w:t xml:space="preserve"> informeer ik u</w:t>
      </w:r>
      <w:r>
        <w:rPr>
          <w:szCs w:val="18"/>
        </w:rPr>
        <w:t>w Kamer ook</w:t>
      </w:r>
      <w:r w:rsidRPr="00810AEF" w:rsidR="00810AEF">
        <w:rPr>
          <w:szCs w:val="18"/>
        </w:rPr>
        <w:t xml:space="preserve"> over het vervolg op de pilot Alternatief examineren voor nieuwkomers in het vo</w:t>
      </w:r>
      <w:r>
        <w:rPr>
          <w:szCs w:val="18"/>
        </w:rPr>
        <w:t>, zoals toegezegd</w:t>
      </w:r>
      <w:r w:rsidRPr="00810AEF" w:rsidR="00810AEF">
        <w:rPr>
          <w:szCs w:val="18"/>
        </w:rPr>
        <w:t>.</w:t>
      </w:r>
      <w:r>
        <w:rPr>
          <w:rStyle w:val="Voetnootmarkering"/>
          <w:szCs w:val="18"/>
        </w:rPr>
        <w:footnoteReference w:id="10"/>
      </w:r>
      <w:r>
        <w:rPr>
          <w:szCs w:val="18"/>
        </w:rPr>
        <w:t xml:space="preserve"> Er is gesproken met taal- en </w:t>
      </w:r>
      <w:proofErr w:type="spellStart"/>
      <w:r>
        <w:rPr>
          <w:szCs w:val="18"/>
        </w:rPr>
        <w:t>toetswetenschappers</w:t>
      </w:r>
      <w:proofErr w:type="spellEnd"/>
      <w:r>
        <w:rPr>
          <w:szCs w:val="18"/>
        </w:rPr>
        <w:t xml:space="preserve"> over een dergelijk alternatief voor het centraal examen Nederlands. Ook is gekeken naar de examenresultaten van nieuwkomersleerlingen en niet-nieuwkomersleerlingen. Deze verkenning</w:t>
      </w:r>
      <w:r w:rsidRPr="00810AEF" w:rsidR="00810AEF">
        <w:rPr>
          <w:szCs w:val="18"/>
        </w:rPr>
        <w:t xml:space="preserve"> heeft niet geleid tot voldoende onderbouwing voor het opnieuw opstarten van een dergelijke alternatieve vorm van examinering van het centraal examen Nederlands. </w:t>
      </w:r>
      <w:r w:rsidRPr="00810AEF">
        <w:rPr>
          <w:szCs w:val="18"/>
        </w:rPr>
        <w:t xml:space="preserve">In plaats daarvan </w:t>
      </w:r>
      <w:r>
        <w:rPr>
          <w:szCs w:val="18"/>
        </w:rPr>
        <w:t>onderzoeken we</w:t>
      </w:r>
      <w:r w:rsidRPr="00810AEF">
        <w:rPr>
          <w:szCs w:val="18"/>
        </w:rPr>
        <w:t xml:space="preserve"> welke maatregelen kunnen worden genomen om (oud-)nieuwkomersleerlingen in het examenjaar van het reguliere vo passende ondersteuning te bieden.</w:t>
      </w:r>
      <w:r w:rsidR="00465EDB">
        <w:rPr>
          <w:szCs w:val="18"/>
        </w:rPr>
        <w:t xml:space="preserve"> </w:t>
      </w:r>
    </w:p>
    <w:p w:rsidR="009032F0" w:rsidP="005B14EC" w:rsidRDefault="009032F0" w14:paraId="73780507" w14:textId="77777777">
      <w:pPr>
        <w:rPr>
          <w:szCs w:val="18"/>
        </w:rPr>
      </w:pPr>
    </w:p>
    <w:p w:rsidR="005B14EC" w:rsidP="005B14EC" w:rsidRDefault="002670C0" w14:paraId="45DFE60A" w14:textId="493438E8">
      <w:pPr>
        <w:rPr>
          <w:szCs w:val="18"/>
        </w:rPr>
      </w:pPr>
      <w:r w:rsidRPr="002670C0">
        <w:rPr>
          <w:szCs w:val="18"/>
        </w:rPr>
        <w:t>Daarnaast telt de onderwijsinspectie</w:t>
      </w:r>
      <w:r>
        <w:rPr>
          <w:szCs w:val="18"/>
        </w:rPr>
        <w:t>, v</w:t>
      </w:r>
      <w:r w:rsidRPr="00BE2028" w:rsidR="005B14EC">
        <w:rPr>
          <w:szCs w:val="18"/>
        </w:rPr>
        <w:t>ooruitlopend op de aanpassing van de Regeling Leerresultaten VO</w:t>
      </w:r>
      <w:r>
        <w:rPr>
          <w:szCs w:val="18"/>
        </w:rPr>
        <w:t>,</w:t>
      </w:r>
      <w:r w:rsidRPr="00BE2028" w:rsidR="005B14EC">
        <w:rPr>
          <w:szCs w:val="18"/>
        </w:rPr>
        <w:t xml:space="preserve"> sinds dit voorjaar nieuwkomers in het vo de eerste vier jaar dat zij onderwijs volgen niet mee</w:t>
      </w:r>
      <w:r>
        <w:rPr>
          <w:szCs w:val="18"/>
        </w:rPr>
        <w:t xml:space="preserve"> </w:t>
      </w:r>
      <w:r w:rsidRPr="00BE2028" w:rsidR="005B14EC">
        <w:rPr>
          <w:szCs w:val="18"/>
        </w:rPr>
        <w:t>in het onderwijsresultatenmodel.</w:t>
      </w:r>
      <w:r w:rsidRPr="00BE2028" w:rsidR="005B14EC">
        <w:rPr>
          <w:rStyle w:val="Voetnootmarkering"/>
          <w:szCs w:val="18"/>
        </w:rPr>
        <w:footnoteReference w:id="11"/>
      </w:r>
      <w:r w:rsidRPr="00BE2028" w:rsidR="005B14EC">
        <w:rPr>
          <w:szCs w:val="18"/>
        </w:rPr>
        <w:t xml:space="preserve"> Eerder was dit nog twee jaar. </w:t>
      </w:r>
      <w:r w:rsidRPr="00BE2028" w:rsidR="005B14EC">
        <w:rPr>
          <w:rFonts w:cs="Calibri" w:eastAsiaTheme="minorHAnsi"/>
          <w:kern w:val="2"/>
          <w:szCs w:val="18"/>
          <w:lang w:eastAsia="en-US"/>
          <w14:ligatures w14:val="standardContextual"/>
        </w:rPr>
        <w:t xml:space="preserve">Zo wordt de drempel verlaagd voor scholen die vrezen dat het opnemen van nieuwkomers negatief zal uitwerken op de beoordeling van de leerresultaten door de inspectie. </w:t>
      </w:r>
    </w:p>
    <w:p w:rsidR="005B14EC" w:rsidP="00BE2028" w:rsidRDefault="005B14EC" w14:paraId="56C6755B" w14:textId="77777777">
      <w:pPr>
        <w:rPr>
          <w:b/>
          <w:bCs/>
          <w:szCs w:val="18"/>
        </w:rPr>
      </w:pPr>
    </w:p>
    <w:p w:rsidR="00BE2028" w:rsidP="00BE2028" w:rsidRDefault="00BE2028" w14:paraId="2C3A9A66" w14:textId="69E579C3">
      <w:pPr>
        <w:rPr>
          <w:szCs w:val="18"/>
        </w:rPr>
      </w:pPr>
      <w:r>
        <w:rPr>
          <w:szCs w:val="18"/>
        </w:rPr>
        <w:t xml:space="preserve">Tot slot </w:t>
      </w:r>
      <w:r w:rsidR="00A55EFB">
        <w:rPr>
          <w:szCs w:val="18"/>
        </w:rPr>
        <w:t xml:space="preserve">zet </w:t>
      </w:r>
      <w:r>
        <w:rPr>
          <w:szCs w:val="18"/>
        </w:rPr>
        <w:t>het ministerie een aantal ingezette acties</w:t>
      </w:r>
      <w:r w:rsidR="00A55EFB">
        <w:rPr>
          <w:szCs w:val="18"/>
        </w:rPr>
        <w:t xml:space="preserve"> voort</w:t>
      </w:r>
      <w:r w:rsidR="00E03DF3">
        <w:rPr>
          <w:szCs w:val="18"/>
        </w:rPr>
        <w:t xml:space="preserve"> die het onderwijs aan nieuwkomers verstevigen</w:t>
      </w:r>
      <w:r w:rsidR="007146B1">
        <w:rPr>
          <w:szCs w:val="18"/>
        </w:rPr>
        <w:t>. Het gaat hierbij onder</w:t>
      </w:r>
      <w:r w:rsidR="00116A32">
        <w:rPr>
          <w:szCs w:val="18"/>
        </w:rPr>
        <w:t xml:space="preserve"> </w:t>
      </w:r>
      <w:r w:rsidR="007146B1">
        <w:rPr>
          <w:szCs w:val="18"/>
        </w:rPr>
        <w:t xml:space="preserve">meer om </w:t>
      </w:r>
      <w:r>
        <w:rPr>
          <w:szCs w:val="18"/>
        </w:rPr>
        <w:t>de wijziging van de aanvullende bekostiging voor nieuwkomers in het vo zodat deze ingaat op de startdatum van de leerling op school</w:t>
      </w:r>
      <w:r w:rsidR="00116A32">
        <w:rPr>
          <w:szCs w:val="18"/>
        </w:rPr>
        <w:t>.</w:t>
      </w:r>
      <w:r>
        <w:rPr>
          <w:szCs w:val="18"/>
        </w:rPr>
        <w:t xml:space="preserve"> </w:t>
      </w:r>
      <w:r w:rsidR="00116A32">
        <w:rPr>
          <w:szCs w:val="18"/>
        </w:rPr>
        <w:t xml:space="preserve">En we blijven scholen via verschillende wegen ondersteunen, bijvoorbeeld met </w:t>
      </w:r>
      <w:r>
        <w:rPr>
          <w:szCs w:val="18"/>
        </w:rPr>
        <w:t xml:space="preserve">de subsidie basisvaardigheden die ook door scholen met nieuwkomersvoorzieningen is aangevraagd en de </w:t>
      </w:r>
      <w:r w:rsidRPr="00D81E2B">
        <w:rPr>
          <w:szCs w:val="18"/>
        </w:rPr>
        <w:t>subsidiëring van LOWAN</w:t>
      </w:r>
      <w:r>
        <w:rPr>
          <w:szCs w:val="18"/>
        </w:rPr>
        <w:t xml:space="preserve"> op onder meer de kennis over nieuwkomers in het vervolgonderwijs. </w:t>
      </w:r>
    </w:p>
    <w:p w:rsidR="00BE2028" w:rsidP="00BE2028" w:rsidRDefault="00BE2028" w14:paraId="5F41F8A5" w14:textId="77777777">
      <w:pPr>
        <w:spacing w:line="240" w:lineRule="auto"/>
        <w:rPr>
          <w:szCs w:val="18"/>
        </w:rPr>
      </w:pPr>
    </w:p>
    <w:p w:rsidR="00DA3930" w:rsidP="00DA3930" w:rsidRDefault="00DA3930" w14:paraId="2FF8091B" w14:textId="77777777">
      <w:pPr>
        <w:spacing w:line="240" w:lineRule="auto"/>
        <w:rPr>
          <w:szCs w:val="18"/>
        </w:rPr>
      </w:pPr>
    </w:p>
    <w:p w:rsidRPr="00DD7F11" w:rsidR="00BE2028" w:rsidP="00DA3930" w:rsidRDefault="00BE2028" w14:paraId="3FF2620C" w14:textId="7C53A543">
      <w:pPr>
        <w:spacing w:line="240" w:lineRule="auto"/>
        <w:rPr>
          <w:szCs w:val="20"/>
        </w:rPr>
      </w:pPr>
      <w:r>
        <w:rPr>
          <w:szCs w:val="20"/>
        </w:rPr>
        <w:t>D</w:t>
      </w:r>
      <w:r w:rsidRPr="00DD7F11">
        <w:rPr>
          <w:szCs w:val="20"/>
        </w:rPr>
        <w:t xml:space="preserve">e </w:t>
      </w:r>
      <w:r>
        <w:rPr>
          <w:szCs w:val="20"/>
        </w:rPr>
        <w:t>staatssecretaris</w:t>
      </w:r>
      <w:r w:rsidRPr="00DD7F11">
        <w:rPr>
          <w:szCs w:val="20"/>
        </w:rPr>
        <w:t xml:space="preserve"> </w:t>
      </w:r>
      <w:r>
        <w:rPr>
          <w:szCs w:val="20"/>
        </w:rPr>
        <w:t>van Onderwijs</w:t>
      </w:r>
      <w:r w:rsidRPr="00DD7F11">
        <w:rPr>
          <w:szCs w:val="20"/>
        </w:rPr>
        <w:t>,</w:t>
      </w:r>
      <w:r>
        <w:rPr>
          <w:szCs w:val="20"/>
        </w:rPr>
        <w:t xml:space="preserve"> Cultuur en Wetenschap,</w:t>
      </w:r>
    </w:p>
    <w:p w:rsidRPr="00DD7F11" w:rsidR="00BE2028" w:rsidP="00BE2028" w:rsidRDefault="00BE2028" w14:paraId="50A82D77" w14:textId="77777777">
      <w:pPr>
        <w:rPr>
          <w:szCs w:val="20"/>
        </w:rPr>
      </w:pPr>
    </w:p>
    <w:p w:rsidRPr="00DD7F11" w:rsidR="00BE2028" w:rsidP="00BE2028" w:rsidRDefault="00BE2028" w14:paraId="5EE51687" w14:textId="77777777">
      <w:pPr>
        <w:rPr>
          <w:szCs w:val="20"/>
        </w:rPr>
      </w:pPr>
    </w:p>
    <w:p w:rsidR="00BE2028" w:rsidP="00BE2028" w:rsidRDefault="00BE2028" w14:paraId="159E3341" w14:textId="77777777">
      <w:pPr>
        <w:rPr>
          <w:szCs w:val="20"/>
        </w:rPr>
      </w:pPr>
    </w:p>
    <w:p w:rsidR="00BE2028" w:rsidP="00BE2028" w:rsidRDefault="00BE2028" w14:paraId="712101E7" w14:textId="77777777">
      <w:pPr>
        <w:rPr>
          <w:szCs w:val="20"/>
        </w:rPr>
      </w:pPr>
    </w:p>
    <w:p w:rsidRPr="00DD7F11" w:rsidR="00BD5660" w:rsidP="00BE2028" w:rsidRDefault="00BD5660" w14:paraId="19D653D5" w14:textId="77777777">
      <w:pPr>
        <w:rPr>
          <w:szCs w:val="20"/>
        </w:rPr>
      </w:pPr>
    </w:p>
    <w:p w:rsidRPr="00E826DD" w:rsidR="00820DDA" w:rsidP="00E826DD" w:rsidRDefault="00BE2028" w14:paraId="294332E0" w14:textId="2556A645">
      <w:pPr>
        <w:spacing w:line="240" w:lineRule="auto"/>
        <w:rPr>
          <w:szCs w:val="18"/>
        </w:rPr>
      </w:pPr>
      <w:r w:rsidRPr="00DD7F11">
        <w:t xml:space="preserve">Mariëlle Paul </w:t>
      </w:r>
    </w:p>
    <w:p w:rsidRPr="00820DDA" w:rsidR="00820DDA" w:rsidP="00215964" w:rsidRDefault="00820DDA" w14:paraId="6D4FBF32"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EEBB" w14:textId="77777777" w:rsidR="00982F24" w:rsidRDefault="00982F24">
      <w:r>
        <w:separator/>
      </w:r>
    </w:p>
    <w:p w14:paraId="15371EEE" w14:textId="77777777" w:rsidR="00982F24" w:rsidRDefault="00982F24"/>
  </w:endnote>
  <w:endnote w:type="continuationSeparator" w:id="0">
    <w:p w14:paraId="63FD625F" w14:textId="77777777" w:rsidR="00982F24" w:rsidRDefault="00982F24">
      <w:r>
        <w:continuationSeparator/>
      </w:r>
    </w:p>
    <w:p w14:paraId="0AB3BC58" w14:textId="77777777" w:rsidR="00982F24" w:rsidRDefault="00982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CF9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027F7" w14:paraId="5AC5DB08" w14:textId="77777777" w:rsidTr="004C7E1D">
      <w:trPr>
        <w:trHeight w:hRule="exact" w:val="357"/>
      </w:trPr>
      <w:tc>
        <w:tcPr>
          <w:tcW w:w="7603" w:type="dxa"/>
          <w:shd w:val="clear" w:color="auto" w:fill="auto"/>
        </w:tcPr>
        <w:p w14:paraId="228DF0E1" w14:textId="77777777" w:rsidR="002F71BB" w:rsidRPr="004C7E1D" w:rsidRDefault="002F71BB" w:rsidP="004C7E1D">
          <w:pPr>
            <w:spacing w:line="180" w:lineRule="exact"/>
            <w:rPr>
              <w:sz w:val="13"/>
              <w:szCs w:val="13"/>
            </w:rPr>
          </w:pPr>
        </w:p>
      </w:tc>
      <w:tc>
        <w:tcPr>
          <w:tcW w:w="2172" w:type="dxa"/>
          <w:shd w:val="clear" w:color="auto" w:fill="auto"/>
        </w:tcPr>
        <w:p w14:paraId="3A5E9D50" w14:textId="0DA917DF" w:rsidR="002F71BB" w:rsidRPr="004C7E1D" w:rsidRDefault="00BE202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A44F1">
            <w:rPr>
              <w:szCs w:val="13"/>
            </w:rPr>
            <w:t>4</w:t>
          </w:r>
          <w:r w:rsidRPr="004C7E1D">
            <w:rPr>
              <w:szCs w:val="13"/>
            </w:rPr>
            <w:fldChar w:fldCharType="end"/>
          </w:r>
        </w:p>
      </w:tc>
    </w:tr>
  </w:tbl>
  <w:p w14:paraId="73709AF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027F7" w14:paraId="0EBF6446" w14:textId="77777777" w:rsidTr="004C7E1D">
      <w:trPr>
        <w:trHeight w:hRule="exact" w:val="357"/>
      </w:trPr>
      <w:tc>
        <w:tcPr>
          <w:tcW w:w="7709" w:type="dxa"/>
          <w:shd w:val="clear" w:color="auto" w:fill="auto"/>
        </w:tcPr>
        <w:p w14:paraId="686EEFC8" w14:textId="77777777" w:rsidR="00D17084" w:rsidRPr="004C7E1D" w:rsidRDefault="00D17084" w:rsidP="004C7E1D">
          <w:pPr>
            <w:spacing w:line="180" w:lineRule="exact"/>
            <w:rPr>
              <w:sz w:val="13"/>
              <w:szCs w:val="13"/>
            </w:rPr>
          </w:pPr>
        </w:p>
      </w:tc>
      <w:tc>
        <w:tcPr>
          <w:tcW w:w="2060" w:type="dxa"/>
          <w:shd w:val="clear" w:color="auto" w:fill="auto"/>
        </w:tcPr>
        <w:p w14:paraId="02F1BBD4" w14:textId="7EA38AE9" w:rsidR="00D17084" w:rsidRPr="004C7E1D" w:rsidRDefault="00BE202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A44F1">
            <w:rPr>
              <w:szCs w:val="13"/>
            </w:rPr>
            <w:t>4</w:t>
          </w:r>
          <w:r w:rsidRPr="004C7E1D">
            <w:rPr>
              <w:szCs w:val="13"/>
            </w:rPr>
            <w:fldChar w:fldCharType="end"/>
          </w:r>
        </w:p>
      </w:tc>
    </w:tr>
  </w:tbl>
  <w:p w14:paraId="5F76840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63A2" w14:textId="77777777" w:rsidR="00982F24" w:rsidRDefault="00982F24">
      <w:r>
        <w:separator/>
      </w:r>
    </w:p>
    <w:p w14:paraId="5701131E" w14:textId="77777777" w:rsidR="00982F24" w:rsidRDefault="00982F24"/>
  </w:footnote>
  <w:footnote w:type="continuationSeparator" w:id="0">
    <w:p w14:paraId="4F759884" w14:textId="77777777" w:rsidR="00982F24" w:rsidRDefault="00982F24">
      <w:r>
        <w:continuationSeparator/>
      </w:r>
    </w:p>
    <w:p w14:paraId="6D68DDB0" w14:textId="77777777" w:rsidR="00982F24" w:rsidRDefault="00982F24"/>
  </w:footnote>
  <w:footnote w:id="1">
    <w:p w14:paraId="6DDB0C3F" w14:textId="77777777" w:rsidR="00D55374" w:rsidRPr="00A122C3" w:rsidRDefault="00D55374" w:rsidP="00D55374">
      <w:pPr>
        <w:pStyle w:val="Voetnoottekst"/>
        <w:rPr>
          <w:sz w:val="14"/>
          <w:szCs w:val="14"/>
        </w:rPr>
      </w:pPr>
      <w:r w:rsidRPr="00A122C3">
        <w:rPr>
          <w:rStyle w:val="Voetnootmarkering"/>
          <w:sz w:val="14"/>
          <w:szCs w:val="14"/>
        </w:rPr>
        <w:footnoteRef/>
      </w:r>
      <w:r w:rsidRPr="00A122C3">
        <w:rPr>
          <w:sz w:val="14"/>
          <w:szCs w:val="14"/>
        </w:rPr>
        <w:t xml:space="preserve"> Tweede Kamer, vergaderjaar 2024-2025, 36373, nr. 24</w:t>
      </w:r>
      <w:r>
        <w:rPr>
          <w:sz w:val="14"/>
          <w:szCs w:val="14"/>
        </w:rPr>
        <w:t>.</w:t>
      </w:r>
    </w:p>
  </w:footnote>
  <w:footnote w:id="2">
    <w:p w14:paraId="41F73AE3" w14:textId="77777777" w:rsidR="00BE2028" w:rsidRPr="0096212F" w:rsidRDefault="00BE2028" w:rsidP="00BE2028">
      <w:pPr>
        <w:pStyle w:val="Voetnoottekst"/>
        <w:rPr>
          <w:b/>
          <w:bCs/>
          <w:color w:val="000000"/>
          <w:sz w:val="14"/>
          <w:szCs w:val="14"/>
        </w:rPr>
      </w:pPr>
      <w:r w:rsidRPr="00A122C3">
        <w:rPr>
          <w:rStyle w:val="Voetnootmarkering"/>
          <w:sz w:val="14"/>
          <w:szCs w:val="14"/>
        </w:rPr>
        <w:footnoteRef/>
      </w:r>
      <w:r>
        <w:rPr>
          <w:sz w:val="14"/>
          <w:szCs w:val="14"/>
        </w:rPr>
        <w:t xml:space="preserve"> </w:t>
      </w:r>
      <w:r w:rsidRPr="0096212F">
        <w:rPr>
          <w:sz w:val="14"/>
          <w:szCs w:val="14"/>
        </w:rPr>
        <w:t xml:space="preserve">Zie adviezen van Onderwijsraad, Raad van State en de Algemene Rekenkamer: Adviesrapport Onderwijsraad, </w:t>
      </w:r>
      <w:r w:rsidRPr="0096212F">
        <w:rPr>
          <w:i/>
          <w:iCs/>
          <w:sz w:val="14"/>
          <w:szCs w:val="14"/>
        </w:rPr>
        <w:t>vluchtelingen en onderwijs.</w:t>
      </w:r>
      <w:r w:rsidRPr="0096212F">
        <w:rPr>
          <w:sz w:val="14"/>
          <w:szCs w:val="14"/>
        </w:rPr>
        <w:t xml:space="preserve"> Den Haag, 2017; Raad van State No.W05.22.0065/I, Kamerstukken II 2021/22, 36106, nr. 4; Raad van State W05.23.00094/I, Kamerstukken II 2022/23, 36373, nr. 4; Adviesrapport Rekenkamer, </w:t>
      </w:r>
      <w:r w:rsidRPr="0096212F">
        <w:rPr>
          <w:color w:val="000000"/>
          <w:sz w:val="14"/>
          <w:szCs w:val="14"/>
        </w:rPr>
        <w:t xml:space="preserve">Resultaten verantwoordingsonderzoek 2023 ministerie van OCW, Den Haag, 2024. </w:t>
      </w:r>
    </w:p>
  </w:footnote>
  <w:footnote w:id="3">
    <w:p w14:paraId="449AF792" w14:textId="77777777" w:rsidR="00BE2028" w:rsidRPr="004A2896" w:rsidRDefault="00BE2028" w:rsidP="00BE2028">
      <w:pPr>
        <w:pStyle w:val="Voetnoottekst"/>
        <w:rPr>
          <w:szCs w:val="13"/>
        </w:rPr>
      </w:pPr>
      <w:r w:rsidRPr="004A2896">
        <w:rPr>
          <w:rStyle w:val="Voetnootmarkering"/>
          <w:szCs w:val="13"/>
        </w:rPr>
        <w:footnoteRef/>
      </w:r>
      <w:r w:rsidRPr="004A2896">
        <w:rPr>
          <w:szCs w:val="13"/>
        </w:rPr>
        <w:t xml:space="preserve"> </w:t>
      </w:r>
      <w:r w:rsidRPr="004A2896">
        <w:rPr>
          <w:rStyle w:val="cf01"/>
          <w:rFonts w:ascii="Verdana" w:hAnsi="Verdana"/>
          <w:sz w:val="13"/>
          <w:szCs w:val="13"/>
        </w:rPr>
        <w:t>Te weten de Wet tijdelijke onderwijsvoorzieningen bij massale toestroom van ontheemden en de Tijdelijke wet tijdelijke nieuwkomersvoorzieningen in het onderwijs.</w:t>
      </w:r>
    </w:p>
  </w:footnote>
  <w:footnote w:id="4">
    <w:p w14:paraId="609CC2F8" w14:textId="575E663A" w:rsidR="007146B1" w:rsidRDefault="007146B1">
      <w:pPr>
        <w:pStyle w:val="Voetnoottekst"/>
      </w:pPr>
      <w:r>
        <w:rPr>
          <w:rStyle w:val="Voetnootmarkering"/>
        </w:rPr>
        <w:footnoteRef/>
      </w:r>
      <w:r>
        <w:t xml:space="preserve"> </w:t>
      </w:r>
      <w:r w:rsidRPr="007146B1">
        <w:t>TZ202307-016</w:t>
      </w:r>
      <w:r w:rsidR="004C6F39">
        <w:t>.</w:t>
      </w:r>
    </w:p>
  </w:footnote>
  <w:footnote w:id="5">
    <w:p w14:paraId="39F46757" w14:textId="77777777" w:rsidR="009849BB" w:rsidRDefault="009849BB" w:rsidP="009849BB">
      <w:pPr>
        <w:pStyle w:val="Voetnoottekst"/>
      </w:pPr>
      <w:r>
        <w:rPr>
          <w:rStyle w:val="Voetnootmarkering"/>
        </w:rPr>
        <w:footnoteRef/>
      </w:r>
      <w:r>
        <w:t xml:space="preserve"> De benodigde juridische a</w:t>
      </w:r>
      <w:r w:rsidRPr="00336216">
        <w:t>anpassingen zijn op dit moment budgetneutraal</w:t>
      </w:r>
      <w:r>
        <w:t>.</w:t>
      </w:r>
    </w:p>
  </w:footnote>
  <w:footnote w:id="6">
    <w:p w14:paraId="4EB8BCD6" w14:textId="46DBA1D7" w:rsidR="00AD7BD8" w:rsidRDefault="00AD7BD8" w:rsidP="00AD7BD8">
      <w:pPr>
        <w:pStyle w:val="Voetnoottekst"/>
      </w:pPr>
      <w:r>
        <w:rPr>
          <w:rStyle w:val="Voetnootmarkering"/>
        </w:rPr>
        <w:footnoteRef/>
      </w:r>
      <w:r>
        <w:t xml:space="preserve"> </w:t>
      </w:r>
      <w:r w:rsidRPr="003E27C8">
        <w:t xml:space="preserve">De wet </w:t>
      </w:r>
      <w:proofErr w:type="spellStart"/>
      <w:r w:rsidRPr="003E27C8">
        <w:t>tnv</w:t>
      </w:r>
      <w:proofErr w:type="spellEnd"/>
      <w:r w:rsidRPr="003E27C8">
        <w:t xml:space="preserve"> geeft gemeenten en scholen meer mogelijkheden om in een noodsituatie tijdelijke nieuwkomersvoorzieningen in te richten</w:t>
      </w:r>
      <w:r w:rsidR="00E03DF3">
        <w:t>.</w:t>
      </w:r>
    </w:p>
  </w:footnote>
  <w:footnote w:id="7">
    <w:p w14:paraId="20314931" w14:textId="54EA7A00" w:rsidR="00AD7BD8" w:rsidRDefault="00AD7BD8" w:rsidP="00AD7BD8">
      <w:pPr>
        <w:pStyle w:val="Voetnoottekst"/>
      </w:pPr>
      <w:r w:rsidRPr="007E6CEC">
        <w:rPr>
          <w:rStyle w:val="Voetnootmarkering"/>
        </w:rPr>
        <w:footnoteRef/>
      </w:r>
      <w:r>
        <w:t xml:space="preserve"> </w:t>
      </w:r>
      <w:r w:rsidRPr="007E6CEC">
        <w:t>I</w:t>
      </w:r>
      <w:r w:rsidRPr="00A707F1">
        <w:t>n het Europese asiel- en migratiepact is benadrukt dat het onderwijs aan minderjarige asielzoekers van vergelijkbare kwaliteit moet zijn als het onderwijs aan andere kinderen en is de termijn waarop deze kinderen onderwijs moet worden geboden aangescherpt</w:t>
      </w:r>
      <w:r w:rsidR="00E03DF3">
        <w:t>.</w:t>
      </w:r>
    </w:p>
  </w:footnote>
  <w:footnote w:id="8">
    <w:p w14:paraId="7D0D09A9" w14:textId="77777777" w:rsidR="00465E4A" w:rsidRDefault="00465E4A" w:rsidP="00465E4A">
      <w:pPr>
        <w:pStyle w:val="Voetnoottekst"/>
      </w:pPr>
      <w:r>
        <w:rPr>
          <w:rStyle w:val="Voetnootmarkering"/>
        </w:rPr>
        <w:footnoteRef/>
      </w:r>
      <w:r>
        <w:t xml:space="preserve"> </w:t>
      </w:r>
      <w:bookmarkStart w:id="1" w:name="_Hlk199152378"/>
      <w:r>
        <w:t>Tweede Kamer, vergaderjaar 2024-</w:t>
      </w:r>
      <w:r w:rsidRPr="00EA56B3">
        <w:t xml:space="preserve">2025, </w:t>
      </w:r>
      <w:r>
        <w:t>26695, nr. 145</w:t>
      </w:r>
    </w:p>
    <w:bookmarkEnd w:id="1"/>
  </w:footnote>
  <w:footnote w:id="9">
    <w:p w14:paraId="67E78F91" w14:textId="77777777" w:rsidR="00465E4A" w:rsidRPr="009032F0" w:rsidRDefault="00465E4A" w:rsidP="00465E4A">
      <w:pPr>
        <w:pStyle w:val="Voetnoottekst"/>
      </w:pPr>
      <w:r>
        <w:rPr>
          <w:rStyle w:val="Voetnootmarkering"/>
        </w:rPr>
        <w:footnoteRef/>
      </w:r>
      <w:r>
        <w:t xml:space="preserve"> </w:t>
      </w:r>
      <w:hyperlink r:id="rId1" w:anchor=":~:text=Scholen%20en%20gemeenten%20bieden%20hiermee,de%20contactgemeenten%20van%20de%20Doorstroompuntregio%27s." w:history="1">
        <w:r w:rsidRPr="009032F0">
          <w:rPr>
            <w:rStyle w:val="Hyperlink"/>
            <w:color w:val="auto"/>
          </w:rPr>
          <w:t>Overheid.nl | Consultatie Besluit van school naar duurzaam werk</w:t>
        </w:r>
      </w:hyperlink>
      <w:r w:rsidRPr="009032F0">
        <w:t>.</w:t>
      </w:r>
    </w:p>
  </w:footnote>
  <w:footnote w:id="10">
    <w:p w14:paraId="50C2CAA3" w14:textId="76A7762F" w:rsidR="002879DF" w:rsidRDefault="002879DF">
      <w:pPr>
        <w:pStyle w:val="Voetnoottekst"/>
      </w:pPr>
      <w:r>
        <w:rPr>
          <w:rStyle w:val="Voetnootmarkering"/>
        </w:rPr>
        <w:footnoteRef/>
      </w:r>
      <w:r>
        <w:t xml:space="preserve"> </w:t>
      </w:r>
      <w:r w:rsidRPr="00A122C3">
        <w:rPr>
          <w:sz w:val="14"/>
          <w:szCs w:val="14"/>
        </w:rPr>
        <w:t>Tweede Kamer, vergaderjaar 202</w:t>
      </w:r>
      <w:r>
        <w:rPr>
          <w:sz w:val="14"/>
          <w:szCs w:val="14"/>
        </w:rPr>
        <w:t>3</w:t>
      </w:r>
      <w:r w:rsidRPr="00A122C3">
        <w:rPr>
          <w:sz w:val="14"/>
          <w:szCs w:val="14"/>
        </w:rPr>
        <w:t>-202</w:t>
      </w:r>
      <w:r>
        <w:rPr>
          <w:sz w:val="14"/>
          <w:szCs w:val="14"/>
        </w:rPr>
        <w:t>4</w:t>
      </w:r>
      <w:r w:rsidRPr="00A122C3">
        <w:rPr>
          <w:sz w:val="14"/>
          <w:szCs w:val="14"/>
        </w:rPr>
        <w:t>,</w:t>
      </w:r>
      <w:r>
        <w:rPr>
          <w:sz w:val="14"/>
          <w:szCs w:val="14"/>
        </w:rPr>
        <w:t xml:space="preserve"> 31293, nr. 738</w:t>
      </w:r>
    </w:p>
  </w:footnote>
  <w:footnote w:id="11">
    <w:p w14:paraId="51701DCC" w14:textId="5E5CF263" w:rsidR="005B14EC" w:rsidRPr="00691B62" w:rsidRDefault="005B14EC" w:rsidP="005B14EC">
      <w:pPr>
        <w:pStyle w:val="Voetnoottekst"/>
        <w:rPr>
          <w:sz w:val="14"/>
          <w:szCs w:val="14"/>
        </w:rPr>
      </w:pPr>
      <w:r>
        <w:rPr>
          <w:rStyle w:val="Voetnootmarkering"/>
        </w:rPr>
        <w:footnoteRef/>
      </w:r>
      <w:r>
        <w:t xml:space="preserve"> </w:t>
      </w:r>
      <w:r w:rsidRPr="00691B62">
        <w:rPr>
          <w:sz w:val="14"/>
          <w:szCs w:val="14"/>
        </w:rPr>
        <w:t>In het po werd al langer een termijn van vier jaar gehanteerd</w:t>
      </w:r>
      <w:r w:rsidR="007176B8">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027F7" w14:paraId="1CDF8FB1" w14:textId="77777777" w:rsidTr="006D2D53">
      <w:trPr>
        <w:trHeight w:hRule="exact" w:val="400"/>
      </w:trPr>
      <w:tc>
        <w:tcPr>
          <w:tcW w:w="7518" w:type="dxa"/>
          <w:shd w:val="clear" w:color="auto" w:fill="auto"/>
        </w:tcPr>
        <w:p w14:paraId="52763BC3" w14:textId="77777777" w:rsidR="00527BD4" w:rsidRPr="00275984" w:rsidRDefault="00527BD4" w:rsidP="00BF4427">
          <w:pPr>
            <w:pStyle w:val="Huisstijl-Rubricering"/>
          </w:pPr>
        </w:p>
      </w:tc>
    </w:tr>
  </w:tbl>
  <w:p w14:paraId="479849B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027F7" w14:paraId="770349EA" w14:textId="77777777" w:rsidTr="003B528D">
      <w:tc>
        <w:tcPr>
          <w:tcW w:w="2160" w:type="dxa"/>
          <w:shd w:val="clear" w:color="auto" w:fill="auto"/>
        </w:tcPr>
        <w:p w14:paraId="0419B9E2" w14:textId="77777777" w:rsidR="002F71BB" w:rsidRDefault="00BE2028" w:rsidP="005D283A">
          <w:pPr>
            <w:pStyle w:val="Colofonkop"/>
            <w:framePr w:hSpace="0" w:wrap="auto" w:vAnchor="margin" w:hAnchor="text" w:xAlign="left" w:yAlign="inline"/>
          </w:pPr>
          <w:r>
            <w:t>Onze referentie</w:t>
          </w:r>
        </w:p>
        <w:p w14:paraId="38502E0C" w14:textId="59389738" w:rsidR="00385B95" w:rsidRPr="00385B95" w:rsidRDefault="00385B95" w:rsidP="005D283A">
          <w:pPr>
            <w:pStyle w:val="Colofonkop"/>
            <w:framePr w:hSpace="0" w:wrap="auto" w:vAnchor="margin" w:hAnchor="text" w:xAlign="left" w:yAlign="inline"/>
            <w:rPr>
              <w:b w:val="0"/>
              <w:bCs/>
            </w:rPr>
          </w:pPr>
          <w:r w:rsidRPr="00385B95">
            <w:rPr>
              <w:b w:val="0"/>
              <w:bCs/>
            </w:rPr>
            <w:t>52104501</w:t>
          </w:r>
        </w:p>
      </w:tc>
    </w:tr>
    <w:tr w:rsidR="002027F7" w14:paraId="7079AABE" w14:textId="77777777" w:rsidTr="002F71BB">
      <w:trPr>
        <w:trHeight w:val="259"/>
      </w:trPr>
      <w:tc>
        <w:tcPr>
          <w:tcW w:w="2160" w:type="dxa"/>
          <w:shd w:val="clear" w:color="auto" w:fill="auto"/>
        </w:tcPr>
        <w:p w14:paraId="543781C1" w14:textId="77777777" w:rsidR="00E35CF4" w:rsidRPr="005D283A" w:rsidRDefault="00E35CF4" w:rsidP="0049501A">
          <w:pPr>
            <w:spacing w:line="180" w:lineRule="exact"/>
            <w:rPr>
              <w:sz w:val="13"/>
              <w:szCs w:val="13"/>
            </w:rPr>
          </w:pPr>
        </w:p>
      </w:tc>
    </w:tr>
  </w:tbl>
  <w:p w14:paraId="06982ED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027F7" w14:paraId="75CFCBC3" w14:textId="77777777" w:rsidTr="001377D4">
      <w:trPr>
        <w:trHeight w:val="2636"/>
      </w:trPr>
      <w:tc>
        <w:tcPr>
          <w:tcW w:w="737" w:type="dxa"/>
          <w:shd w:val="clear" w:color="auto" w:fill="auto"/>
        </w:tcPr>
        <w:p w14:paraId="3BFBB5E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27F5C4E" w14:textId="77777777" w:rsidR="00704845" w:rsidRDefault="00BE2028" w:rsidP="0047126E">
          <w:pPr>
            <w:framePr w:w="3873" w:h="2625" w:hRule="exact" w:wrap="around" w:vAnchor="page" w:hAnchor="page" w:x="6323" w:y="1"/>
          </w:pPr>
          <w:r>
            <w:rPr>
              <w:noProof/>
              <w:lang w:val="en-US" w:eastAsia="en-US"/>
            </w:rPr>
            <w:drawing>
              <wp:inline distT="0" distB="0" distL="0" distR="0" wp14:anchorId="4D684E22" wp14:editId="358A3DE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B04E4F1" w14:textId="77777777" w:rsidR="00483ECA" w:rsidRDefault="00483ECA" w:rsidP="00D037A9"/>
      </w:tc>
    </w:tr>
  </w:tbl>
  <w:p w14:paraId="3FC8EC5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027F7" w14:paraId="5E0EC570" w14:textId="77777777" w:rsidTr="0008539E">
      <w:trPr>
        <w:trHeight w:hRule="exact" w:val="572"/>
      </w:trPr>
      <w:tc>
        <w:tcPr>
          <w:tcW w:w="7520" w:type="dxa"/>
          <w:shd w:val="clear" w:color="auto" w:fill="auto"/>
        </w:tcPr>
        <w:p w14:paraId="1A2023EC" w14:textId="77777777" w:rsidR="00527BD4" w:rsidRPr="00963440" w:rsidRDefault="00BE2028" w:rsidP="00210BA3">
          <w:pPr>
            <w:pStyle w:val="Huisstijl-Adres"/>
            <w:spacing w:after="0"/>
          </w:pPr>
          <w:r w:rsidRPr="009E3B07">
            <w:t>&gt;Retouradres </w:t>
          </w:r>
          <w:r>
            <w:t>Postbus 16375 2500 BJ Den Haag</w:t>
          </w:r>
          <w:r w:rsidRPr="009E3B07">
            <w:t xml:space="preserve"> </w:t>
          </w:r>
        </w:p>
      </w:tc>
    </w:tr>
    <w:tr w:rsidR="002027F7" w14:paraId="175C4F52" w14:textId="77777777" w:rsidTr="00E776C6">
      <w:trPr>
        <w:cantSplit/>
        <w:trHeight w:hRule="exact" w:val="238"/>
      </w:trPr>
      <w:tc>
        <w:tcPr>
          <w:tcW w:w="7520" w:type="dxa"/>
          <w:shd w:val="clear" w:color="auto" w:fill="auto"/>
        </w:tcPr>
        <w:p w14:paraId="77B93612" w14:textId="77777777" w:rsidR="00093ABC" w:rsidRPr="00963440" w:rsidRDefault="00093ABC" w:rsidP="00963440"/>
      </w:tc>
    </w:tr>
    <w:tr w:rsidR="002027F7" w14:paraId="19745C22" w14:textId="77777777" w:rsidTr="00E776C6">
      <w:trPr>
        <w:cantSplit/>
        <w:trHeight w:hRule="exact" w:val="1520"/>
      </w:trPr>
      <w:tc>
        <w:tcPr>
          <w:tcW w:w="7520" w:type="dxa"/>
          <w:shd w:val="clear" w:color="auto" w:fill="auto"/>
        </w:tcPr>
        <w:p w14:paraId="4B5BBD27" w14:textId="77777777" w:rsidR="00A604D3" w:rsidRPr="00963440" w:rsidRDefault="00A604D3" w:rsidP="00963440"/>
      </w:tc>
    </w:tr>
    <w:tr w:rsidR="002027F7" w14:paraId="1FFEAFCE" w14:textId="77777777" w:rsidTr="00E776C6">
      <w:trPr>
        <w:trHeight w:hRule="exact" w:val="1077"/>
      </w:trPr>
      <w:tc>
        <w:tcPr>
          <w:tcW w:w="7520" w:type="dxa"/>
          <w:shd w:val="clear" w:color="auto" w:fill="auto"/>
        </w:tcPr>
        <w:p w14:paraId="1FFF4B76" w14:textId="77777777" w:rsidR="00892BA5" w:rsidRPr="00035E67" w:rsidRDefault="00892BA5" w:rsidP="00892BA5">
          <w:pPr>
            <w:tabs>
              <w:tab w:val="left" w:pos="740"/>
            </w:tabs>
            <w:autoSpaceDE w:val="0"/>
            <w:autoSpaceDN w:val="0"/>
            <w:adjustRightInd w:val="0"/>
            <w:rPr>
              <w:rFonts w:cs="Verdana"/>
              <w:szCs w:val="18"/>
            </w:rPr>
          </w:pPr>
        </w:p>
      </w:tc>
    </w:tr>
  </w:tbl>
  <w:p w14:paraId="08AB45AF" w14:textId="77777777" w:rsidR="006F273B" w:rsidRDefault="006F273B" w:rsidP="00BC4AE3">
    <w:pPr>
      <w:pStyle w:val="Koptekst"/>
    </w:pPr>
  </w:p>
  <w:p w14:paraId="2D9D07DE" w14:textId="77777777" w:rsidR="00153BD0" w:rsidRDefault="00153BD0" w:rsidP="00BC4AE3">
    <w:pPr>
      <w:pStyle w:val="Koptekst"/>
    </w:pPr>
  </w:p>
  <w:p w14:paraId="7C439973" w14:textId="77777777" w:rsidR="0044605E" w:rsidRDefault="0044605E" w:rsidP="00BC4AE3">
    <w:pPr>
      <w:pStyle w:val="Koptekst"/>
    </w:pPr>
  </w:p>
  <w:p w14:paraId="4862CDC2" w14:textId="77777777" w:rsidR="0044605E" w:rsidRDefault="0044605E" w:rsidP="00BC4AE3">
    <w:pPr>
      <w:pStyle w:val="Koptekst"/>
    </w:pPr>
  </w:p>
  <w:p w14:paraId="117C646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BB45E48">
      <w:start w:val="1"/>
      <w:numFmt w:val="bullet"/>
      <w:pStyle w:val="Lijstopsomteken"/>
      <w:lvlText w:val="•"/>
      <w:lvlJc w:val="left"/>
      <w:pPr>
        <w:tabs>
          <w:tab w:val="num" w:pos="227"/>
        </w:tabs>
        <w:ind w:left="227" w:hanging="227"/>
      </w:pPr>
      <w:rPr>
        <w:rFonts w:ascii="Verdana" w:hAnsi="Verdana" w:hint="default"/>
        <w:sz w:val="18"/>
        <w:szCs w:val="18"/>
      </w:rPr>
    </w:lvl>
    <w:lvl w:ilvl="1" w:tplc="4476ECD4" w:tentative="1">
      <w:start w:val="1"/>
      <w:numFmt w:val="bullet"/>
      <w:lvlText w:val="o"/>
      <w:lvlJc w:val="left"/>
      <w:pPr>
        <w:tabs>
          <w:tab w:val="num" w:pos="1440"/>
        </w:tabs>
        <w:ind w:left="1440" w:hanging="360"/>
      </w:pPr>
      <w:rPr>
        <w:rFonts w:ascii="Courier New" w:hAnsi="Courier New" w:cs="Courier New" w:hint="default"/>
      </w:rPr>
    </w:lvl>
    <w:lvl w:ilvl="2" w:tplc="22C8CA82" w:tentative="1">
      <w:start w:val="1"/>
      <w:numFmt w:val="bullet"/>
      <w:lvlText w:val=""/>
      <w:lvlJc w:val="left"/>
      <w:pPr>
        <w:tabs>
          <w:tab w:val="num" w:pos="2160"/>
        </w:tabs>
        <w:ind w:left="2160" w:hanging="360"/>
      </w:pPr>
      <w:rPr>
        <w:rFonts w:ascii="Wingdings" w:hAnsi="Wingdings" w:hint="default"/>
      </w:rPr>
    </w:lvl>
    <w:lvl w:ilvl="3" w:tplc="786C65D4" w:tentative="1">
      <w:start w:val="1"/>
      <w:numFmt w:val="bullet"/>
      <w:lvlText w:val=""/>
      <w:lvlJc w:val="left"/>
      <w:pPr>
        <w:tabs>
          <w:tab w:val="num" w:pos="2880"/>
        </w:tabs>
        <w:ind w:left="2880" w:hanging="360"/>
      </w:pPr>
      <w:rPr>
        <w:rFonts w:ascii="Symbol" w:hAnsi="Symbol" w:hint="default"/>
      </w:rPr>
    </w:lvl>
    <w:lvl w:ilvl="4" w:tplc="D312F34C" w:tentative="1">
      <w:start w:val="1"/>
      <w:numFmt w:val="bullet"/>
      <w:lvlText w:val="o"/>
      <w:lvlJc w:val="left"/>
      <w:pPr>
        <w:tabs>
          <w:tab w:val="num" w:pos="3600"/>
        </w:tabs>
        <w:ind w:left="3600" w:hanging="360"/>
      </w:pPr>
      <w:rPr>
        <w:rFonts w:ascii="Courier New" w:hAnsi="Courier New" w:cs="Courier New" w:hint="default"/>
      </w:rPr>
    </w:lvl>
    <w:lvl w:ilvl="5" w:tplc="7506E878" w:tentative="1">
      <w:start w:val="1"/>
      <w:numFmt w:val="bullet"/>
      <w:lvlText w:val=""/>
      <w:lvlJc w:val="left"/>
      <w:pPr>
        <w:tabs>
          <w:tab w:val="num" w:pos="4320"/>
        </w:tabs>
        <w:ind w:left="4320" w:hanging="360"/>
      </w:pPr>
      <w:rPr>
        <w:rFonts w:ascii="Wingdings" w:hAnsi="Wingdings" w:hint="default"/>
      </w:rPr>
    </w:lvl>
    <w:lvl w:ilvl="6" w:tplc="0018FDA6" w:tentative="1">
      <w:start w:val="1"/>
      <w:numFmt w:val="bullet"/>
      <w:lvlText w:val=""/>
      <w:lvlJc w:val="left"/>
      <w:pPr>
        <w:tabs>
          <w:tab w:val="num" w:pos="5040"/>
        </w:tabs>
        <w:ind w:left="5040" w:hanging="360"/>
      </w:pPr>
      <w:rPr>
        <w:rFonts w:ascii="Symbol" w:hAnsi="Symbol" w:hint="default"/>
      </w:rPr>
    </w:lvl>
    <w:lvl w:ilvl="7" w:tplc="9034B016" w:tentative="1">
      <w:start w:val="1"/>
      <w:numFmt w:val="bullet"/>
      <w:lvlText w:val="o"/>
      <w:lvlJc w:val="left"/>
      <w:pPr>
        <w:tabs>
          <w:tab w:val="num" w:pos="5760"/>
        </w:tabs>
        <w:ind w:left="5760" w:hanging="360"/>
      </w:pPr>
      <w:rPr>
        <w:rFonts w:ascii="Courier New" w:hAnsi="Courier New" w:cs="Courier New" w:hint="default"/>
      </w:rPr>
    </w:lvl>
    <w:lvl w:ilvl="8" w:tplc="C30C37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D9803C0">
      <w:start w:val="1"/>
      <w:numFmt w:val="bullet"/>
      <w:pStyle w:val="Lijstopsomteken2"/>
      <w:lvlText w:val="–"/>
      <w:lvlJc w:val="left"/>
      <w:pPr>
        <w:tabs>
          <w:tab w:val="num" w:pos="227"/>
        </w:tabs>
        <w:ind w:left="227" w:firstLine="0"/>
      </w:pPr>
      <w:rPr>
        <w:rFonts w:ascii="Verdana" w:hAnsi="Verdana" w:hint="default"/>
      </w:rPr>
    </w:lvl>
    <w:lvl w:ilvl="1" w:tplc="4CDE4048" w:tentative="1">
      <w:start w:val="1"/>
      <w:numFmt w:val="bullet"/>
      <w:lvlText w:val="o"/>
      <w:lvlJc w:val="left"/>
      <w:pPr>
        <w:tabs>
          <w:tab w:val="num" w:pos="1440"/>
        </w:tabs>
        <w:ind w:left="1440" w:hanging="360"/>
      </w:pPr>
      <w:rPr>
        <w:rFonts w:ascii="Courier New" w:hAnsi="Courier New" w:cs="Courier New" w:hint="default"/>
      </w:rPr>
    </w:lvl>
    <w:lvl w:ilvl="2" w:tplc="5838CDB6" w:tentative="1">
      <w:start w:val="1"/>
      <w:numFmt w:val="bullet"/>
      <w:lvlText w:val=""/>
      <w:lvlJc w:val="left"/>
      <w:pPr>
        <w:tabs>
          <w:tab w:val="num" w:pos="2160"/>
        </w:tabs>
        <w:ind w:left="2160" w:hanging="360"/>
      </w:pPr>
      <w:rPr>
        <w:rFonts w:ascii="Wingdings" w:hAnsi="Wingdings" w:hint="default"/>
      </w:rPr>
    </w:lvl>
    <w:lvl w:ilvl="3" w:tplc="3A6A5354" w:tentative="1">
      <w:start w:val="1"/>
      <w:numFmt w:val="bullet"/>
      <w:lvlText w:val=""/>
      <w:lvlJc w:val="left"/>
      <w:pPr>
        <w:tabs>
          <w:tab w:val="num" w:pos="2880"/>
        </w:tabs>
        <w:ind w:left="2880" w:hanging="360"/>
      </w:pPr>
      <w:rPr>
        <w:rFonts w:ascii="Symbol" w:hAnsi="Symbol" w:hint="default"/>
      </w:rPr>
    </w:lvl>
    <w:lvl w:ilvl="4" w:tplc="1E4C9DA2" w:tentative="1">
      <w:start w:val="1"/>
      <w:numFmt w:val="bullet"/>
      <w:lvlText w:val="o"/>
      <w:lvlJc w:val="left"/>
      <w:pPr>
        <w:tabs>
          <w:tab w:val="num" w:pos="3600"/>
        </w:tabs>
        <w:ind w:left="3600" w:hanging="360"/>
      </w:pPr>
      <w:rPr>
        <w:rFonts w:ascii="Courier New" w:hAnsi="Courier New" w:cs="Courier New" w:hint="default"/>
      </w:rPr>
    </w:lvl>
    <w:lvl w:ilvl="5" w:tplc="FEF242BC" w:tentative="1">
      <w:start w:val="1"/>
      <w:numFmt w:val="bullet"/>
      <w:lvlText w:val=""/>
      <w:lvlJc w:val="left"/>
      <w:pPr>
        <w:tabs>
          <w:tab w:val="num" w:pos="4320"/>
        </w:tabs>
        <w:ind w:left="4320" w:hanging="360"/>
      </w:pPr>
      <w:rPr>
        <w:rFonts w:ascii="Wingdings" w:hAnsi="Wingdings" w:hint="default"/>
      </w:rPr>
    </w:lvl>
    <w:lvl w:ilvl="6" w:tplc="90C68E96" w:tentative="1">
      <w:start w:val="1"/>
      <w:numFmt w:val="bullet"/>
      <w:lvlText w:val=""/>
      <w:lvlJc w:val="left"/>
      <w:pPr>
        <w:tabs>
          <w:tab w:val="num" w:pos="5040"/>
        </w:tabs>
        <w:ind w:left="5040" w:hanging="360"/>
      </w:pPr>
      <w:rPr>
        <w:rFonts w:ascii="Symbol" w:hAnsi="Symbol" w:hint="default"/>
      </w:rPr>
    </w:lvl>
    <w:lvl w:ilvl="7" w:tplc="B674F7D4" w:tentative="1">
      <w:start w:val="1"/>
      <w:numFmt w:val="bullet"/>
      <w:lvlText w:val="o"/>
      <w:lvlJc w:val="left"/>
      <w:pPr>
        <w:tabs>
          <w:tab w:val="num" w:pos="5760"/>
        </w:tabs>
        <w:ind w:left="5760" w:hanging="360"/>
      </w:pPr>
      <w:rPr>
        <w:rFonts w:ascii="Courier New" w:hAnsi="Courier New" w:cs="Courier New" w:hint="default"/>
      </w:rPr>
    </w:lvl>
    <w:lvl w:ilvl="8" w:tplc="097894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25835490">
    <w:abstractNumId w:val="10"/>
  </w:num>
  <w:num w:numId="2" w16cid:durableId="1714496287">
    <w:abstractNumId w:val="7"/>
  </w:num>
  <w:num w:numId="3" w16cid:durableId="1629432825">
    <w:abstractNumId w:val="6"/>
  </w:num>
  <w:num w:numId="4" w16cid:durableId="2069063286">
    <w:abstractNumId w:val="5"/>
  </w:num>
  <w:num w:numId="5" w16cid:durableId="868419554">
    <w:abstractNumId w:val="4"/>
  </w:num>
  <w:num w:numId="6" w16cid:durableId="572392067">
    <w:abstractNumId w:val="8"/>
  </w:num>
  <w:num w:numId="7" w16cid:durableId="126048776">
    <w:abstractNumId w:val="3"/>
  </w:num>
  <w:num w:numId="8" w16cid:durableId="1558783368">
    <w:abstractNumId w:val="2"/>
  </w:num>
  <w:num w:numId="9" w16cid:durableId="576862228">
    <w:abstractNumId w:val="1"/>
  </w:num>
  <w:num w:numId="10" w16cid:durableId="988554537">
    <w:abstractNumId w:val="0"/>
  </w:num>
  <w:num w:numId="11" w16cid:durableId="1104962119">
    <w:abstractNumId w:val="9"/>
  </w:num>
  <w:num w:numId="12" w16cid:durableId="1565290988">
    <w:abstractNumId w:val="11"/>
  </w:num>
  <w:num w:numId="13" w16cid:durableId="366570807">
    <w:abstractNumId w:val="13"/>
  </w:num>
  <w:num w:numId="14" w16cid:durableId="15176892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EB8"/>
    <w:rsid w:val="0005404B"/>
    <w:rsid w:val="0005447D"/>
    <w:rsid w:val="000546DE"/>
    <w:rsid w:val="0006024D"/>
    <w:rsid w:val="00062055"/>
    <w:rsid w:val="00065462"/>
    <w:rsid w:val="00071F28"/>
    <w:rsid w:val="00074079"/>
    <w:rsid w:val="000765B6"/>
    <w:rsid w:val="0008289C"/>
    <w:rsid w:val="0008539E"/>
    <w:rsid w:val="0009012F"/>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4FE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058FF"/>
    <w:rsid w:val="00112215"/>
    <w:rsid w:val="00116A32"/>
    <w:rsid w:val="001177B4"/>
    <w:rsid w:val="00122CF9"/>
    <w:rsid w:val="00123704"/>
    <w:rsid w:val="001270C7"/>
    <w:rsid w:val="00132540"/>
    <w:rsid w:val="001346A7"/>
    <w:rsid w:val="001377D4"/>
    <w:rsid w:val="00142E41"/>
    <w:rsid w:val="00145940"/>
    <w:rsid w:val="00145E58"/>
    <w:rsid w:val="0014786A"/>
    <w:rsid w:val="001516A4"/>
    <w:rsid w:val="00151E5F"/>
    <w:rsid w:val="00153BD0"/>
    <w:rsid w:val="001553E2"/>
    <w:rsid w:val="001569AB"/>
    <w:rsid w:val="0016073F"/>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0A52"/>
    <w:rsid w:val="001E0256"/>
    <w:rsid w:val="001E34C6"/>
    <w:rsid w:val="001E5581"/>
    <w:rsid w:val="001F293A"/>
    <w:rsid w:val="001F3C70"/>
    <w:rsid w:val="00200D88"/>
    <w:rsid w:val="00201C09"/>
    <w:rsid w:val="00201F68"/>
    <w:rsid w:val="002027F7"/>
    <w:rsid w:val="00210BA3"/>
    <w:rsid w:val="00212F2A"/>
    <w:rsid w:val="00214F2B"/>
    <w:rsid w:val="00215356"/>
    <w:rsid w:val="00215964"/>
    <w:rsid w:val="00215D8B"/>
    <w:rsid w:val="00217880"/>
    <w:rsid w:val="00222D66"/>
    <w:rsid w:val="0022441A"/>
    <w:rsid w:val="00224A8A"/>
    <w:rsid w:val="002266FD"/>
    <w:rsid w:val="002309A8"/>
    <w:rsid w:val="00236CFE"/>
    <w:rsid w:val="0024026B"/>
    <w:rsid w:val="002428E3"/>
    <w:rsid w:val="0024430A"/>
    <w:rsid w:val="00245FF7"/>
    <w:rsid w:val="00253B65"/>
    <w:rsid w:val="0026060B"/>
    <w:rsid w:val="00260BAF"/>
    <w:rsid w:val="002610A6"/>
    <w:rsid w:val="00263FD6"/>
    <w:rsid w:val="002650F7"/>
    <w:rsid w:val="0026686B"/>
    <w:rsid w:val="002670C0"/>
    <w:rsid w:val="00273F3B"/>
    <w:rsid w:val="00274DB7"/>
    <w:rsid w:val="00275984"/>
    <w:rsid w:val="00276199"/>
    <w:rsid w:val="002768F3"/>
    <w:rsid w:val="00276DA4"/>
    <w:rsid w:val="00280F74"/>
    <w:rsid w:val="00286998"/>
    <w:rsid w:val="002879DF"/>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37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070B"/>
    <w:rsid w:val="00383DA1"/>
    <w:rsid w:val="00385B95"/>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27C8"/>
    <w:rsid w:val="003E3DD5"/>
    <w:rsid w:val="003E757C"/>
    <w:rsid w:val="003F07C6"/>
    <w:rsid w:val="003F1F6B"/>
    <w:rsid w:val="003F334E"/>
    <w:rsid w:val="003F3757"/>
    <w:rsid w:val="003F44B7"/>
    <w:rsid w:val="004008E9"/>
    <w:rsid w:val="00407991"/>
    <w:rsid w:val="0041019E"/>
    <w:rsid w:val="00413D48"/>
    <w:rsid w:val="00414D71"/>
    <w:rsid w:val="00424A60"/>
    <w:rsid w:val="00434042"/>
    <w:rsid w:val="00434500"/>
    <w:rsid w:val="00441AC2"/>
    <w:rsid w:val="0044249B"/>
    <w:rsid w:val="004425A7"/>
    <w:rsid w:val="0044605E"/>
    <w:rsid w:val="0045023C"/>
    <w:rsid w:val="00451A5B"/>
    <w:rsid w:val="00452BCD"/>
    <w:rsid w:val="00452CEA"/>
    <w:rsid w:val="00463A63"/>
    <w:rsid w:val="00465B52"/>
    <w:rsid w:val="00465E4A"/>
    <w:rsid w:val="00465EDB"/>
    <w:rsid w:val="0046708E"/>
    <w:rsid w:val="00467D61"/>
    <w:rsid w:val="0047126E"/>
    <w:rsid w:val="004722BE"/>
    <w:rsid w:val="00472A65"/>
    <w:rsid w:val="00474463"/>
    <w:rsid w:val="00474B75"/>
    <w:rsid w:val="00483ECA"/>
    <w:rsid w:val="00483F0B"/>
    <w:rsid w:val="00491467"/>
    <w:rsid w:val="0049501A"/>
    <w:rsid w:val="00496319"/>
    <w:rsid w:val="00496518"/>
    <w:rsid w:val="0049657E"/>
    <w:rsid w:val="00497279"/>
    <w:rsid w:val="00497F57"/>
    <w:rsid w:val="004A010B"/>
    <w:rsid w:val="004A2896"/>
    <w:rsid w:val="004A3186"/>
    <w:rsid w:val="004A3545"/>
    <w:rsid w:val="004A419C"/>
    <w:rsid w:val="004A670A"/>
    <w:rsid w:val="004B5465"/>
    <w:rsid w:val="004B6487"/>
    <w:rsid w:val="004B70F0"/>
    <w:rsid w:val="004C0035"/>
    <w:rsid w:val="004C1299"/>
    <w:rsid w:val="004C3D2E"/>
    <w:rsid w:val="004C6F39"/>
    <w:rsid w:val="004C7E1D"/>
    <w:rsid w:val="004D065C"/>
    <w:rsid w:val="004D33FE"/>
    <w:rsid w:val="004D39A8"/>
    <w:rsid w:val="004D4703"/>
    <w:rsid w:val="004D505E"/>
    <w:rsid w:val="004D6211"/>
    <w:rsid w:val="004D67E8"/>
    <w:rsid w:val="004D72CA"/>
    <w:rsid w:val="004E2242"/>
    <w:rsid w:val="004E42E7"/>
    <w:rsid w:val="004F0F6D"/>
    <w:rsid w:val="004F2483"/>
    <w:rsid w:val="004F42FF"/>
    <w:rsid w:val="004F44C2"/>
    <w:rsid w:val="004F6579"/>
    <w:rsid w:val="00505262"/>
    <w:rsid w:val="005107B1"/>
    <w:rsid w:val="00516022"/>
    <w:rsid w:val="00521CEE"/>
    <w:rsid w:val="00527BD4"/>
    <w:rsid w:val="00533061"/>
    <w:rsid w:val="00533FA1"/>
    <w:rsid w:val="00534C77"/>
    <w:rsid w:val="00535573"/>
    <w:rsid w:val="005403C8"/>
    <w:rsid w:val="00541AD9"/>
    <w:rsid w:val="005429DC"/>
    <w:rsid w:val="00542CD4"/>
    <w:rsid w:val="005565F9"/>
    <w:rsid w:val="00560E25"/>
    <w:rsid w:val="005639D2"/>
    <w:rsid w:val="00565739"/>
    <w:rsid w:val="00565D76"/>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14EC"/>
    <w:rsid w:val="005B3441"/>
    <w:rsid w:val="005B463E"/>
    <w:rsid w:val="005B4FAC"/>
    <w:rsid w:val="005B5D8B"/>
    <w:rsid w:val="005C34E1"/>
    <w:rsid w:val="005C3FE0"/>
    <w:rsid w:val="005C4C82"/>
    <w:rsid w:val="005C740C"/>
    <w:rsid w:val="005D283A"/>
    <w:rsid w:val="005D625B"/>
    <w:rsid w:val="005E3322"/>
    <w:rsid w:val="005E436C"/>
    <w:rsid w:val="005E64E2"/>
    <w:rsid w:val="005F2F57"/>
    <w:rsid w:val="005F3FC7"/>
    <w:rsid w:val="005F62D3"/>
    <w:rsid w:val="005F6D11"/>
    <w:rsid w:val="00600CF0"/>
    <w:rsid w:val="006048F4"/>
    <w:rsid w:val="0060660A"/>
    <w:rsid w:val="00610A24"/>
    <w:rsid w:val="00613B1D"/>
    <w:rsid w:val="00617311"/>
    <w:rsid w:val="00617A44"/>
    <w:rsid w:val="006202B6"/>
    <w:rsid w:val="006205C0"/>
    <w:rsid w:val="00622F60"/>
    <w:rsid w:val="00623BE8"/>
    <w:rsid w:val="00623CB2"/>
    <w:rsid w:val="00624C9E"/>
    <w:rsid w:val="00625CD0"/>
    <w:rsid w:val="0062627D"/>
    <w:rsid w:val="00627432"/>
    <w:rsid w:val="00635031"/>
    <w:rsid w:val="0064192A"/>
    <w:rsid w:val="00642768"/>
    <w:rsid w:val="006448E4"/>
    <w:rsid w:val="00645414"/>
    <w:rsid w:val="0065244E"/>
    <w:rsid w:val="006534D0"/>
    <w:rsid w:val="00653606"/>
    <w:rsid w:val="0066042D"/>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7122"/>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0C7"/>
    <w:rsid w:val="006D2D53"/>
    <w:rsid w:val="006E3546"/>
    <w:rsid w:val="006E3FA9"/>
    <w:rsid w:val="006E7D82"/>
    <w:rsid w:val="006F038F"/>
    <w:rsid w:val="006F0F93"/>
    <w:rsid w:val="006F273B"/>
    <w:rsid w:val="006F31F2"/>
    <w:rsid w:val="00704845"/>
    <w:rsid w:val="00706AB3"/>
    <w:rsid w:val="007146B1"/>
    <w:rsid w:val="00714DC5"/>
    <w:rsid w:val="00715237"/>
    <w:rsid w:val="007174F4"/>
    <w:rsid w:val="007176B8"/>
    <w:rsid w:val="00721D2E"/>
    <w:rsid w:val="007242CC"/>
    <w:rsid w:val="00724A8B"/>
    <w:rsid w:val="0072522C"/>
    <w:rsid w:val="007254A5"/>
    <w:rsid w:val="00725748"/>
    <w:rsid w:val="00727AAC"/>
    <w:rsid w:val="00735D88"/>
    <w:rsid w:val="0073720D"/>
    <w:rsid w:val="00737507"/>
    <w:rsid w:val="00740712"/>
    <w:rsid w:val="00741309"/>
    <w:rsid w:val="00742AB9"/>
    <w:rsid w:val="00745AE0"/>
    <w:rsid w:val="00751A6A"/>
    <w:rsid w:val="00754AD6"/>
    <w:rsid w:val="00754FBF"/>
    <w:rsid w:val="00755D2F"/>
    <w:rsid w:val="00760D9B"/>
    <w:rsid w:val="007615AC"/>
    <w:rsid w:val="007618E0"/>
    <w:rsid w:val="00764585"/>
    <w:rsid w:val="00767FEF"/>
    <w:rsid w:val="007709EF"/>
    <w:rsid w:val="00783559"/>
    <w:rsid w:val="007846ED"/>
    <w:rsid w:val="007851C4"/>
    <w:rsid w:val="00785C3B"/>
    <w:rsid w:val="00797AA5"/>
    <w:rsid w:val="007A26BD"/>
    <w:rsid w:val="007A4105"/>
    <w:rsid w:val="007A4F0E"/>
    <w:rsid w:val="007A514C"/>
    <w:rsid w:val="007B0D8E"/>
    <w:rsid w:val="007B2133"/>
    <w:rsid w:val="007B4503"/>
    <w:rsid w:val="007C03C9"/>
    <w:rsid w:val="007C16D8"/>
    <w:rsid w:val="007C406E"/>
    <w:rsid w:val="007C5183"/>
    <w:rsid w:val="007C7573"/>
    <w:rsid w:val="007D64BB"/>
    <w:rsid w:val="007E14E4"/>
    <w:rsid w:val="007E2B20"/>
    <w:rsid w:val="007F5331"/>
    <w:rsid w:val="00800CCA"/>
    <w:rsid w:val="008020F2"/>
    <w:rsid w:val="00806120"/>
    <w:rsid w:val="00806962"/>
    <w:rsid w:val="00810AEF"/>
    <w:rsid w:val="00810C93"/>
    <w:rsid w:val="00812028"/>
    <w:rsid w:val="00812DD8"/>
    <w:rsid w:val="00813082"/>
    <w:rsid w:val="00813527"/>
    <w:rsid w:val="00814120"/>
    <w:rsid w:val="00814D03"/>
    <w:rsid w:val="00815C7E"/>
    <w:rsid w:val="00820DDA"/>
    <w:rsid w:val="00821114"/>
    <w:rsid w:val="008211EF"/>
    <w:rsid w:val="00821584"/>
    <w:rsid w:val="00821FC1"/>
    <w:rsid w:val="0082323D"/>
    <w:rsid w:val="008267CC"/>
    <w:rsid w:val="0083178B"/>
    <w:rsid w:val="00833695"/>
    <w:rsid w:val="008336B7"/>
    <w:rsid w:val="00833A8E"/>
    <w:rsid w:val="008356CD"/>
    <w:rsid w:val="0084255A"/>
    <w:rsid w:val="00842CD8"/>
    <w:rsid w:val="008431FA"/>
    <w:rsid w:val="008547BA"/>
    <w:rsid w:val="008553C7"/>
    <w:rsid w:val="00857FEB"/>
    <w:rsid w:val="008601AF"/>
    <w:rsid w:val="00872271"/>
    <w:rsid w:val="008731F6"/>
    <w:rsid w:val="00874982"/>
    <w:rsid w:val="008762B6"/>
    <w:rsid w:val="00882571"/>
    <w:rsid w:val="00883137"/>
    <w:rsid w:val="00892BA5"/>
    <w:rsid w:val="008A08AC"/>
    <w:rsid w:val="008A1F5D"/>
    <w:rsid w:val="008A28F5"/>
    <w:rsid w:val="008A2E2A"/>
    <w:rsid w:val="008B0E6F"/>
    <w:rsid w:val="008B1198"/>
    <w:rsid w:val="008B2349"/>
    <w:rsid w:val="008B3471"/>
    <w:rsid w:val="008B3929"/>
    <w:rsid w:val="008B3BAB"/>
    <w:rsid w:val="008B4125"/>
    <w:rsid w:val="008B4CB3"/>
    <w:rsid w:val="008B567B"/>
    <w:rsid w:val="008B7B24"/>
    <w:rsid w:val="008C356D"/>
    <w:rsid w:val="008D1583"/>
    <w:rsid w:val="008D22F2"/>
    <w:rsid w:val="008E0152"/>
    <w:rsid w:val="008E0B3F"/>
    <w:rsid w:val="008E1341"/>
    <w:rsid w:val="008E3932"/>
    <w:rsid w:val="008E49AD"/>
    <w:rsid w:val="008E698E"/>
    <w:rsid w:val="008F123F"/>
    <w:rsid w:val="008F2584"/>
    <w:rsid w:val="008F3246"/>
    <w:rsid w:val="008F3C1B"/>
    <w:rsid w:val="008F508C"/>
    <w:rsid w:val="009015C7"/>
    <w:rsid w:val="0090271B"/>
    <w:rsid w:val="009032F0"/>
    <w:rsid w:val="00910642"/>
    <w:rsid w:val="00910DDF"/>
    <w:rsid w:val="00914A17"/>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7D"/>
    <w:rsid w:val="009716D8"/>
    <w:rsid w:val="009718F9"/>
    <w:rsid w:val="009724E4"/>
    <w:rsid w:val="00972FB9"/>
    <w:rsid w:val="00975112"/>
    <w:rsid w:val="009812EB"/>
    <w:rsid w:val="00981768"/>
    <w:rsid w:val="00982F24"/>
    <w:rsid w:val="009838BB"/>
    <w:rsid w:val="00983E8F"/>
    <w:rsid w:val="009849BB"/>
    <w:rsid w:val="00992338"/>
    <w:rsid w:val="00994FDA"/>
    <w:rsid w:val="00997D15"/>
    <w:rsid w:val="009A31BF"/>
    <w:rsid w:val="009A3B71"/>
    <w:rsid w:val="009A5914"/>
    <w:rsid w:val="009A61BC"/>
    <w:rsid w:val="009B0138"/>
    <w:rsid w:val="009B0FE9"/>
    <w:rsid w:val="009B13CB"/>
    <w:rsid w:val="009B173A"/>
    <w:rsid w:val="009B5846"/>
    <w:rsid w:val="009B601B"/>
    <w:rsid w:val="009C3F20"/>
    <w:rsid w:val="009C503E"/>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5EFB"/>
    <w:rsid w:val="00A56850"/>
    <w:rsid w:val="00A56946"/>
    <w:rsid w:val="00A604D3"/>
    <w:rsid w:val="00A60B58"/>
    <w:rsid w:val="00A6170E"/>
    <w:rsid w:val="00A63B8C"/>
    <w:rsid w:val="00A64974"/>
    <w:rsid w:val="00A66F1A"/>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4B28"/>
    <w:rsid w:val="00AB50E6"/>
    <w:rsid w:val="00AB5933"/>
    <w:rsid w:val="00AD2861"/>
    <w:rsid w:val="00AD34B3"/>
    <w:rsid w:val="00AD5B44"/>
    <w:rsid w:val="00AD64C6"/>
    <w:rsid w:val="00AD7608"/>
    <w:rsid w:val="00AD7B52"/>
    <w:rsid w:val="00AD7BD8"/>
    <w:rsid w:val="00AE013D"/>
    <w:rsid w:val="00AE11B7"/>
    <w:rsid w:val="00AE18BA"/>
    <w:rsid w:val="00AE7130"/>
    <w:rsid w:val="00AE7F68"/>
    <w:rsid w:val="00AF2321"/>
    <w:rsid w:val="00AF333F"/>
    <w:rsid w:val="00AF4776"/>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2AF3"/>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7F3C"/>
    <w:rsid w:val="00BA2753"/>
    <w:rsid w:val="00BA439D"/>
    <w:rsid w:val="00BA5DEE"/>
    <w:rsid w:val="00BA7E0A"/>
    <w:rsid w:val="00BB61B0"/>
    <w:rsid w:val="00BC0D9E"/>
    <w:rsid w:val="00BC3B53"/>
    <w:rsid w:val="00BC3B96"/>
    <w:rsid w:val="00BC4AE3"/>
    <w:rsid w:val="00BC5B28"/>
    <w:rsid w:val="00BC7264"/>
    <w:rsid w:val="00BD34C2"/>
    <w:rsid w:val="00BD5660"/>
    <w:rsid w:val="00BE17D4"/>
    <w:rsid w:val="00BE2028"/>
    <w:rsid w:val="00BE2863"/>
    <w:rsid w:val="00BE3F88"/>
    <w:rsid w:val="00BE4756"/>
    <w:rsid w:val="00BE5ED9"/>
    <w:rsid w:val="00BE5F86"/>
    <w:rsid w:val="00BE72DC"/>
    <w:rsid w:val="00BE7B41"/>
    <w:rsid w:val="00BF3CCD"/>
    <w:rsid w:val="00BF4427"/>
    <w:rsid w:val="00BF46B6"/>
    <w:rsid w:val="00BF5675"/>
    <w:rsid w:val="00C06776"/>
    <w:rsid w:val="00C15A91"/>
    <w:rsid w:val="00C206F1"/>
    <w:rsid w:val="00C2159D"/>
    <w:rsid w:val="00C217E1"/>
    <w:rsid w:val="00C219B1"/>
    <w:rsid w:val="00C231E2"/>
    <w:rsid w:val="00C258C7"/>
    <w:rsid w:val="00C2703D"/>
    <w:rsid w:val="00C352B6"/>
    <w:rsid w:val="00C37EB0"/>
    <w:rsid w:val="00C4015B"/>
    <w:rsid w:val="00C4044E"/>
    <w:rsid w:val="00C40C60"/>
    <w:rsid w:val="00C40E51"/>
    <w:rsid w:val="00C41062"/>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1E7"/>
    <w:rsid w:val="00CA1D00"/>
    <w:rsid w:val="00CA35E4"/>
    <w:rsid w:val="00CA47D3"/>
    <w:rsid w:val="00CA5D9B"/>
    <w:rsid w:val="00CA6533"/>
    <w:rsid w:val="00CA6A25"/>
    <w:rsid w:val="00CA6A3F"/>
    <w:rsid w:val="00CA7C99"/>
    <w:rsid w:val="00CC15DE"/>
    <w:rsid w:val="00CC5AB7"/>
    <w:rsid w:val="00CC6290"/>
    <w:rsid w:val="00CD233D"/>
    <w:rsid w:val="00CD362D"/>
    <w:rsid w:val="00CE101D"/>
    <w:rsid w:val="00CE1C84"/>
    <w:rsid w:val="00CE4E63"/>
    <w:rsid w:val="00CE5055"/>
    <w:rsid w:val="00CE6426"/>
    <w:rsid w:val="00CF053F"/>
    <w:rsid w:val="00CF1A17"/>
    <w:rsid w:val="00D0140D"/>
    <w:rsid w:val="00D01C92"/>
    <w:rsid w:val="00D030AB"/>
    <w:rsid w:val="00D03698"/>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55374"/>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01C1"/>
    <w:rsid w:val="00D93170"/>
    <w:rsid w:val="00D9561B"/>
    <w:rsid w:val="00D95C88"/>
    <w:rsid w:val="00D9790D"/>
    <w:rsid w:val="00D97B2E"/>
    <w:rsid w:val="00DA1BA1"/>
    <w:rsid w:val="00DA241E"/>
    <w:rsid w:val="00DA3930"/>
    <w:rsid w:val="00DA3C68"/>
    <w:rsid w:val="00DA51B5"/>
    <w:rsid w:val="00DB36FE"/>
    <w:rsid w:val="00DB38E3"/>
    <w:rsid w:val="00DB533A"/>
    <w:rsid w:val="00DB6307"/>
    <w:rsid w:val="00DC18F3"/>
    <w:rsid w:val="00DC2443"/>
    <w:rsid w:val="00DC691C"/>
    <w:rsid w:val="00DD1DCD"/>
    <w:rsid w:val="00DD338F"/>
    <w:rsid w:val="00DD3404"/>
    <w:rsid w:val="00DD66F2"/>
    <w:rsid w:val="00DE06CA"/>
    <w:rsid w:val="00DE1EB5"/>
    <w:rsid w:val="00DE3FE0"/>
    <w:rsid w:val="00DE578A"/>
    <w:rsid w:val="00DE73DE"/>
    <w:rsid w:val="00DF2583"/>
    <w:rsid w:val="00DF3E62"/>
    <w:rsid w:val="00DF4D7F"/>
    <w:rsid w:val="00DF4E80"/>
    <w:rsid w:val="00DF54D9"/>
    <w:rsid w:val="00DF63F3"/>
    <w:rsid w:val="00DF7283"/>
    <w:rsid w:val="00E01A59"/>
    <w:rsid w:val="00E02F9C"/>
    <w:rsid w:val="00E03DF3"/>
    <w:rsid w:val="00E05C36"/>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6DD"/>
    <w:rsid w:val="00E850D3"/>
    <w:rsid w:val="00E853D6"/>
    <w:rsid w:val="00E8544F"/>
    <w:rsid w:val="00E876B9"/>
    <w:rsid w:val="00E91B40"/>
    <w:rsid w:val="00E91F7C"/>
    <w:rsid w:val="00E92FD8"/>
    <w:rsid w:val="00E94D82"/>
    <w:rsid w:val="00E972A2"/>
    <w:rsid w:val="00EA44F1"/>
    <w:rsid w:val="00EA5BA2"/>
    <w:rsid w:val="00EB55E8"/>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747E"/>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09FA"/>
    <w:rsid w:val="00F21BEF"/>
    <w:rsid w:val="00F2315B"/>
    <w:rsid w:val="00F24382"/>
    <w:rsid w:val="00F31111"/>
    <w:rsid w:val="00F40F11"/>
    <w:rsid w:val="00F41A6F"/>
    <w:rsid w:val="00F45A25"/>
    <w:rsid w:val="00F50F86"/>
    <w:rsid w:val="00F51A76"/>
    <w:rsid w:val="00F53862"/>
    <w:rsid w:val="00F53C9D"/>
    <w:rsid w:val="00F53F44"/>
    <w:rsid w:val="00F53F91"/>
    <w:rsid w:val="00F54B9F"/>
    <w:rsid w:val="00F61569"/>
    <w:rsid w:val="00F61A72"/>
    <w:rsid w:val="00F62B67"/>
    <w:rsid w:val="00F66F13"/>
    <w:rsid w:val="00F66FC5"/>
    <w:rsid w:val="00F7145D"/>
    <w:rsid w:val="00F71B5E"/>
    <w:rsid w:val="00F74073"/>
    <w:rsid w:val="00F75603"/>
    <w:rsid w:val="00F7769C"/>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3BD53"/>
  <w15:docId w15:val="{AA07F659-EBE7-489C-9658-7DC7C5BF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65E4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unhideWhenUsed/>
    <w:rsid w:val="00BE2028"/>
    <w:rPr>
      <w:sz w:val="16"/>
      <w:szCs w:val="16"/>
    </w:rPr>
  </w:style>
  <w:style w:type="character" w:customStyle="1" w:styleId="VoetnoottekstChar">
    <w:name w:val="Voetnoottekst Char"/>
    <w:basedOn w:val="Standaardalinea-lettertype"/>
    <w:link w:val="Voetnoottekst"/>
    <w:uiPriority w:val="99"/>
    <w:semiHidden/>
    <w:rsid w:val="00BE2028"/>
    <w:rPr>
      <w:rFonts w:ascii="Verdana" w:hAnsi="Verdana"/>
      <w:sz w:val="13"/>
      <w:lang w:val="nl-NL" w:eastAsia="nl-NL"/>
    </w:rPr>
  </w:style>
  <w:style w:type="character" w:styleId="Voetnootmarkering">
    <w:name w:val="footnote reference"/>
    <w:basedOn w:val="Standaardalinea-lettertype"/>
    <w:uiPriority w:val="99"/>
    <w:unhideWhenUsed/>
    <w:rsid w:val="00BE2028"/>
    <w:rPr>
      <w:shd w:val="clear" w:color="auto" w:fill="auto"/>
      <w:vertAlign w:val="superscript"/>
    </w:rPr>
  </w:style>
  <w:style w:type="character" w:customStyle="1" w:styleId="cf01">
    <w:name w:val="cf01"/>
    <w:basedOn w:val="Standaardalinea-lettertype"/>
    <w:rsid w:val="00BE2028"/>
    <w:rPr>
      <w:rFonts w:ascii="Segoe UI" w:hAnsi="Segoe UI" w:cs="Segoe UI" w:hint="default"/>
      <w:sz w:val="18"/>
      <w:szCs w:val="18"/>
    </w:rPr>
  </w:style>
  <w:style w:type="paragraph" w:styleId="Revisie">
    <w:name w:val="Revision"/>
    <w:hidden/>
    <w:uiPriority w:val="99"/>
    <w:semiHidden/>
    <w:rsid w:val="00DA3C68"/>
    <w:rPr>
      <w:rFonts w:ascii="Verdana" w:hAnsi="Verdana"/>
      <w:sz w:val="18"/>
      <w:szCs w:val="24"/>
      <w:lang w:val="nl-NL" w:eastAsia="nl-NL"/>
    </w:rPr>
  </w:style>
  <w:style w:type="paragraph" w:styleId="Tekstopmerking">
    <w:name w:val="annotation text"/>
    <w:basedOn w:val="Standaard"/>
    <w:link w:val="TekstopmerkingChar"/>
    <w:rsid w:val="001D0A52"/>
    <w:pPr>
      <w:spacing w:line="240" w:lineRule="auto"/>
    </w:pPr>
    <w:rPr>
      <w:sz w:val="20"/>
      <w:szCs w:val="20"/>
    </w:rPr>
  </w:style>
  <w:style w:type="character" w:customStyle="1" w:styleId="TekstopmerkingChar">
    <w:name w:val="Tekst opmerking Char"/>
    <w:basedOn w:val="Standaardalinea-lettertype"/>
    <w:link w:val="Tekstopmerking"/>
    <w:rsid w:val="001D0A52"/>
    <w:rPr>
      <w:rFonts w:ascii="Verdana" w:hAnsi="Verdana"/>
      <w:lang w:val="nl-NL" w:eastAsia="nl-NL"/>
    </w:rPr>
  </w:style>
  <w:style w:type="paragraph" w:styleId="Onderwerpvanopmerking">
    <w:name w:val="annotation subject"/>
    <w:basedOn w:val="Tekstopmerking"/>
    <w:next w:val="Tekstopmerking"/>
    <w:link w:val="OnderwerpvanopmerkingChar"/>
    <w:rsid w:val="001D0A52"/>
    <w:rPr>
      <w:b/>
      <w:bCs/>
    </w:rPr>
  </w:style>
  <w:style w:type="character" w:customStyle="1" w:styleId="OnderwerpvanopmerkingChar">
    <w:name w:val="Onderwerp van opmerking Char"/>
    <w:basedOn w:val="TekstopmerkingChar"/>
    <w:link w:val="Onderwerpvanopmerking"/>
    <w:rsid w:val="001D0A52"/>
    <w:rPr>
      <w:rFonts w:ascii="Verdana" w:hAnsi="Verdana"/>
      <w:b/>
      <w:bCs/>
      <w:lang w:val="nl-NL" w:eastAsia="nl-NL"/>
    </w:rPr>
  </w:style>
  <w:style w:type="paragraph" w:styleId="Geenafstand">
    <w:name w:val="No Spacing"/>
    <w:uiPriority w:val="1"/>
    <w:qFormat/>
    <w:rsid w:val="00F7769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56629">
      <w:bodyDiv w:val="1"/>
      <w:marLeft w:val="0"/>
      <w:marRight w:val="0"/>
      <w:marTop w:val="0"/>
      <w:marBottom w:val="0"/>
      <w:divBdr>
        <w:top w:val="none" w:sz="0" w:space="0" w:color="auto"/>
        <w:left w:val="none" w:sz="0" w:space="0" w:color="auto"/>
        <w:bottom w:val="none" w:sz="0" w:space="0" w:color="auto"/>
        <w:right w:val="none" w:sz="0" w:space="0" w:color="auto"/>
      </w:divBdr>
    </w:div>
    <w:div w:id="989792099">
      <w:bodyDiv w:val="1"/>
      <w:marLeft w:val="0"/>
      <w:marRight w:val="0"/>
      <w:marTop w:val="0"/>
      <w:marBottom w:val="0"/>
      <w:divBdr>
        <w:top w:val="none" w:sz="0" w:space="0" w:color="auto"/>
        <w:left w:val="none" w:sz="0" w:space="0" w:color="auto"/>
        <w:bottom w:val="none" w:sz="0" w:space="0" w:color="auto"/>
        <w:right w:val="none" w:sz="0" w:space="0" w:color="auto"/>
      </w:divBdr>
    </w:div>
    <w:div w:id="1413235797">
      <w:bodyDiv w:val="1"/>
      <w:marLeft w:val="0"/>
      <w:marRight w:val="0"/>
      <w:marTop w:val="0"/>
      <w:marBottom w:val="0"/>
      <w:divBdr>
        <w:top w:val="none" w:sz="0" w:space="0" w:color="auto"/>
        <w:left w:val="none" w:sz="0" w:space="0" w:color="auto"/>
        <w:bottom w:val="none" w:sz="0" w:space="0" w:color="auto"/>
        <w:right w:val="none" w:sz="0" w:space="0" w:color="auto"/>
      </w:divBdr>
    </w:div>
    <w:div w:id="21324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besluitduurzaamwerk/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1441</ap:Words>
  <ap:Characters>8392</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2025-06-24T08:43:00.0000000Z</dcterms:created>
  <dcterms:modified xsi:type="dcterms:W3CDTF">2025-06-24T08:43:00.0000000Z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O240BEE</vt:lpwstr>
  </property>
  <property fmtid="{D5CDD505-2E9C-101B-9397-08002B2CF9AE}" pid="3" name="Author">
    <vt:lpwstr>O240BEE</vt:lpwstr>
  </property>
  <property fmtid="{D5CDD505-2E9C-101B-9397-08002B2CF9AE}" pid="4" name="cs_objectid">
    <vt:lpwstr>52673054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Vervolg op toekomstverkenning nieuwkomersonderwijs primair onderwijs, voortgezet onderwijs en het middelbaar beroepsonderwijs</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O240BEE</vt:lpwstr>
  </property>
</Properties>
</file>