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F2437" w:rsidRDefault="00140AD6" w14:paraId="164769C2" w14:textId="77777777">
      <w:r>
        <w:t>Geachte Voorzitter,</w:t>
      </w:r>
    </w:p>
    <w:p w:rsidR="00BF2437" w:rsidP="00BF2437" w:rsidRDefault="00BF2437" w14:paraId="4CB101BB" w14:textId="77777777"/>
    <w:p w:rsidR="0039197F" w:rsidP="00BF2437" w:rsidRDefault="0039197F" w14:paraId="6A77D338" w14:textId="2587A280">
      <w:r>
        <w:t xml:space="preserve">Op 9 april jl. </w:t>
      </w:r>
      <w:r w:rsidR="0065134C">
        <w:t>heeft</w:t>
      </w:r>
      <w:r w:rsidR="000A0A27">
        <w:t xml:space="preserve"> </w:t>
      </w:r>
      <w:r>
        <w:t xml:space="preserve">de vaste commissie voor Landbouw, Visserij, </w:t>
      </w:r>
      <w:r w:rsidR="007F15B1">
        <w:t>V</w:t>
      </w:r>
      <w:r>
        <w:t xml:space="preserve">oedselzekerheid en Natuur </w:t>
      </w:r>
      <w:r w:rsidR="0065134C">
        <w:t>mij</w:t>
      </w:r>
      <w:r w:rsidR="00B73F0D">
        <w:t xml:space="preserve"> en de minister van Klimaat en Groene Groei</w:t>
      </w:r>
      <w:r w:rsidR="0065134C">
        <w:t xml:space="preserve"> om een reactie</w:t>
      </w:r>
      <w:r>
        <w:t xml:space="preserve"> </w:t>
      </w:r>
      <w:r w:rsidR="0065134C">
        <w:t>verzocht</w:t>
      </w:r>
      <w:r>
        <w:t xml:space="preserve"> op de </w:t>
      </w:r>
      <w:r w:rsidR="0065134C">
        <w:t xml:space="preserve">notitie </w:t>
      </w:r>
      <w:r>
        <w:t xml:space="preserve">die door het advocatenkantoor Van Doorne </w:t>
      </w:r>
      <w:r w:rsidR="0065134C">
        <w:t>(hierna: Van</w:t>
      </w:r>
      <w:r w:rsidR="007F15B1">
        <w:t> </w:t>
      </w:r>
      <w:r w:rsidR="0065134C">
        <w:t>Doorne) is opgesteld</w:t>
      </w:r>
      <w:r>
        <w:t xml:space="preserve"> </w:t>
      </w:r>
      <w:r w:rsidR="0065134C">
        <w:t xml:space="preserve">over het uit de stikstofimpasse helpen van </w:t>
      </w:r>
      <w:r>
        <w:t xml:space="preserve">energieprojecten. </w:t>
      </w:r>
      <w:r w:rsidR="007F6FB1">
        <w:t xml:space="preserve">Hierbij stuur ik u, mede namens de </w:t>
      </w:r>
      <w:r w:rsidR="007F15B1">
        <w:t>m</w:t>
      </w:r>
      <w:r w:rsidR="007F6FB1">
        <w:t xml:space="preserve">inister voor Klimaat en Groene Groei, de reactie op deze brief. </w:t>
      </w:r>
    </w:p>
    <w:p w:rsidR="0039197F" w:rsidP="00BF2437" w:rsidRDefault="0039197F" w14:paraId="63F78E8D" w14:textId="77777777"/>
    <w:p w:rsidR="002318BB" w:rsidP="002318BB" w:rsidRDefault="002318BB" w14:paraId="073B10F6" w14:textId="46270D48">
      <w:r>
        <w:t xml:space="preserve">Nederland heeft de grote opgaven om Nederland van het stikstofslot te krijgen en de klimaatdoelen te halen. Om deze beide doelen te behalen moet Nederland worden voorzien van voldoende duurzame energieopwekking en is er de opgave om te zorgen voor voldoende infrastructuur om deze duurzame energie te vervoeren naar huishoudens en bedrijven. De energietransitie kan juist voor stikstofreductie zorgen omdat het duurzame mobiliteit en de verduurzaming in de industrie mogelijk maakt. Daarom is het mogelijk maken van deze projecten een prioriteit van dit kabinet. Samen met de Minister </w:t>
      </w:r>
      <w:r w:rsidR="0010401A">
        <w:t>van</w:t>
      </w:r>
      <w:r>
        <w:t xml:space="preserve"> Klimaat en Groene Groei kijk ik dan ook expliciet naar het mogelijk maken van deze projecten.</w:t>
      </w:r>
    </w:p>
    <w:p w:rsidR="002318BB" w:rsidP="00BF2437" w:rsidRDefault="002318BB" w14:paraId="5D78A3CD" w14:textId="77777777"/>
    <w:p w:rsidR="002318BB" w:rsidP="00BF2437" w:rsidRDefault="0039197F" w14:paraId="0580F187" w14:textId="556AD84A">
      <w:r>
        <w:t xml:space="preserve">De notitie van Van Doorne </w:t>
      </w:r>
      <w:r w:rsidR="0065134C">
        <w:t xml:space="preserve">beschrijft </w:t>
      </w:r>
      <w:r w:rsidR="002A17F6">
        <w:t>drie</w:t>
      </w:r>
      <w:r>
        <w:t xml:space="preserve"> routes </w:t>
      </w:r>
      <w:r w:rsidR="0065134C">
        <w:t xml:space="preserve">waarlangs </w:t>
      </w:r>
      <w:r w:rsidR="004F6803">
        <w:t>natuur toestemming</w:t>
      </w:r>
      <w:r>
        <w:t>verlening</w:t>
      </w:r>
      <w:r w:rsidR="004F6803">
        <w:t xml:space="preserve"> in het kader van stikstof</w:t>
      </w:r>
      <w:r>
        <w:t xml:space="preserve"> voor energieprojecten mogelijk </w:t>
      </w:r>
      <w:r w:rsidR="0065134C">
        <w:t>zou kunnen worden gemaakt</w:t>
      </w:r>
      <w:r w:rsidR="002318BB">
        <w:t>:</w:t>
      </w:r>
    </w:p>
    <w:p w:rsidR="002318BB" w:rsidP="002318BB" w:rsidRDefault="002318BB" w14:paraId="5F50F484" w14:textId="5B80FA36">
      <w:pPr>
        <w:pStyle w:val="Lijstalinea"/>
        <w:numPr>
          <w:ilvl w:val="0"/>
          <w:numId w:val="15"/>
        </w:numPr>
      </w:pPr>
      <w:r>
        <w:t>Vrijstelling</w:t>
      </w:r>
    </w:p>
    <w:p w:rsidR="002318BB" w:rsidP="002318BB" w:rsidRDefault="002318BB" w14:paraId="147D45A3" w14:textId="77777777">
      <w:pPr>
        <w:pStyle w:val="Lijstalinea"/>
        <w:numPr>
          <w:ilvl w:val="0"/>
          <w:numId w:val="15"/>
        </w:numPr>
      </w:pPr>
      <w:r>
        <w:t>Programmatische aanpak</w:t>
      </w:r>
    </w:p>
    <w:p w:rsidR="002318BB" w:rsidP="002318BB" w:rsidRDefault="002318BB" w14:paraId="3B85C881" w14:textId="77777777">
      <w:pPr>
        <w:pStyle w:val="Lijstalinea"/>
        <w:numPr>
          <w:ilvl w:val="0"/>
          <w:numId w:val="15"/>
        </w:numPr>
      </w:pPr>
      <w:r>
        <w:t>ADC-toets</w:t>
      </w:r>
    </w:p>
    <w:p w:rsidR="000E7EB7" w:rsidP="000E7EB7" w:rsidRDefault="000E7EB7" w14:paraId="0A12EE7B" w14:textId="77777777"/>
    <w:p w:rsidR="002318BB" w:rsidP="002318BB" w:rsidRDefault="002C0BB4" w14:paraId="0A38D302" w14:textId="0229B051">
      <w:bookmarkStart w:name="_Hlk198901263" w:id="0"/>
      <w:r>
        <w:t>De notitie van Van Doorne</w:t>
      </w:r>
      <w:r>
        <w:rPr>
          <w:rStyle w:val="Voetnootmarkering"/>
        </w:rPr>
        <w:footnoteReference w:id="1"/>
      </w:r>
      <w:r>
        <w:t xml:space="preserve"> onderschrijft de analyse die eerder door het kabinet naar de Kamer is verstuurd, namelijk dat de route van een ADC-toets wellicht mogelijkheden biedt om vergunningverlening voor energieprojecten te versnellen. De andere routes die zijn onderzocht </w:t>
      </w:r>
      <w:r w:rsidR="007F6FB1">
        <w:t>door</w:t>
      </w:r>
      <w:r>
        <w:t xml:space="preserve"> het kabinet</w:t>
      </w:r>
      <w:r w:rsidR="007F6FB1">
        <w:t>,</w:t>
      </w:r>
      <w:r>
        <w:t xml:space="preserve"> en ook in de notitie door Van Doorne naar boven komen</w:t>
      </w:r>
      <w:r w:rsidR="007F6FB1">
        <w:t>,</w:t>
      </w:r>
      <w:r>
        <w:t xml:space="preserve"> worden als minder kansrijk gezien voor deze energietransitieprojecten.  </w:t>
      </w:r>
    </w:p>
    <w:p w:rsidR="009D485F" w:rsidP="009D485F" w:rsidRDefault="009D485F" w14:paraId="364DC1A2" w14:textId="570EC2C1">
      <w:r>
        <w:t xml:space="preserve">Het kabinet onderzoekt op dit moment daarom de mogelijkheid van het opstellen van een generieke, breed inzetbare motivering voor de ADC-toets die een </w:t>
      </w:r>
      <w:r>
        <w:lastRenderedPageBreak/>
        <w:t xml:space="preserve">juridisch houdbare basis kan bieden om duurzame energieprojecten efficiënter te vergunnen, </w:t>
      </w:r>
      <w:bookmarkEnd w:id="0"/>
      <w:r>
        <w:t>zoals medegedeeld in de brief naar uw kamer van 10 december 2024</w:t>
      </w:r>
      <w:r>
        <w:rPr>
          <w:rStyle w:val="Voetnootmarkering"/>
        </w:rPr>
        <w:footnoteReference w:id="2"/>
      </w:r>
      <w:r>
        <w:t xml:space="preserve">. </w:t>
      </w:r>
      <w:bookmarkStart w:name="_Hlk198901285" w:id="1"/>
      <w:r>
        <w:t xml:space="preserve">Hiertoe vindt er een actualisatie van het OSES-onderzoek plaats en zal er een ecologische beoordeling van de resultaten van dit onderzoek worden verricht. Daarnaast zal er worden verkend of deze vorm juridisch haalbaar is, praktisch uitvoerbaar is en uiteindelijk ook bestuurlijk wenselijk is. De conclusies worden eind dit jaar voorzien.  </w:t>
      </w:r>
    </w:p>
    <w:bookmarkEnd w:id="1"/>
    <w:p w:rsidR="006336C6" w:rsidP="00BF2437" w:rsidRDefault="006336C6" w14:paraId="6508B670" w14:textId="18E4C649"/>
    <w:p w:rsidRPr="004E4A7D" w:rsidR="006336C6" w:rsidP="00BF2437" w:rsidRDefault="004E4A7D" w14:paraId="5B04E9E2" w14:textId="42251619">
      <w:pPr>
        <w:rPr>
          <w:sz w:val="20"/>
          <w:szCs w:val="28"/>
        </w:rPr>
      </w:pPr>
      <w:r>
        <w:rPr>
          <w:b/>
          <w:bCs/>
          <w:sz w:val="20"/>
          <w:szCs w:val="28"/>
        </w:rPr>
        <w:t>Vrijstelling</w:t>
      </w:r>
    </w:p>
    <w:p w:rsidR="006336C6" w:rsidP="00BF2437" w:rsidRDefault="002A17F6" w14:paraId="37DBB684" w14:textId="5005AD78">
      <w:r>
        <w:t xml:space="preserve">De </w:t>
      </w:r>
      <w:r w:rsidR="006336C6">
        <w:t xml:space="preserve">eerste </w:t>
      </w:r>
      <w:r>
        <w:t>route in de notitie</w:t>
      </w:r>
      <w:r w:rsidR="006336C6">
        <w:t xml:space="preserve"> </w:t>
      </w:r>
      <w:r>
        <w:t xml:space="preserve">is het </w:t>
      </w:r>
      <w:r w:rsidR="00EF6B40">
        <w:t>vaststellen</w:t>
      </w:r>
      <w:r>
        <w:t xml:space="preserve"> van </w:t>
      </w:r>
      <w:r w:rsidR="006336C6">
        <w:t>een vrijstelling</w:t>
      </w:r>
      <w:r w:rsidR="00EF6B40">
        <w:t xml:space="preserve">. Hiervoor is reeds een wettelijke basis aanwezig, </w:t>
      </w:r>
      <w:r w:rsidR="005D1C22">
        <w:t>i</w:t>
      </w:r>
      <w:r>
        <w:t>n</w:t>
      </w:r>
      <w:r w:rsidR="006336C6">
        <w:t xml:space="preserve"> het Besluit Activiteiten Leefomgeving (BAL). </w:t>
      </w:r>
      <w:r>
        <w:t xml:space="preserve">Voor een juridisch houdbare oplossing is </w:t>
      </w:r>
      <w:r w:rsidR="00EF6B40">
        <w:t>een vrijstelling</w:t>
      </w:r>
      <w:r>
        <w:t xml:space="preserve"> alleen mogelijk</w:t>
      </w:r>
      <w:r w:rsidR="00EF6B40">
        <w:t xml:space="preserve"> als deze voldoet aan artikel 6, derde lid, van de Habitatrichtlijn. Dat betekent dat er, indien nodig, een passende beoordeling moet worden uitgevoerd, en mitigerende of compenserende maatregelen moeten worden getroffen. </w:t>
      </w:r>
    </w:p>
    <w:p w:rsidR="00E90B5A" w:rsidP="00BF2437" w:rsidRDefault="00685D27" w14:paraId="5C74C539" w14:textId="10EF5458">
      <w:r>
        <w:t>Over de haalbaarheid van een vrijstelling voor energieprojecten he</w:t>
      </w:r>
      <w:r w:rsidR="00E90B5A">
        <w:t xml:space="preserve">eft </w:t>
      </w:r>
      <w:r w:rsidR="007F15B1">
        <w:t>d</w:t>
      </w:r>
      <w:r w:rsidR="00E90B5A">
        <w:t xml:space="preserve">e </w:t>
      </w:r>
      <w:r w:rsidR="007F15B1">
        <w:t>m</w:t>
      </w:r>
      <w:r w:rsidR="00E90B5A">
        <w:t>inister van Klimaat en Groene Groei</w:t>
      </w:r>
      <w:r w:rsidR="007411C5">
        <w:t xml:space="preserve"> op 10 december 2024 de</w:t>
      </w:r>
      <w:r w:rsidR="009B76EC">
        <w:t xml:space="preserve"> Tweede K</w:t>
      </w:r>
      <w:r>
        <w:t xml:space="preserve">amer geïnformeerd </w:t>
      </w:r>
      <w:r w:rsidR="007411C5">
        <w:t>dat een vrijstelling voor energieprojecten juridisch niet haalbaar is</w:t>
      </w:r>
      <w:r>
        <w:t>.</w:t>
      </w:r>
      <w:r>
        <w:rPr>
          <w:rStyle w:val="Voetnootmarkering"/>
        </w:rPr>
        <w:footnoteReference w:id="3"/>
      </w:r>
      <w:r>
        <w:t xml:space="preserve"> </w:t>
      </w:r>
    </w:p>
    <w:p w:rsidR="00E90B5A" w:rsidP="00BF2437" w:rsidRDefault="00E90B5A" w14:paraId="72F3BC6D" w14:textId="77777777"/>
    <w:p w:rsidR="00685D27" w:rsidP="00BF2437" w:rsidRDefault="00685D27" w14:paraId="4C09E422" w14:textId="7C2F01E1">
      <w:r>
        <w:t xml:space="preserve">De notitie van Van Doorne </w:t>
      </w:r>
      <w:r w:rsidR="00450351">
        <w:t>ondersteunt deze eerder gedeelde analyse.</w:t>
      </w:r>
    </w:p>
    <w:p w:rsidR="00EC6B08" w:rsidP="00BF2437" w:rsidRDefault="00EC6B08" w14:paraId="1BAAAC98" w14:textId="77777777"/>
    <w:p w:rsidRPr="004E4A7D" w:rsidR="004E4A7D" w:rsidP="00BF2437" w:rsidRDefault="004E4A7D" w14:paraId="1FD294C7" w14:textId="4DC43070">
      <w:pPr>
        <w:rPr>
          <w:b/>
          <w:bCs/>
          <w:sz w:val="20"/>
          <w:szCs w:val="28"/>
        </w:rPr>
      </w:pPr>
      <w:r>
        <w:rPr>
          <w:b/>
          <w:bCs/>
          <w:sz w:val="20"/>
          <w:szCs w:val="28"/>
        </w:rPr>
        <w:t>Programmatische aanpak</w:t>
      </w:r>
    </w:p>
    <w:p w:rsidR="008325A4" w:rsidP="008404D6" w:rsidRDefault="002878FC" w14:paraId="1212B1F4" w14:textId="77777777">
      <w:r>
        <w:t xml:space="preserve">De tweede route die </w:t>
      </w:r>
      <w:r w:rsidR="00EC6B08">
        <w:t xml:space="preserve">Van Doorne </w:t>
      </w:r>
      <w:r>
        <w:t xml:space="preserve">beschrijft is </w:t>
      </w:r>
      <w:r w:rsidR="00EC6B08">
        <w:t>de optie van de programmatische aanpak</w:t>
      </w:r>
      <w:r w:rsidR="009937CE">
        <w:t xml:space="preserve"> (zoals de Programmatische Aanpak Stikstof)</w:t>
      </w:r>
      <w:r w:rsidR="00EC6B08">
        <w:t xml:space="preserve">. In het geval van een programmatische aanpak wordt een programma opgesteld waarin de uitwerking staat van het te voeren beleid voor ontwikkeling, gebruik, beheer en bescherming en behoud van een of meer onderdelen van de fysieke leefomgeving. </w:t>
      </w:r>
    </w:p>
    <w:p w:rsidR="00492D69" w:rsidP="00BF2437" w:rsidRDefault="008325A4" w14:paraId="670EC8E4" w14:textId="32EC759C">
      <w:r>
        <w:t xml:space="preserve">In een programma kan een activiteit als vergunningvrij worden aangemerkt als wordt voldaan aan de vereisten uit artikel 6, derde lid, van de Habitatrichtlijn. </w:t>
      </w:r>
      <w:r w:rsidR="00CB26FC">
        <w:t xml:space="preserve">Dat wil zeggen als </w:t>
      </w:r>
      <w:r w:rsidR="008B754B">
        <w:t xml:space="preserve">op voorhand op grond van objectieve gegevens met zekerheid kan worden uitgesloten dat de activiteit afzonderlijk of in combinatie met andere plannen of projecten significante gevolgen voor een Natura 2000-gebied kan hebben. Of als een passende beoordeling ten grondslag ligt aan het programma, waaruit de zekerheid is verkregen dat die activiteit de natuurlijke kenmerken van het Natura 2000-gebied niet zal aantasten. </w:t>
      </w:r>
      <w:r w:rsidR="007411C5">
        <w:t xml:space="preserve">In deze aanpak zou de verduurzaming van de industrie een maatregel zijn voor de mitigatie van negatieve effecten van de aanleg van de energie-infrastructuur. </w:t>
      </w:r>
      <w:r w:rsidR="00BD39C7">
        <w:t xml:space="preserve">Echter wordt de infrastructuur juist aangelegd ten behoeve van de industrie, hierin zou de verhouding scheef worden. </w:t>
      </w:r>
      <w:r w:rsidR="007411C5">
        <w:t xml:space="preserve">De mitigatie moet bovendien plaatsvinden op de juiste locaties in de Natura 2000-gebieden, namelijk de locatie waar in eerste instantie de stikstofbelasting toeneemt. Hierdoor wordt deze route als </w:t>
      </w:r>
      <w:r w:rsidR="000E7EB7">
        <w:t xml:space="preserve">onwerkbaar </w:t>
      </w:r>
      <w:r w:rsidR="007411C5">
        <w:t>gezien.</w:t>
      </w:r>
      <w:r w:rsidR="000E7EB7">
        <w:t xml:space="preserve"> De notitie van Van</w:t>
      </w:r>
      <w:r w:rsidR="007F15B1">
        <w:t> </w:t>
      </w:r>
      <w:r w:rsidR="000E7EB7">
        <w:t>Doorne onderstreept deze analyse.</w:t>
      </w:r>
    </w:p>
    <w:p w:rsidR="000E7EB7" w:rsidP="00BF2437" w:rsidRDefault="000E7EB7" w14:paraId="788E43AF" w14:textId="77777777"/>
    <w:p w:rsidRPr="004E4A7D" w:rsidR="004E4A7D" w:rsidP="00BF2437" w:rsidRDefault="004E4A7D" w14:paraId="103202C3" w14:textId="648EF94B">
      <w:pPr>
        <w:rPr>
          <w:sz w:val="20"/>
          <w:szCs w:val="28"/>
        </w:rPr>
      </w:pPr>
      <w:r>
        <w:rPr>
          <w:b/>
          <w:bCs/>
          <w:sz w:val="20"/>
          <w:szCs w:val="28"/>
        </w:rPr>
        <w:t>ADC-Toets</w:t>
      </w:r>
    </w:p>
    <w:p w:rsidR="002C0BB4" w:rsidP="002C0BB4" w:rsidRDefault="002C0BB4" w14:paraId="329AEA00" w14:textId="77777777">
      <w:r>
        <w:t>De derde route die in de notitie wordt beschreven is het uitvoeren van de ADC-toets. De ADC-toets vloeit voort uit artikel 6, vierde lid, van de Habitatrichtlijn en biedt de mogelijkheid om toch een toestemming te verlenen voor activiteiten waarvan uit de passende beoordeling niet kan worden uitgesloten dat er significant negatieve effecten optreden. Voor deze projecten moet dan sprake zijn van een dwingende reden van groot openbaar belang en dat er geen reële alternatieve voorhanden zijn. In dat geval moet er compensatie plaatsvinden zodat de algemene samenhang van Natura 2000-gebieden behouden blijft. Zoals van Doorne ook analyseert zijn er voor de vergunningverlening van duurzame energieprojecten mogelijkheden voor de ADC-toets. In het bijzonder omdat de Europese Commissie met de Renewable Energy Directive III (REDIII) verduurzaming van de energieopwekking en energie infrastructuur tot rede van groot openbaar belang heeft gemaakt. Deze analyse, die mede wordt onderstreept door de notitie van Doorne, maakt dat de route van de ADC toets op dit moment als meest kansrijk wordt geacht voor de programmatische vergunningverlening van deze projecten.</w:t>
      </w:r>
    </w:p>
    <w:p w:rsidR="00216F02" w:rsidP="00BD39C7" w:rsidRDefault="00216F02" w14:paraId="0450A754" w14:textId="77777777"/>
    <w:p w:rsidR="00BD39C7" w:rsidP="00BD39C7" w:rsidRDefault="00BD39C7" w14:paraId="4FE90005" w14:textId="6C879297">
      <w:r>
        <w:t xml:space="preserve">Het kabinet zal zich blijven inzetten om deze duurzame energieprojecten doorgang te laten vinden. In het bijzonder omdat deze projecten op korte termijn bijdragen aan de vermindering van de stikstofuitstoot. </w:t>
      </w:r>
    </w:p>
    <w:p w:rsidR="00BD39C7" w:rsidP="00BF2437" w:rsidRDefault="00BD39C7" w14:paraId="4C2851F7" w14:textId="77777777"/>
    <w:p w:rsidR="003F7EF3" w:rsidP="00BF2437" w:rsidRDefault="00140AD6" w14:paraId="54014F21" w14:textId="3EC6FECB">
      <w:pPr>
        <w:rPr>
          <w:rFonts w:asciiTheme="minorHAnsi" w:hAnsiTheme="minorHAnsi"/>
          <w:sz w:val="22"/>
          <w:szCs w:val="18"/>
        </w:rPr>
      </w:pPr>
      <w:r>
        <w:rPr>
          <w:rFonts w:asciiTheme="minorHAnsi" w:hAnsiTheme="minorHAnsi"/>
          <w:sz w:val="22"/>
          <w:szCs w:val="18"/>
        </w:rPr>
        <w:t>Hoogachtend,</w:t>
      </w:r>
    </w:p>
    <w:p w:rsidRPr="00EC58D9" w:rsidR="00F71F9E" w:rsidP="007255FC" w:rsidRDefault="00F71F9E" w14:paraId="51457E9A" w14:textId="77777777"/>
    <w:p w:rsidRPr="00EC58D9" w:rsidR="007239A1" w:rsidP="007255FC" w:rsidRDefault="007239A1" w14:paraId="7216BD13" w14:textId="77777777"/>
    <w:p w:rsidR="007239A1" w:rsidP="007255FC" w:rsidRDefault="007239A1" w14:paraId="6D6067A7" w14:textId="77777777"/>
    <w:p w:rsidR="00B8373E" w:rsidP="007255FC" w:rsidRDefault="00B8373E" w14:paraId="37992F91" w14:textId="77777777"/>
    <w:p w:rsidRPr="00EC58D9" w:rsidR="00140AD6" w:rsidP="007255FC" w:rsidRDefault="00140AD6" w14:paraId="5B70EDC7" w14:textId="77777777"/>
    <w:p w:rsidRPr="006A15A5" w:rsidR="007239A1" w:rsidP="007255FC" w:rsidRDefault="00140AD6" w14:paraId="26756549" w14:textId="77777777">
      <w:pPr>
        <w:rPr>
          <w:szCs w:val="18"/>
        </w:rPr>
      </w:pPr>
      <w:r w:rsidRPr="00B11DD6">
        <w:t>Femke Marije Wiersma</w:t>
      </w:r>
    </w:p>
    <w:p w:rsidR="004E505E" w:rsidP="00524FB4" w:rsidRDefault="00140AD6" w14:paraId="00BB5F7D" w14:textId="77777777">
      <w:r w:rsidRPr="00EC58D9">
        <w:t xml:space="preserve">Minister van </w:t>
      </w:r>
      <w:r w:rsidR="00704E60">
        <w:rPr>
          <w:rFonts w:cs="Calibri"/>
          <w:szCs w:val="18"/>
        </w:rPr>
        <w:t>Landbouw, Visserij, Voedselzekerheid en Natuur</w:t>
      </w:r>
    </w:p>
    <w:p w:rsidRPr="00006C01" w:rsidR="00481085" w:rsidP="00524FB4" w:rsidRDefault="00481085" w14:paraId="2F4AFA34" w14:textId="77777777"/>
    <w:p w:rsidR="006F04AF" w:rsidP="00D15779" w:rsidRDefault="006F04AF" w14:paraId="04260479" w14:textId="77777777"/>
    <w:p w:rsidR="00147CDF" w:rsidP="00D15779" w:rsidRDefault="00147CDF" w14:paraId="10D14D2A" w14:textId="77777777"/>
    <w:sectPr w:rsidR="00147CDF"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E1693" w14:textId="77777777" w:rsidR="00DB57AB" w:rsidRDefault="00DB57AB">
      <w:r>
        <w:separator/>
      </w:r>
    </w:p>
    <w:p w14:paraId="3754EE4E" w14:textId="77777777" w:rsidR="00DB57AB" w:rsidRDefault="00DB57AB"/>
  </w:endnote>
  <w:endnote w:type="continuationSeparator" w:id="0">
    <w:p w14:paraId="4AD3BE94" w14:textId="77777777" w:rsidR="00DB57AB" w:rsidRDefault="00DB57AB">
      <w:r>
        <w:continuationSeparator/>
      </w:r>
    </w:p>
    <w:p w14:paraId="38430091" w14:textId="77777777" w:rsidR="00DB57AB" w:rsidRDefault="00DB5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681A" w14:textId="564469F5"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E7399" w14:paraId="29AEE210" w14:textId="77777777" w:rsidTr="00CA6A25">
      <w:trPr>
        <w:trHeight w:hRule="exact" w:val="240"/>
      </w:trPr>
      <w:tc>
        <w:tcPr>
          <w:tcW w:w="7601" w:type="dxa"/>
          <w:shd w:val="clear" w:color="auto" w:fill="auto"/>
        </w:tcPr>
        <w:p w14:paraId="5AB681E3" w14:textId="77777777" w:rsidR="00527BD4" w:rsidRDefault="00527BD4" w:rsidP="003F1F6B">
          <w:pPr>
            <w:pStyle w:val="Huisstijl-Rubricering"/>
          </w:pPr>
        </w:p>
      </w:tc>
      <w:tc>
        <w:tcPr>
          <w:tcW w:w="2156" w:type="dxa"/>
        </w:tcPr>
        <w:p w14:paraId="26A1D681" w14:textId="30368646" w:rsidR="00527BD4" w:rsidRPr="00645414" w:rsidRDefault="00140AD6"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8311E4">
              <w:t>3</w:t>
            </w:r>
          </w:fldSimple>
        </w:p>
      </w:tc>
    </w:tr>
  </w:tbl>
  <w:p w14:paraId="3523596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E7399" w14:paraId="7873DF5D" w14:textId="77777777" w:rsidTr="00CA6A25">
      <w:trPr>
        <w:trHeight w:hRule="exact" w:val="240"/>
      </w:trPr>
      <w:tc>
        <w:tcPr>
          <w:tcW w:w="7601" w:type="dxa"/>
          <w:shd w:val="clear" w:color="auto" w:fill="auto"/>
        </w:tcPr>
        <w:p w14:paraId="185E3D56" w14:textId="6E8DF031" w:rsidR="00527BD4" w:rsidRDefault="00527BD4" w:rsidP="008C356D">
          <w:pPr>
            <w:pStyle w:val="Huisstijl-Rubricering"/>
          </w:pPr>
        </w:p>
      </w:tc>
      <w:tc>
        <w:tcPr>
          <w:tcW w:w="2170" w:type="dxa"/>
        </w:tcPr>
        <w:p w14:paraId="7263C470" w14:textId="65D30AF5" w:rsidR="00527BD4" w:rsidRPr="00ED539E" w:rsidRDefault="00140AD6"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DB57AB">
              <w:t>1</w:t>
            </w:r>
          </w:fldSimple>
        </w:p>
      </w:tc>
    </w:tr>
  </w:tbl>
  <w:p w14:paraId="104CFB88" w14:textId="77777777" w:rsidR="00527BD4" w:rsidRPr="00BC3B53" w:rsidRDefault="00527BD4" w:rsidP="008C356D">
    <w:pPr>
      <w:pStyle w:val="Voettekst"/>
      <w:spacing w:line="240" w:lineRule="auto"/>
      <w:rPr>
        <w:sz w:val="2"/>
        <w:szCs w:val="2"/>
      </w:rPr>
    </w:pPr>
  </w:p>
  <w:p w14:paraId="745A56E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27335" w14:textId="77777777" w:rsidR="00DB57AB" w:rsidRDefault="00DB57AB">
      <w:r>
        <w:separator/>
      </w:r>
    </w:p>
    <w:p w14:paraId="601AB05D" w14:textId="77777777" w:rsidR="00DB57AB" w:rsidRDefault="00DB57AB"/>
  </w:footnote>
  <w:footnote w:type="continuationSeparator" w:id="0">
    <w:p w14:paraId="6796F56A" w14:textId="77777777" w:rsidR="00DB57AB" w:rsidRDefault="00DB57AB">
      <w:r>
        <w:continuationSeparator/>
      </w:r>
    </w:p>
    <w:p w14:paraId="2551D207" w14:textId="77777777" w:rsidR="00DB57AB" w:rsidRDefault="00DB57AB"/>
  </w:footnote>
  <w:footnote w:id="1">
    <w:p w14:paraId="562D6EFE" w14:textId="77777777" w:rsidR="002C0BB4" w:rsidRDefault="002C0BB4" w:rsidP="002C0BB4">
      <w:pPr>
        <w:pStyle w:val="Voetnoottekst"/>
      </w:pPr>
      <w:r>
        <w:rPr>
          <w:rStyle w:val="Voetnootmarkering"/>
        </w:rPr>
        <w:footnoteRef/>
      </w:r>
      <w:r>
        <w:t xml:space="preserve"> </w:t>
      </w:r>
      <w:hyperlink r:id="rId1" w:history="1">
        <w:r w:rsidRPr="00DB6BF8">
          <w:rPr>
            <w:rStyle w:val="Hyperlink"/>
          </w:rPr>
          <w:t>20250328-Notitie-Juridisch-kader-stikstof-duurzame-energieprojecten.pdf</w:t>
        </w:r>
      </w:hyperlink>
    </w:p>
  </w:footnote>
  <w:footnote w:id="2">
    <w:p w14:paraId="665151E6" w14:textId="77777777" w:rsidR="009D485F" w:rsidRDefault="009D485F" w:rsidP="009D485F">
      <w:pPr>
        <w:pStyle w:val="Voetnoottekst"/>
      </w:pPr>
      <w:r>
        <w:rPr>
          <w:rStyle w:val="Voetnootmarkering"/>
        </w:rPr>
        <w:footnoteRef/>
      </w:r>
      <w:r>
        <w:t xml:space="preserve"> Kamerstukken II 2025/25, 30196, nr. 217.  </w:t>
      </w:r>
    </w:p>
  </w:footnote>
  <w:footnote w:id="3">
    <w:p w14:paraId="132C0687" w14:textId="1AB4D766" w:rsidR="00685D27" w:rsidRPr="00685D27" w:rsidRDefault="00685D27">
      <w:pPr>
        <w:pStyle w:val="Voetnoottekst"/>
      </w:pPr>
      <w:r>
        <w:rPr>
          <w:rStyle w:val="Voetnootmarkering"/>
        </w:rPr>
        <w:footnoteRef/>
      </w:r>
      <w:r>
        <w:t xml:space="preserve"> Kamerstukken II 2025/25, 30196, nr. 217</w:t>
      </w:r>
      <w:r w:rsidR="00661E3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E7399" w14:paraId="5666C53A" w14:textId="77777777" w:rsidTr="00A50CF6">
      <w:tc>
        <w:tcPr>
          <w:tcW w:w="2156" w:type="dxa"/>
          <w:shd w:val="clear" w:color="auto" w:fill="auto"/>
        </w:tcPr>
        <w:p w14:paraId="517D7E65" w14:textId="77777777" w:rsidR="00527BD4" w:rsidRPr="005819CE" w:rsidRDefault="00140AD6" w:rsidP="00A50CF6">
          <w:pPr>
            <w:pStyle w:val="Huisstijl-Adres"/>
          </w:pPr>
          <w:r>
            <w:rPr>
              <w:b/>
            </w:rPr>
            <w:t>Directoraat Generaal Landelijk Gebied en Stikstof</w:t>
          </w:r>
        </w:p>
      </w:tc>
    </w:tr>
    <w:tr w:rsidR="006E7399" w14:paraId="578095B8" w14:textId="77777777" w:rsidTr="00A50CF6">
      <w:trPr>
        <w:trHeight w:hRule="exact" w:val="200"/>
      </w:trPr>
      <w:tc>
        <w:tcPr>
          <w:tcW w:w="2156" w:type="dxa"/>
          <w:shd w:val="clear" w:color="auto" w:fill="auto"/>
        </w:tcPr>
        <w:p w14:paraId="3FA9286C" w14:textId="77777777" w:rsidR="00527BD4" w:rsidRPr="005819CE" w:rsidRDefault="00527BD4" w:rsidP="00A50CF6"/>
      </w:tc>
    </w:tr>
    <w:tr w:rsidR="006E7399" w14:paraId="59806CF5" w14:textId="77777777" w:rsidTr="00502512">
      <w:trPr>
        <w:trHeight w:hRule="exact" w:val="774"/>
      </w:trPr>
      <w:tc>
        <w:tcPr>
          <w:tcW w:w="2156" w:type="dxa"/>
          <w:shd w:val="clear" w:color="auto" w:fill="auto"/>
        </w:tcPr>
        <w:p w14:paraId="7AFC8F8D" w14:textId="77777777" w:rsidR="00527BD4" w:rsidRDefault="00527BD4" w:rsidP="003A5290">
          <w:pPr>
            <w:pStyle w:val="Huisstijl-Kopje"/>
          </w:pPr>
        </w:p>
        <w:p w14:paraId="461C2103" w14:textId="61881F6F" w:rsidR="00502512" w:rsidRPr="00502512" w:rsidRDefault="00140AD6" w:rsidP="003A5290">
          <w:pPr>
            <w:pStyle w:val="Huisstijl-Kopje"/>
            <w:rPr>
              <w:b w:val="0"/>
            </w:rPr>
          </w:pPr>
          <w:r>
            <w:rPr>
              <w:b w:val="0"/>
            </w:rPr>
            <w:t>DGLGS</w:t>
          </w:r>
          <w:r w:rsidRPr="00502512">
            <w:rPr>
              <w:b w:val="0"/>
            </w:rPr>
            <w:t xml:space="preserve"> / </w:t>
          </w:r>
          <w:r w:rsidR="007F15B1" w:rsidRPr="007F15B1">
            <w:rPr>
              <w:b w:val="0"/>
            </w:rPr>
            <w:t>99008012</w:t>
          </w:r>
        </w:p>
        <w:p w14:paraId="402B559E" w14:textId="77777777" w:rsidR="00527BD4" w:rsidRPr="005819CE" w:rsidRDefault="00527BD4" w:rsidP="00361A56">
          <w:pPr>
            <w:pStyle w:val="Huisstijl-Kopje"/>
          </w:pPr>
        </w:p>
      </w:tc>
    </w:tr>
  </w:tbl>
  <w:p w14:paraId="2EE0D5B0" w14:textId="77777777" w:rsidR="00527BD4" w:rsidRPr="00740712" w:rsidRDefault="00527BD4" w:rsidP="004F44C2"/>
  <w:p w14:paraId="02727CE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E7399" w14:paraId="023BCFE5" w14:textId="77777777" w:rsidTr="00751A6A">
      <w:trPr>
        <w:trHeight w:val="2636"/>
      </w:trPr>
      <w:tc>
        <w:tcPr>
          <w:tcW w:w="737" w:type="dxa"/>
          <w:shd w:val="clear" w:color="auto" w:fill="auto"/>
        </w:tcPr>
        <w:p w14:paraId="038BFE5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CA88341" w14:textId="77777777" w:rsidR="003B2E54" w:rsidRDefault="00140AD6"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4B1E794E" wp14:editId="6B20766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7C02AEE" w14:textId="77777777" w:rsidR="00527BD4" w:rsidRDefault="00527BD4" w:rsidP="00651CEE">
          <w:pPr>
            <w:framePr w:w="6340" w:h="2750" w:hRule="exact" w:hSpace="180" w:wrap="around" w:vAnchor="page" w:hAnchor="text" w:x="3873" w:y="-140"/>
            <w:spacing w:line="240" w:lineRule="auto"/>
          </w:pPr>
        </w:p>
      </w:tc>
    </w:tr>
  </w:tbl>
  <w:p w14:paraId="4BA33917" w14:textId="77777777" w:rsidR="00527BD4" w:rsidRDefault="00527BD4" w:rsidP="00D0609E">
    <w:pPr>
      <w:framePr w:w="6340" w:h="2750" w:hRule="exact" w:hSpace="180" w:wrap="around" w:vAnchor="page" w:hAnchor="text" w:x="3873" w:y="-140"/>
    </w:pPr>
  </w:p>
  <w:p w14:paraId="4FD20A5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E7399" w:rsidRPr="007F15B1" w14:paraId="71374EE9" w14:textId="77777777" w:rsidTr="00A50CF6">
      <w:tc>
        <w:tcPr>
          <w:tcW w:w="2160" w:type="dxa"/>
          <w:shd w:val="clear" w:color="auto" w:fill="auto"/>
        </w:tcPr>
        <w:p w14:paraId="47E37410" w14:textId="77777777" w:rsidR="005C07D1" w:rsidRDefault="00140AD6" w:rsidP="00A50CF6">
          <w:pPr>
            <w:pStyle w:val="Huisstijl-Adres"/>
          </w:pPr>
          <w:r>
            <w:rPr>
              <w:b/>
            </w:rPr>
            <w:t>Directoraat Generaal Landelijk Gebied en Stikstof</w:t>
          </w:r>
          <w:r w:rsidR="00527BD4" w:rsidRPr="005819CE">
            <w:rPr>
              <w:b/>
            </w:rPr>
            <w:br/>
          </w:r>
        </w:p>
        <w:p w14:paraId="7BE85616" w14:textId="77777777" w:rsidR="00527BD4" w:rsidRPr="009000E4" w:rsidRDefault="00140AD6" w:rsidP="00A72979">
          <w:pPr>
            <w:pStyle w:val="Huisstijl-Adres"/>
          </w:pPr>
          <w:r>
            <w:rPr>
              <w:b/>
            </w:rPr>
            <w:t>Bezoekadres</w:t>
          </w:r>
          <w:r>
            <w:rPr>
              <w:b/>
            </w:rPr>
            <w:br/>
          </w:r>
          <w:r>
            <w:t>Bezuidenhoutseweg 73</w:t>
          </w:r>
          <w:r w:rsidRPr="005819CE">
            <w:br/>
          </w:r>
          <w:r>
            <w:t>2594 AC Den Haag</w:t>
          </w:r>
        </w:p>
        <w:p w14:paraId="1B3B86C0" w14:textId="77777777" w:rsidR="00EF495B" w:rsidRDefault="00140AD6" w:rsidP="0098788A">
          <w:pPr>
            <w:pStyle w:val="Huisstijl-Adres"/>
          </w:pPr>
          <w:r>
            <w:rPr>
              <w:b/>
            </w:rPr>
            <w:t>Postadres</w:t>
          </w:r>
          <w:r>
            <w:rPr>
              <w:b/>
            </w:rPr>
            <w:br/>
          </w:r>
          <w:r>
            <w:t>Postbus 20401</w:t>
          </w:r>
          <w:r w:rsidRPr="005819CE">
            <w:br/>
            <w:t>2500 E</w:t>
          </w:r>
          <w:r>
            <w:t>K</w:t>
          </w:r>
          <w:r w:rsidRPr="005819CE">
            <w:t xml:space="preserve"> Den Haag</w:t>
          </w:r>
        </w:p>
        <w:p w14:paraId="55AD37DC" w14:textId="77777777" w:rsidR="00556BEE" w:rsidRPr="005B3814" w:rsidRDefault="00140AD6" w:rsidP="0098788A">
          <w:pPr>
            <w:pStyle w:val="Huisstijl-Adres"/>
          </w:pPr>
          <w:r>
            <w:rPr>
              <w:b/>
            </w:rPr>
            <w:t>Overheidsidentificatienr</w:t>
          </w:r>
          <w:r>
            <w:rPr>
              <w:b/>
            </w:rPr>
            <w:br/>
          </w:r>
          <w:r w:rsidR="00BA129E">
            <w:rPr>
              <w:rFonts w:cs="Agrofont"/>
              <w:iCs/>
            </w:rPr>
            <w:t>00000001858272854000</w:t>
          </w:r>
        </w:p>
        <w:p w14:paraId="322FDCD3" w14:textId="69BDED16" w:rsidR="00527BD4" w:rsidRPr="007F15B1" w:rsidRDefault="00140AD6"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E7399" w:rsidRPr="007F15B1" w14:paraId="004E5972" w14:textId="77777777" w:rsidTr="00B8373E">
      <w:trPr>
        <w:trHeight w:hRule="exact" w:val="80"/>
      </w:trPr>
      <w:tc>
        <w:tcPr>
          <w:tcW w:w="2160" w:type="dxa"/>
          <w:shd w:val="clear" w:color="auto" w:fill="auto"/>
        </w:tcPr>
        <w:p w14:paraId="71DB2CB0" w14:textId="77777777" w:rsidR="00527BD4" w:rsidRPr="00A72979" w:rsidRDefault="00527BD4" w:rsidP="00A50CF6">
          <w:pPr>
            <w:rPr>
              <w:lang w:val="fr-FR"/>
            </w:rPr>
          </w:pPr>
        </w:p>
      </w:tc>
    </w:tr>
    <w:tr w:rsidR="006E7399" w14:paraId="4A51AE00" w14:textId="77777777" w:rsidTr="00A50CF6">
      <w:tc>
        <w:tcPr>
          <w:tcW w:w="2160" w:type="dxa"/>
          <w:shd w:val="clear" w:color="auto" w:fill="auto"/>
        </w:tcPr>
        <w:p w14:paraId="58CA277B" w14:textId="77777777" w:rsidR="000C0163" w:rsidRPr="005819CE" w:rsidRDefault="00140AD6" w:rsidP="000C0163">
          <w:pPr>
            <w:pStyle w:val="Huisstijl-Kopje"/>
          </w:pPr>
          <w:r>
            <w:t>Ons kenmerk</w:t>
          </w:r>
        </w:p>
        <w:p w14:paraId="5E5974F2" w14:textId="468C451E" w:rsidR="000C0163" w:rsidRPr="005819CE" w:rsidRDefault="00140AD6" w:rsidP="007F15B1">
          <w:pPr>
            <w:pStyle w:val="Huisstijl-Gegeven"/>
          </w:pPr>
          <w:r>
            <w:t>DGLGS</w:t>
          </w:r>
          <w:r w:rsidR="00926AE2">
            <w:t xml:space="preserve"> / </w:t>
          </w:r>
          <w:bookmarkStart w:id="2" w:name="_Hlk200017783"/>
          <w:r w:rsidR="007F15B1">
            <w:t>99008012</w:t>
          </w:r>
          <w:bookmarkEnd w:id="2"/>
        </w:p>
        <w:p w14:paraId="28E85948" w14:textId="77777777" w:rsidR="00527BD4" w:rsidRPr="005819CE" w:rsidRDefault="00140AD6" w:rsidP="00A50CF6">
          <w:pPr>
            <w:pStyle w:val="Huisstijl-Kopje"/>
          </w:pPr>
          <w:r>
            <w:t>Uw kenmerk</w:t>
          </w:r>
        </w:p>
        <w:p w14:paraId="74B5F22D" w14:textId="77777777" w:rsidR="00527BD4" w:rsidRPr="005819CE" w:rsidRDefault="00140AD6" w:rsidP="00A50CF6">
          <w:pPr>
            <w:pStyle w:val="Huisstijl-Gegeven"/>
          </w:pPr>
          <w:r>
            <w:t>2025Z06756/2025D15831</w:t>
          </w:r>
        </w:p>
        <w:p w14:paraId="5FC2AC1D" w14:textId="77777777" w:rsidR="00527BD4" w:rsidRPr="005819CE" w:rsidRDefault="00527BD4" w:rsidP="007F15B1">
          <w:pPr>
            <w:pStyle w:val="Huisstijl-Kopje"/>
          </w:pPr>
        </w:p>
      </w:tc>
    </w:tr>
  </w:tbl>
  <w:p w14:paraId="3A8D223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6E7399" w:rsidRPr="007F6FB1" w14:paraId="01140EE6" w14:textId="77777777" w:rsidTr="001B667E">
      <w:trPr>
        <w:trHeight w:val="400"/>
      </w:trPr>
      <w:tc>
        <w:tcPr>
          <w:tcW w:w="7371" w:type="dxa"/>
          <w:gridSpan w:val="2"/>
          <w:shd w:val="clear" w:color="auto" w:fill="auto"/>
        </w:tcPr>
        <w:p w14:paraId="5365BD17" w14:textId="77777777" w:rsidR="00527BD4" w:rsidRPr="007F6FB1" w:rsidRDefault="00140AD6" w:rsidP="00A50CF6">
          <w:pPr>
            <w:pStyle w:val="Huisstijl-Retouradres"/>
            <w:rPr>
              <w:lang w:val="de-CH"/>
            </w:rPr>
          </w:pPr>
          <w:r w:rsidRPr="007F6FB1">
            <w:rPr>
              <w:lang w:val="de-CH"/>
            </w:rPr>
            <w:t xml:space="preserve">&gt; </w:t>
          </w:r>
          <w:r w:rsidR="008E07EA" w:rsidRPr="007F6FB1">
            <w:rPr>
              <w:lang w:val="de-CH"/>
            </w:rPr>
            <w:t xml:space="preserve">Retouradres Postbus </w:t>
          </w:r>
          <w:r w:rsidRPr="007F6FB1">
            <w:rPr>
              <w:lang w:val="de-CH"/>
            </w:rPr>
            <w:t>20401</w:t>
          </w:r>
          <w:r w:rsidR="008E07EA" w:rsidRPr="007F6FB1">
            <w:rPr>
              <w:lang w:val="de-CH"/>
            </w:rPr>
            <w:t xml:space="preserve"> </w:t>
          </w:r>
          <w:r w:rsidRPr="007F6FB1">
            <w:rPr>
              <w:lang w:val="de-CH"/>
            </w:rPr>
            <w:t>2500 EK</w:t>
          </w:r>
          <w:r w:rsidR="008E07EA" w:rsidRPr="007F6FB1">
            <w:rPr>
              <w:lang w:val="de-CH"/>
            </w:rPr>
            <w:t xml:space="preserve"> </w:t>
          </w:r>
          <w:r w:rsidRPr="007F6FB1">
            <w:rPr>
              <w:lang w:val="de-CH"/>
            </w:rPr>
            <w:t>Den Haag</w:t>
          </w:r>
        </w:p>
      </w:tc>
    </w:tr>
    <w:tr w:rsidR="006E7399" w:rsidRPr="007F6FB1" w14:paraId="152BDBA2" w14:textId="77777777" w:rsidTr="001B667E">
      <w:tc>
        <w:tcPr>
          <w:tcW w:w="7371" w:type="dxa"/>
          <w:gridSpan w:val="2"/>
          <w:shd w:val="clear" w:color="auto" w:fill="auto"/>
        </w:tcPr>
        <w:p w14:paraId="798C4479" w14:textId="77777777" w:rsidR="00527BD4" w:rsidRPr="007F6FB1" w:rsidRDefault="00527BD4" w:rsidP="00A50CF6">
          <w:pPr>
            <w:pStyle w:val="Huisstijl-Rubricering"/>
            <w:rPr>
              <w:lang w:val="de-CH"/>
            </w:rPr>
          </w:pPr>
        </w:p>
      </w:tc>
    </w:tr>
    <w:tr w:rsidR="006E7399" w14:paraId="42FFF7F5" w14:textId="77777777" w:rsidTr="001B667E">
      <w:trPr>
        <w:trHeight w:hRule="exact" w:val="2440"/>
      </w:trPr>
      <w:tc>
        <w:tcPr>
          <w:tcW w:w="7371" w:type="dxa"/>
          <w:gridSpan w:val="2"/>
          <w:shd w:val="clear" w:color="auto" w:fill="auto"/>
        </w:tcPr>
        <w:p w14:paraId="4E9596AA" w14:textId="77777777" w:rsidR="00527BD4" w:rsidRDefault="00140AD6" w:rsidP="00A50CF6">
          <w:pPr>
            <w:pStyle w:val="Huisstijl-NAW"/>
          </w:pPr>
          <w:r>
            <w:t xml:space="preserve">De Voorzitter van de Tweede Kamer </w:t>
          </w:r>
        </w:p>
        <w:p w14:paraId="5BC1D62B" w14:textId="77777777" w:rsidR="00D87195" w:rsidRDefault="00140AD6" w:rsidP="00D87195">
          <w:pPr>
            <w:pStyle w:val="Huisstijl-NAW"/>
          </w:pPr>
          <w:r>
            <w:t>der Staten-Generaal</w:t>
          </w:r>
        </w:p>
        <w:p w14:paraId="3642045E" w14:textId="77777777" w:rsidR="005C769E" w:rsidRDefault="00140AD6" w:rsidP="005C769E">
          <w:pPr>
            <w:rPr>
              <w:szCs w:val="18"/>
            </w:rPr>
          </w:pPr>
          <w:r>
            <w:rPr>
              <w:szCs w:val="18"/>
            </w:rPr>
            <w:t>Prinses Irenestraat 6</w:t>
          </w:r>
        </w:p>
        <w:p w14:paraId="1DAE4E56" w14:textId="77777777" w:rsidR="005C769E" w:rsidRDefault="00140AD6" w:rsidP="005C769E">
          <w:pPr>
            <w:pStyle w:val="Huisstijl-NAW"/>
          </w:pPr>
          <w:r>
            <w:t>2595 BD  DEN HAAG</w:t>
          </w:r>
        </w:p>
      </w:tc>
    </w:tr>
    <w:tr w:rsidR="006E7399" w14:paraId="35134CF1" w14:textId="77777777" w:rsidTr="001B667E">
      <w:trPr>
        <w:trHeight w:hRule="exact" w:val="400"/>
      </w:trPr>
      <w:tc>
        <w:tcPr>
          <w:tcW w:w="7371" w:type="dxa"/>
          <w:gridSpan w:val="2"/>
          <w:shd w:val="clear" w:color="auto" w:fill="auto"/>
        </w:tcPr>
        <w:p w14:paraId="70D84D1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E7399" w14:paraId="4D62D934" w14:textId="77777777" w:rsidTr="001B667E">
      <w:trPr>
        <w:trHeight w:val="240"/>
      </w:trPr>
      <w:tc>
        <w:tcPr>
          <w:tcW w:w="709" w:type="dxa"/>
          <w:shd w:val="clear" w:color="auto" w:fill="auto"/>
        </w:tcPr>
        <w:p w14:paraId="407B99AF" w14:textId="77777777" w:rsidR="00527BD4" w:rsidRPr="00C21A01" w:rsidRDefault="00140AD6" w:rsidP="00A50CF6">
          <w:pPr>
            <w:rPr>
              <w:szCs w:val="18"/>
            </w:rPr>
          </w:pPr>
          <w:r>
            <w:rPr>
              <w:szCs w:val="18"/>
            </w:rPr>
            <w:t>Datum</w:t>
          </w:r>
        </w:p>
      </w:tc>
      <w:tc>
        <w:tcPr>
          <w:tcW w:w="6662" w:type="dxa"/>
          <w:shd w:val="clear" w:color="auto" w:fill="auto"/>
        </w:tcPr>
        <w:p w14:paraId="60C3AA23" w14:textId="120705C9" w:rsidR="00527BD4" w:rsidRPr="007709EF" w:rsidRDefault="00B8373E" w:rsidP="00A50CF6">
          <w:r>
            <w:t>23 juni 2025</w:t>
          </w:r>
        </w:p>
      </w:tc>
    </w:tr>
    <w:tr w:rsidR="006E7399" w14:paraId="2386CCBA" w14:textId="77777777" w:rsidTr="001B667E">
      <w:trPr>
        <w:trHeight w:val="240"/>
      </w:trPr>
      <w:tc>
        <w:tcPr>
          <w:tcW w:w="709" w:type="dxa"/>
          <w:shd w:val="clear" w:color="auto" w:fill="auto"/>
        </w:tcPr>
        <w:p w14:paraId="64338D95" w14:textId="77777777" w:rsidR="00527BD4" w:rsidRPr="00C21A01" w:rsidRDefault="00140AD6" w:rsidP="00A50CF6">
          <w:pPr>
            <w:rPr>
              <w:szCs w:val="18"/>
            </w:rPr>
          </w:pPr>
          <w:r>
            <w:rPr>
              <w:szCs w:val="18"/>
            </w:rPr>
            <w:t>Betreft</w:t>
          </w:r>
        </w:p>
      </w:tc>
      <w:tc>
        <w:tcPr>
          <w:tcW w:w="6662" w:type="dxa"/>
          <w:shd w:val="clear" w:color="auto" w:fill="auto"/>
        </w:tcPr>
        <w:p w14:paraId="28CB8A56" w14:textId="69D08937" w:rsidR="00527BD4" w:rsidRPr="007709EF" w:rsidRDefault="00140AD6" w:rsidP="00A50CF6">
          <w:bookmarkStart w:id="3" w:name="_Hlk200017822"/>
          <w:r>
            <w:t>Beantwoording verzoek om reactie op juridische notitie Van Doorn</w:t>
          </w:r>
          <w:r w:rsidR="00450351">
            <w:t>e</w:t>
          </w:r>
          <w:bookmarkEnd w:id="3"/>
        </w:p>
      </w:tc>
    </w:tr>
  </w:tbl>
  <w:p w14:paraId="0568B9F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0D8D16A">
      <w:start w:val="1"/>
      <w:numFmt w:val="bullet"/>
      <w:pStyle w:val="Lijstopsomteken"/>
      <w:lvlText w:val="•"/>
      <w:lvlJc w:val="left"/>
      <w:pPr>
        <w:tabs>
          <w:tab w:val="num" w:pos="227"/>
        </w:tabs>
        <w:ind w:left="227" w:hanging="227"/>
      </w:pPr>
      <w:rPr>
        <w:rFonts w:ascii="Verdana" w:hAnsi="Verdana" w:hint="default"/>
        <w:sz w:val="18"/>
        <w:szCs w:val="18"/>
      </w:rPr>
    </w:lvl>
    <w:lvl w:ilvl="1" w:tplc="4E2A16B0" w:tentative="1">
      <w:start w:val="1"/>
      <w:numFmt w:val="bullet"/>
      <w:lvlText w:val="o"/>
      <w:lvlJc w:val="left"/>
      <w:pPr>
        <w:tabs>
          <w:tab w:val="num" w:pos="1440"/>
        </w:tabs>
        <w:ind w:left="1440" w:hanging="360"/>
      </w:pPr>
      <w:rPr>
        <w:rFonts w:ascii="Courier New" w:hAnsi="Courier New" w:cs="Courier New" w:hint="default"/>
      </w:rPr>
    </w:lvl>
    <w:lvl w:ilvl="2" w:tplc="CD2A6680" w:tentative="1">
      <w:start w:val="1"/>
      <w:numFmt w:val="bullet"/>
      <w:lvlText w:val=""/>
      <w:lvlJc w:val="left"/>
      <w:pPr>
        <w:tabs>
          <w:tab w:val="num" w:pos="2160"/>
        </w:tabs>
        <w:ind w:left="2160" w:hanging="360"/>
      </w:pPr>
      <w:rPr>
        <w:rFonts w:ascii="Wingdings" w:hAnsi="Wingdings" w:hint="default"/>
      </w:rPr>
    </w:lvl>
    <w:lvl w:ilvl="3" w:tplc="D86C6AE2" w:tentative="1">
      <w:start w:val="1"/>
      <w:numFmt w:val="bullet"/>
      <w:lvlText w:val=""/>
      <w:lvlJc w:val="left"/>
      <w:pPr>
        <w:tabs>
          <w:tab w:val="num" w:pos="2880"/>
        </w:tabs>
        <w:ind w:left="2880" w:hanging="360"/>
      </w:pPr>
      <w:rPr>
        <w:rFonts w:ascii="Symbol" w:hAnsi="Symbol" w:hint="default"/>
      </w:rPr>
    </w:lvl>
    <w:lvl w:ilvl="4" w:tplc="DBC221A2" w:tentative="1">
      <w:start w:val="1"/>
      <w:numFmt w:val="bullet"/>
      <w:lvlText w:val="o"/>
      <w:lvlJc w:val="left"/>
      <w:pPr>
        <w:tabs>
          <w:tab w:val="num" w:pos="3600"/>
        </w:tabs>
        <w:ind w:left="3600" w:hanging="360"/>
      </w:pPr>
      <w:rPr>
        <w:rFonts w:ascii="Courier New" w:hAnsi="Courier New" w:cs="Courier New" w:hint="default"/>
      </w:rPr>
    </w:lvl>
    <w:lvl w:ilvl="5" w:tplc="99746C2A" w:tentative="1">
      <w:start w:val="1"/>
      <w:numFmt w:val="bullet"/>
      <w:lvlText w:val=""/>
      <w:lvlJc w:val="left"/>
      <w:pPr>
        <w:tabs>
          <w:tab w:val="num" w:pos="4320"/>
        </w:tabs>
        <w:ind w:left="4320" w:hanging="360"/>
      </w:pPr>
      <w:rPr>
        <w:rFonts w:ascii="Wingdings" w:hAnsi="Wingdings" w:hint="default"/>
      </w:rPr>
    </w:lvl>
    <w:lvl w:ilvl="6" w:tplc="E28003C8" w:tentative="1">
      <w:start w:val="1"/>
      <w:numFmt w:val="bullet"/>
      <w:lvlText w:val=""/>
      <w:lvlJc w:val="left"/>
      <w:pPr>
        <w:tabs>
          <w:tab w:val="num" w:pos="5040"/>
        </w:tabs>
        <w:ind w:left="5040" w:hanging="360"/>
      </w:pPr>
      <w:rPr>
        <w:rFonts w:ascii="Symbol" w:hAnsi="Symbol" w:hint="default"/>
      </w:rPr>
    </w:lvl>
    <w:lvl w:ilvl="7" w:tplc="6AFA5D98" w:tentative="1">
      <w:start w:val="1"/>
      <w:numFmt w:val="bullet"/>
      <w:lvlText w:val="o"/>
      <w:lvlJc w:val="left"/>
      <w:pPr>
        <w:tabs>
          <w:tab w:val="num" w:pos="5760"/>
        </w:tabs>
        <w:ind w:left="5760" w:hanging="360"/>
      </w:pPr>
      <w:rPr>
        <w:rFonts w:ascii="Courier New" w:hAnsi="Courier New" w:cs="Courier New" w:hint="default"/>
      </w:rPr>
    </w:lvl>
    <w:lvl w:ilvl="8" w:tplc="0CFED3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302A2"/>
    <w:multiLevelType w:val="hybridMultilevel"/>
    <w:tmpl w:val="7ECCD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EE07036">
      <w:start w:val="1"/>
      <w:numFmt w:val="bullet"/>
      <w:pStyle w:val="Lijstopsomteken2"/>
      <w:lvlText w:val="–"/>
      <w:lvlJc w:val="left"/>
      <w:pPr>
        <w:tabs>
          <w:tab w:val="num" w:pos="227"/>
        </w:tabs>
        <w:ind w:left="227" w:firstLine="0"/>
      </w:pPr>
      <w:rPr>
        <w:rFonts w:ascii="Verdana" w:hAnsi="Verdana" w:hint="default"/>
      </w:rPr>
    </w:lvl>
    <w:lvl w:ilvl="1" w:tplc="4510F6BA" w:tentative="1">
      <w:start w:val="1"/>
      <w:numFmt w:val="bullet"/>
      <w:lvlText w:val="o"/>
      <w:lvlJc w:val="left"/>
      <w:pPr>
        <w:tabs>
          <w:tab w:val="num" w:pos="1440"/>
        </w:tabs>
        <w:ind w:left="1440" w:hanging="360"/>
      </w:pPr>
      <w:rPr>
        <w:rFonts w:ascii="Courier New" w:hAnsi="Courier New" w:cs="Courier New" w:hint="default"/>
      </w:rPr>
    </w:lvl>
    <w:lvl w:ilvl="2" w:tplc="D67CF752" w:tentative="1">
      <w:start w:val="1"/>
      <w:numFmt w:val="bullet"/>
      <w:lvlText w:val=""/>
      <w:lvlJc w:val="left"/>
      <w:pPr>
        <w:tabs>
          <w:tab w:val="num" w:pos="2160"/>
        </w:tabs>
        <w:ind w:left="2160" w:hanging="360"/>
      </w:pPr>
      <w:rPr>
        <w:rFonts w:ascii="Wingdings" w:hAnsi="Wingdings" w:hint="default"/>
      </w:rPr>
    </w:lvl>
    <w:lvl w:ilvl="3" w:tplc="B7385524" w:tentative="1">
      <w:start w:val="1"/>
      <w:numFmt w:val="bullet"/>
      <w:lvlText w:val=""/>
      <w:lvlJc w:val="left"/>
      <w:pPr>
        <w:tabs>
          <w:tab w:val="num" w:pos="2880"/>
        </w:tabs>
        <w:ind w:left="2880" w:hanging="360"/>
      </w:pPr>
      <w:rPr>
        <w:rFonts w:ascii="Symbol" w:hAnsi="Symbol" w:hint="default"/>
      </w:rPr>
    </w:lvl>
    <w:lvl w:ilvl="4" w:tplc="D786DA3E" w:tentative="1">
      <w:start w:val="1"/>
      <w:numFmt w:val="bullet"/>
      <w:lvlText w:val="o"/>
      <w:lvlJc w:val="left"/>
      <w:pPr>
        <w:tabs>
          <w:tab w:val="num" w:pos="3600"/>
        </w:tabs>
        <w:ind w:left="3600" w:hanging="360"/>
      </w:pPr>
      <w:rPr>
        <w:rFonts w:ascii="Courier New" w:hAnsi="Courier New" w:cs="Courier New" w:hint="default"/>
      </w:rPr>
    </w:lvl>
    <w:lvl w:ilvl="5" w:tplc="14E0444E" w:tentative="1">
      <w:start w:val="1"/>
      <w:numFmt w:val="bullet"/>
      <w:lvlText w:val=""/>
      <w:lvlJc w:val="left"/>
      <w:pPr>
        <w:tabs>
          <w:tab w:val="num" w:pos="4320"/>
        </w:tabs>
        <w:ind w:left="4320" w:hanging="360"/>
      </w:pPr>
      <w:rPr>
        <w:rFonts w:ascii="Wingdings" w:hAnsi="Wingdings" w:hint="default"/>
      </w:rPr>
    </w:lvl>
    <w:lvl w:ilvl="6" w:tplc="BE4E6C3E" w:tentative="1">
      <w:start w:val="1"/>
      <w:numFmt w:val="bullet"/>
      <w:lvlText w:val=""/>
      <w:lvlJc w:val="left"/>
      <w:pPr>
        <w:tabs>
          <w:tab w:val="num" w:pos="5040"/>
        </w:tabs>
        <w:ind w:left="5040" w:hanging="360"/>
      </w:pPr>
      <w:rPr>
        <w:rFonts w:ascii="Symbol" w:hAnsi="Symbol" w:hint="default"/>
      </w:rPr>
    </w:lvl>
    <w:lvl w:ilvl="7" w:tplc="0E94B07A" w:tentative="1">
      <w:start w:val="1"/>
      <w:numFmt w:val="bullet"/>
      <w:lvlText w:val="o"/>
      <w:lvlJc w:val="left"/>
      <w:pPr>
        <w:tabs>
          <w:tab w:val="num" w:pos="5760"/>
        </w:tabs>
        <w:ind w:left="5760" w:hanging="360"/>
      </w:pPr>
      <w:rPr>
        <w:rFonts w:ascii="Courier New" w:hAnsi="Courier New" w:cs="Courier New" w:hint="default"/>
      </w:rPr>
    </w:lvl>
    <w:lvl w:ilvl="8" w:tplc="AD365FB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97118544">
    <w:abstractNumId w:val="10"/>
  </w:num>
  <w:num w:numId="2" w16cid:durableId="1480270826">
    <w:abstractNumId w:val="7"/>
  </w:num>
  <w:num w:numId="3" w16cid:durableId="106776669">
    <w:abstractNumId w:val="6"/>
  </w:num>
  <w:num w:numId="4" w16cid:durableId="883906175">
    <w:abstractNumId w:val="5"/>
  </w:num>
  <w:num w:numId="5" w16cid:durableId="835417826">
    <w:abstractNumId w:val="4"/>
  </w:num>
  <w:num w:numId="6" w16cid:durableId="1169907858">
    <w:abstractNumId w:val="8"/>
  </w:num>
  <w:num w:numId="7" w16cid:durableId="2054037092">
    <w:abstractNumId w:val="3"/>
  </w:num>
  <w:num w:numId="8" w16cid:durableId="870608476">
    <w:abstractNumId w:val="2"/>
  </w:num>
  <w:num w:numId="9" w16cid:durableId="1101726973">
    <w:abstractNumId w:val="1"/>
  </w:num>
  <w:num w:numId="10" w16cid:durableId="2020423003">
    <w:abstractNumId w:val="0"/>
  </w:num>
  <w:num w:numId="11" w16cid:durableId="576786490">
    <w:abstractNumId w:val="9"/>
  </w:num>
  <w:num w:numId="12" w16cid:durableId="1182011381">
    <w:abstractNumId w:val="12"/>
  </w:num>
  <w:num w:numId="13" w16cid:durableId="1773864931">
    <w:abstractNumId w:val="14"/>
  </w:num>
  <w:num w:numId="14" w16cid:durableId="1626496151">
    <w:abstractNumId w:val="13"/>
  </w:num>
  <w:num w:numId="15" w16cid:durableId="14335286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17B43"/>
    <w:rsid w:val="00020189"/>
    <w:rsid w:val="00020EE4"/>
    <w:rsid w:val="00023E9A"/>
    <w:rsid w:val="00033CDD"/>
    <w:rsid w:val="00034A84"/>
    <w:rsid w:val="00035E67"/>
    <w:rsid w:val="000366F3"/>
    <w:rsid w:val="00056D5D"/>
    <w:rsid w:val="0006024D"/>
    <w:rsid w:val="00071F28"/>
    <w:rsid w:val="00074079"/>
    <w:rsid w:val="000810C1"/>
    <w:rsid w:val="000860DF"/>
    <w:rsid w:val="00092799"/>
    <w:rsid w:val="00092C5F"/>
    <w:rsid w:val="00096057"/>
    <w:rsid w:val="00096680"/>
    <w:rsid w:val="000A0A27"/>
    <w:rsid w:val="000A0F36"/>
    <w:rsid w:val="000A174A"/>
    <w:rsid w:val="000A3E0A"/>
    <w:rsid w:val="000A65AC"/>
    <w:rsid w:val="000B7281"/>
    <w:rsid w:val="000B7FAB"/>
    <w:rsid w:val="000C0163"/>
    <w:rsid w:val="000C1BA1"/>
    <w:rsid w:val="000C3EA9"/>
    <w:rsid w:val="000C5BA9"/>
    <w:rsid w:val="000D0225"/>
    <w:rsid w:val="000E7895"/>
    <w:rsid w:val="000E7EB7"/>
    <w:rsid w:val="000F161D"/>
    <w:rsid w:val="000F3CAA"/>
    <w:rsid w:val="000F709E"/>
    <w:rsid w:val="0010401A"/>
    <w:rsid w:val="0010542C"/>
    <w:rsid w:val="0010753D"/>
    <w:rsid w:val="00121BF0"/>
    <w:rsid w:val="00123704"/>
    <w:rsid w:val="001270C7"/>
    <w:rsid w:val="00132540"/>
    <w:rsid w:val="00140AD6"/>
    <w:rsid w:val="0014786A"/>
    <w:rsid w:val="00147CDF"/>
    <w:rsid w:val="001516A4"/>
    <w:rsid w:val="00151E5F"/>
    <w:rsid w:val="00153E28"/>
    <w:rsid w:val="00154908"/>
    <w:rsid w:val="001554D0"/>
    <w:rsid w:val="001569AB"/>
    <w:rsid w:val="00164D63"/>
    <w:rsid w:val="0016725C"/>
    <w:rsid w:val="001726F3"/>
    <w:rsid w:val="001733E1"/>
    <w:rsid w:val="00173C51"/>
    <w:rsid w:val="00174CC2"/>
    <w:rsid w:val="00176CC6"/>
    <w:rsid w:val="0018016B"/>
    <w:rsid w:val="00181BE4"/>
    <w:rsid w:val="00185576"/>
    <w:rsid w:val="00185951"/>
    <w:rsid w:val="00196474"/>
    <w:rsid w:val="00196B8B"/>
    <w:rsid w:val="001A2BEA"/>
    <w:rsid w:val="001A6D93"/>
    <w:rsid w:val="001B667E"/>
    <w:rsid w:val="001C32EC"/>
    <w:rsid w:val="001C38BD"/>
    <w:rsid w:val="001C4D5A"/>
    <w:rsid w:val="001D1B4F"/>
    <w:rsid w:val="001D2A69"/>
    <w:rsid w:val="001E34C6"/>
    <w:rsid w:val="001E5581"/>
    <w:rsid w:val="001F3C70"/>
    <w:rsid w:val="00200D88"/>
    <w:rsid w:val="00201F68"/>
    <w:rsid w:val="00212F2A"/>
    <w:rsid w:val="00214F2B"/>
    <w:rsid w:val="00216F02"/>
    <w:rsid w:val="00217880"/>
    <w:rsid w:val="00222D66"/>
    <w:rsid w:val="00224A8A"/>
    <w:rsid w:val="002309A8"/>
    <w:rsid w:val="002318BB"/>
    <w:rsid w:val="00232D34"/>
    <w:rsid w:val="00236BB2"/>
    <w:rsid w:val="00236CFE"/>
    <w:rsid w:val="002428E3"/>
    <w:rsid w:val="00243031"/>
    <w:rsid w:val="00246757"/>
    <w:rsid w:val="002570B4"/>
    <w:rsid w:val="00260BAF"/>
    <w:rsid w:val="002650F7"/>
    <w:rsid w:val="002713B3"/>
    <w:rsid w:val="00273F3B"/>
    <w:rsid w:val="00274DB7"/>
    <w:rsid w:val="00275984"/>
    <w:rsid w:val="00280F74"/>
    <w:rsid w:val="002822CA"/>
    <w:rsid w:val="00286998"/>
    <w:rsid w:val="002878FC"/>
    <w:rsid w:val="00291AB7"/>
    <w:rsid w:val="00292EB2"/>
    <w:rsid w:val="0029422B"/>
    <w:rsid w:val="002A0938"/>
    <w:rsid w:val="002A17F6"/>
    <w:rsid w:val="002B153C"/>
    <w:rsid w:val="002B52FC"/>
    <w:rsid w:val="002C0BB4"/>
    <w:rsid w:val="002C2830"/>
    <w:rsid w:val="002D001A"/>
    <w:rsid w:val="002D28E2"/>
    <w:rsid w:val="002D317B"/>
    <w:rsid w:val="002D3587"/>
    <w:rsid w:val="002D502D"/>
    <w:rsid w:val="002E0F69"/>
    <w:rsid w:val="002E6CB4"/>
    <w:rsid w:val="002F45E3"/>
    <w:rsid w:val="002F5147"/>
    <w:rsid w:val="002F7ABD"/>
    <w:rsid w:val="00312597"/>
    <w:rsid w:val="00312F73"/>
    <w:rsid w:val="00327BA5"/>
    <w:rsid w:val="00334154"/>
    <w:rsid w:val="00336D8D"/>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197F"/>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16328"/>
    <w:rsid w:val="00441AC2"/>
    <w:rsid w:val="0044249B"/>
    <w:rsid w:val="0045023C"/>
    <w:rsid w:val="00450351"/>
    <w:rsid w:val="00450D87"/>
    <w:rsid w:val="00451A5B"/>
    <w:rsid w:val="00452BCD"/>
    <w:rsid w:val="00452CEA"/>
    <w:rsid w:val="00465B52"/>
    <w:rsid w:val="0046708E"/>
    <w:rsid w:val="00472048"/>
    <w:rsid w:val="00472A65"/>
    <w:rsid w:val="00474463"/>
    <w:rsid w:val="00474B75"/>
    <w:rsid w:val="00481085"/>
    <w:rsid w:val="00483F0B"/>
    <w:rsid w:val="004852E7"/>
    <w:rsid w:val="00492D69"/>
    <w:rsid w:val="004932AE"/>
    <w:rsid w:val="00496319"/>
    <w:rsid w:val="00497279"/>
    <w:rsid w:val="004A163B"/>
    <w:rsid w:val="004A670A"/>
    <w:rsid w:val="004B5465"/>
    <w:rsid w:val="004B70F0"/>
    <w:rsid w:val="004C75E9"/>
    <w:rsid w:val="004D505E"/>
    <w:rsid w:val="004D72CA"/>
    <w:rsid w:val="004E2242"/>
    <w:rsid w:val="004E4776"/>
    <w:rsid w:val="004E4A7D"/>
    <w:rsid w:val="004E505E"/>
    <w:rsid w:val="004E5E6E"/>
    <w:rsid w:val="004F42FF"/>
    <w:rsid w:val="004F44C2"/>
    <w:rsid w:val="004F6803"/>
    <w:rsid w:val="00502512"/>
    <w:rsid w:val="00503FD2"/>
    <w:rsid w:val="00505262"/>
    <w:rsid w:val="00511080"/>
    <w:rsid w:val="00516022"/>
    <w:rsid w:val="00521CEE"/>
    <w:rsid w:val="00524FB4"/>
    <w:rsid w:val="00527694"/>
    <w:rsid w:val="00527BD4"/>
    <w:rsid w:val="00533481"/>
    <w:rsid w:val="00537095"/>
    <w:rsid w:val="005403C8"/>
    <w:rsid w:val="00541357"/>
    <w:rsid w:val="005429DC"/>
    <w:rsid w:val="00551E0E"/>
    <w:rsid w:val="00553247"/>
    <w:rsid w:val="005565F9"/>
    <w:rsid w:val="00556BEE"/>
    <w:rsid w:val="00573041"/>
    <w:rsid w:val="00575B80"/>
    <w:rsid w:val="0057620F"/>
    <w:rsid w:val="005819CE"/>
    <w:rsid w:val="0058298D"/>
    <w:rsid w:val="00583B63"/>
    <w:rsid w:val="00584C1A"/>
    <w:rsid w:val="00593C2B"/>
    <w:rsid w:val="00595231"/>
    <w:rsid w:val="005953D4"/>
    <w:rsid w:val="00596166"/>
    <w:rsid w:val="00597F64"/>
    <w:rsid w:val="005A207F"/>
    <w:rsid w:val="005A2F35"/>
    <w:rsid w:val="005B2564"/>
    <w:rsid w:val="005B3814"/>
    <w:rsid w:val="005B463E"/>
    <w:rsid w:val="005B4725"/>
    <w:rsid w:val="005C07D1"/>
    <w:rsid w:val="005C34E1"/>
    <w:rsid w:val="005C3FE0"/>
    <w:rsid w:val="005C6871"/>
    <w:rsid w:val="005C740C"/>
    <w:rsid w:val="005C769E"/>
    <w:rsid w:val="005D1C22"/>
    <w:rsid w:val="005D32D1"/>
    <w:rsid w:val="005D625B"/>
    <w:rsid w:val="005E5004"/>
    <w:rsid w:val="005E5358"/>
    <w:rsid w:val="005F62D3"/>
    <w:rsid w:val="005F6D11"/>
    <w:rsid w:val="00600CF0"/>
    <w:rsid w:val="006048F4"/>
    <w:rsid w:val="0060660A"/>
    <w:rsid w:val="00613B1D"/>
    <w:rsid w:val="006140B7"/>
    <w:rsid w:val="00617A44"/>
    <w:rsid w:val="006202B6"/>
    <w:rsid w:val="00625CD0"/>
    <w:rsid w:val="0062627D"/>
    <w:rsid w:val="00627432"/>
    <w:rsid w:val="006336C6"/>
    <w:rsid w:val="006441C6"/>
    <w:rsid w:val="006448E4"/>
    <w:rsid w:val="006451E5"/>
    <w:rsid w:val="00645414"/>
    <w:rsid w:val="0065134C"/>
    <w:rsid w:val="00651CEE"/>
    <w:rsid w:val="00653606"/>
    <w:rsid w:val="006610E9"/>
    <w:rsid w:val="00661591"/>
    <w:rsid w:val="00661E35"/>
    <w:rsid w:val="00664678"/>
    <w:rsid w:val="0066632F"/>
    <w:rsid w:val="00674A89"/>
    <w:rsid w:val="00674F3D"/>
    <w:rsid w:val="00685545"/>
    <w:rsid w:val="00685D27"/>
    <w:rsid w:val="006864B3"/>
    <w:rsid w:val="00692D64"/>
    <w:rsid w:val="006A0782"/>
    <w:rsid w:val="006A10F8"/>
    <w:rsid w:val="006A15A5"/>
    <w:rsid w:val="006A2100"/>
    <w:rsid w:val="006A5C3B"/>
    <w:rsid w:val="006A72E0"/>
    <w:rsid w:val="006B0BF3"/>
    <w:rsid w:val="006B775E"/>
    <w:rsid w:val="006B7BC7"/>
    <w:rsid w:val="006C2535"/>
    <w:rsid w:val="006C441E"/>
    <w:rsid w:val="006C4B90"/>
    <w:rsid w:val="006D1016"/>
    <w:rsid w:val="006D17F2"/>
    <w:rsid w:val="006D77FC"/>
    <w:rsid w:val="006E3546"/>
    <w:rsid w:val="006E3C4E"/>
    <w:rsid w:val="006E3FA9"/>
    <w:rsid w:val="006E7399"/>
    <w:rsid w:val="006E7D82"/>
    <w:rsid w:val="006F038F"/>
    <w:rsid w:val="006F04AF"/>
    <w:rsid w:val="006F0F93"/>
    <w:rsid w:val="006F31F2"/>
    <w:rsid w:val="006F7494"/>
    <w:rsid w:val="006F751F"/>
    <w:rsid w:val="00701154"/>
    <w:rsid w:val="00704E60"/>
    <w:rsid w:val="007078EC"/>
    <w:rsid w:val="00714DC5"/>
    <w:rsid w:val="00715237"/>
    <w:rsid w:val="00720F3F"/>
    <w:rsid w:val="00721AE1"/>
    <w:rsid w:val="007239A1"/>
    <w:rsid w:val="007254A5"/>
    <w:rsid w:val="007255FC"/>
    <w:rsid w:val="00725748"/>
    <w:rsid w:val="00735D88"/>
    <w:rsid w:val="007368A8"/>
    <w:rsid w:val="0073720D"/>
    <w:rsid w:val="00737507"/>
    <w:rsid w:val="00740712"/>
    <w:rsid w:val="007411C5"/>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A4C11"/>
    <w:rsid w:val="007B4503"/>
    <w:rsid w:val="007C406E"/>
    <w:rsid w:val="007C5183"/>
    <w:rsid w:val="007C7573"/>
    <w:rsid w:val="007D68CC"/>
    <w:rsid w:val="007E2B20"/>
    <w:rsid w:val="007E3F0D"/>
    <w:rsid w:val="007F1572"/>
    <w:rsid w:val="007F15B1"/>
    <w:rsid w:val="007F439C"/>
    <w:rsid w:val="007F5331"/>
    <w:rsid w:val="007F6AB7"/>
    <w:rsid w:val="007F6FB1"/>
    <w:rsid w:val="00800CCA"/>
    <w:rsid w:val="00806120"/>
    <w:rsid w:val="00806F63"/>
    <w:rsid w:val="00810BDD"/>
    <w:rsid w:val="00810C93"/>
    <w:rsid w:val="00812028"/>
    <w:rsid w:val="00812DD8"/>
    <w:rsid w:val="00813082"/>
    <w:rsid w:val="00814D03"/>
    <w:rsid w:val="00820371"/>
    <w:rsid w:val="00821FC1"/>
    <w:rsid w:val="00823AE2"/>
    <w:rsid w:val="008311E4"/>
    <w:rsid w:val="0083178B"/>
    <w:rsid w:val="00831EE4"/>
    <w:rsid w:val="008325A4"/>
    <w:rsid w:val="008330A9"/>
    <w:rsid w:val="00833695"/>
    <w:rsid w:val="008336B7"/>
    <w:rsid w:val="00833A8E"/>
    <w:rsid w:val="00834B3F"/>
    <w:rsid w:val="00836ACA"/>
    <w:rsid w:val="008404D6"/>
    <w:rsid w:val="00842CD8"/>
    <w:rsid w:val="008431FA"/>
    <w:rsid w:val="00847444"/>
    <w:rsid w:val="008517C6"/>
    <w:rsid w:val="008547BA"/>
    <w:rsid w:val="008553C7"/>
    <w:rsid w:val="0085648D"/>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54B"/>
    <w:rsid w:val="008B7B24"/>
    <w:rsid w:val="008C356D"/>
    <w:rsid w:val="008C7C3D"/>
    <w:rsid w:val="008D19EF"/>
    <w:rsid w:val="008D43B5"/>
    <w:rsid w:val="008E07EA"/>
    <w:rsid w:val="008E0B3F"/>
    <w:rsid w:val="008E49AD"/>
    <w:rsid w:val="008E698E"/>
    <w:rsid w:val="008F2584"/>
    <w:rsid w:val="008F3246"/>
    <w:rsid w:val="008F3C1B"/>
    <w:rsid w:val="008F508C"/>
    <w:rsid w:val="009000E4"/>
    <w:rsid w:val="0090271B"/>
    <w:rsid w:val="00910642"/>
    <w:rsid w:val="00910DDF"/>
    <w:rsid w:val="009167E2"/>
    <w:rsid w:val="00921FE8"/>
    <w:rsid w:val="00926AE2"/>
    <w:rsid w:val="00927D66"/>
    <w:rsid w:val="00930B13"/>
    <w:rsid w:val="009311C8"/>
    <w:rsid w:val="00933376"/>
    <w:rsid w:val="00933A2F"/>
    <w:rsid w:val="00967600"/>
    <w:rsid w:val="009716D8"/>
    <w:rsid w:val="009718F9"/>
    <w:rsid w:val="00971F42"/>
    <w:rsid w:val="00972FB9"/>
    <w:rsid w:val="00975112"/>
    <w:rsid w:val="00981768"/>
    <w:rsid w:val="00983E8F"/>
    <w:rsid w:val="0098788A"/>
    <w:rsid w:val="00990A3E"/>
    <w:rsid w:val="009937CE"/>
    <w:rsid w:val="00994FDA"/>
    <w:rsid w:val="009A1C5A"/>
    <w:rsid w:val="009A31BF"/>
    <w:rsid w:val="009A3B71"/>
    <w:rsid w:val="009A61BC"/>
    <w:rsid w:val="009B0138"/>
    <w:rsid w:val="009B0FE9"/>
    <w:rsid w:val="009B173A"/>
    <w:rsid w:val="009B76EC"/>
    <w:rsid w:val="009C3F20"/>
    <w:rsid w:val="009C7CA1"/>
    <w:rsid w:val="009D043D"/>
    <w:rsid w:val="009D485F"/>
    <w:rsid w:val="009F3259"/>
    <w:rsid w:val="00A056DE"/>
    <w:rsid w:val="00A07FD8"/>
    <w:rsid w:val="00A128AD"/>
    <w:rsid w:val="00A21E76"/>
    <w:rsid w:val="00A23BC8"/>
    <w:rsid w:val="00A245F8"/>
    <w:rsid w:val="00A303C1"/>
    <w:rsid w:val="00A30E68"/>
    <w:rsid w:val="00A31933"/>
    <w:rsid w:val="00A31E4E"/>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940"/>
    <w:rsid w:val="00A91FA3"/>
    <w:rsid w:val="00A927D3"/>
    <w:rsid w:val="00A97304"/>
    <w:rsid w:val="00AA7FC9"/>
    <w:rsid w:val="00AB237D"/>
    <w:rsid w:val="00AB5933"/>
    <w:rsid w:val="00AC0781"/>
    <w:rsid w:val="00AD1605"/>
    <w:rsid w:val="00AE013D"/>
    <w:rsid w:val="00AE11B7"/>
    <w:rsid w:val="00AE7F68"/>
    <w:rsid w:val="00AF2321"/>
    <w:rsid w:val="00AF52F6"/>
    <w:rsid w:val="00AF54A8"/>
    <w:rsid w:val="00AF7237"/>
    <w:rsid w:val="00B0043A"/>
    <w:rsid w:val="00B00D75"/>
    <w:rsid w:val="00B0185F"/>
    <w:rsid w:val="00B070CB"/>
    <w:rsid w:val="00B10E6F"/>
    <w:rsid w:val="00B11DD6"/>
    <w:rsid w:val="00B12456"/>
    <w:rsid w:val="00B145F0"/>
    <w:rsid w:val="00B22B82"/>
    <w:rsid w:val="00B259C8"/>
    <w:rsid w:val="00B26CCF"/>
    <w:rsid w:val="00B30FC2"/>
    <w:rsid w:val="00B331A2"/>
    <w:rsid w:val="00B36361"/>
    <w:rsid w:val="00B36ADE"/>
    <w:rsid w:val="00B425F0"/>
    <w:rsid w:val="00B42DFA"/>
    <w:rsid w:val="00B531DD"/>
    <w:rsid w:val="00B55014"/>
    <w:rsid w:val="00B62232"/>
    <w:rsid w:val="00B70BF3"/>
    <w:rsid w:val="00B71DC2"/>
    <w:rsid w:val="00B73F0D"/>
    <w:rsid w:val="00B824BA"/>
    <w:rsid w:val="00B826C8"/>
    <w:rsid w:val="00B8373E"/>
    <w:rsid w:val="00B91CFC"/>
    <w:rsid w:val="00B93893"/>
    <w:rsid w:val="00BA129E"/>
    <w:rsid w:val="00BA1397"/>
    <w:rsid w:val="00BA7E0A"/>
    <w:rsid w:val="00BB2309"/>
    <w:rsid w:val="00BB5F1D"/>
    <w:rsid w:val="00BC3B53"/>
    <w:rsid w:val="00BC3B96"/>
    <w:rsid w:val="00BC4AE3"/>
    <w:rsid w:val="00BC5B28"/>
    <w:rsid w:val="00BC6309"/>
    <w:rsid w:val="00BD2370"/>
    <w:rsid w:val="00BD39C7"/>
    <w:rsid w:val="00BE3F88"/>
    <w:rsid w:val="00BE4756"/>
    <w:rsid w:val="00BE5ED9"/>
    <w:rsid w:val="00BE7B41"/>
    <w:rsid w:val="00BF2437"/>
    <w:rsid w:val="00C06A4D"/>
    <w:rsid w:val="00C15A91"/>
    <w:rsid w:val="00C206F1"/>
    <w:rsid w:val="00C217E1"/>
    <w:rsid w:val="00C219B1"/>
    <w:rsid w:val="00C21A01"/>
    <w:rsid w:val="00C2433E"/>
    <w:rsid w:val="00C26ACF"/>
    <w:rsid w:val="00C3752E"/>
    <w:rsid w:val="00C4015B"/>
    <w:rsid w:val="00C40832"/>
    <w:rsid w:val="00C40C60"/>
    <w:rsid w:val="00C5258E"/>
    <w:rsid w:val="00C530C9"/>
    <w:rsid w:val="00C55290"/>
    <w:rsid w:val="00C55E8B"/>
    <w:rsid w:val="00C619A7"/>
    <w:rsid w:val="00C72C79"/>
    <w:rsid w:val="00C73D5F"/>
    <w:rsid w:val="00C82AFE"/>
    <w:rsid w:val="00C83DBC"/>
    <w:rsid w:val="00C97C80"/>
    <w:rsid w:val="00CA47D3"/>
    <w:rsid w:val="00CA6533"/>
    <w:rsid w:val="00CA6A25"/>
    <w:rsid w:val="00CA6A3F"/>
    <w:rsid w:val="00CA7077"/>
    <w:rsid w:val="00CA7C99"/>
    <w:rsid w:val="00CB26FC"/>
    <w:rsid w:val="00CB72B3"/>
    <w:rsid w:val="00CC6290"/>
    <w:rsid w:val="00CD233D"/>
    <w:rsid w:val="00CD3499"/>
    <w:rsid w:val="00CD362D"/>
    <w:rsid w:val="00CE101D"/>
    <w:rsid w:val="00CE1814"/>
    <w:rsid w:val="00CE1A95"/>
    <w:rsid w:val="00CE1C84"/>
    <w:rsid w:val="00CE5055"/>
    <w:rsid w:val="00CE6DEC"/>
    <w:rsid w:val="00CF053F"/>
    <w:rsid w:val="00CF1156"/>
    <w:rsid w:val="00CF1A17"/>
    <w:rsid w:val="00CF4A4E"/>
    <w:rsid w:val="00CF69AF"/>
    <w:rsid w:val="00D0375A"/>
    <w:rsid w:val="00D0609E"/>
    <w:rsid w:val="00D078E1"/>
    <w:rsid w:val="00D100E9"/>
    <w:rsid w:val="00D15779"/>
    <w:rsid w:val="00D17942"/>
    <w:rsid w:val="00D21E4B"/>
    <w:rsid w:val="00D22441"/>
    <w:rsid w:val="00D23522"/>
    <w:rsid w:val="00D264D6"/>
    <w:rsid w:val="00D27B2E"/>
    <w:rsid w:val="00D339C4"/>
    <w:rsid w:val="00D33BF0"/>
    <w:rsid w:val="00D33DE0"/>
    <w:rsid w:val="00D36447"/>
    <w:rsid w:val="00D516BE"/>
    <w:rsid w:val="00D5423B"/>
    <w:rsid w:val="00D54E6A"/>
    <w:rsid w:val="00D54F4E"/>
    <w:rsid w:val="00D57A56"/>
    <w:rsid w:val="00D604B3"/>
    <w:rsid w:val="00D60BA4"/>
    <w:rsid w:val="00D62419"/>
    <w:rsid w:val="00D64063"/>
    <w:rsid w:val="00D77870"/>
    <w:rsid w:val="00D80977"/>
    <w:rsid w:val="00D80CCE"/>
    <w:rsid w:val="00D86EEA"/>
    <w:rsid w:val="00D87195"/>
    <w:rsid w:val="00D87D03"/>
    <w:rsid w:val="00D9360B"/>
    <w:rsid w:val="00D95C88"/>
    <w:rsid w:val="00D95E0F"/>
    <w:rsid w:val="00D97B2E"/>
    <w:rsid w:val="00DA241E"/>
    <w:rsid w:val="00DB36FE"/>
    <w:rsid w:val="00DB533A"/>
    <w:rsid w:val="00DB57AB"/>
    <w:rsid w:val="00DB60AE"/>
    <w:rsid w:val="00DB6307"/>
    <w:rsid w:val="00DB6BF8"/>
    <w:rsid w:val="00DD002A"/>
    <w:rsid w:val="00DD1DCD"/>
    <w:rsid w:val="00DD338F"/>
    <w:rsid w:val="00DD66F2"/>
    <w:rsid w:val="00DE3FE0"/>
    <w:rsid w:val="00DE578A"/>
    <w:rsid w:val="00DF2583"/>
    <w:rsid w:val="00DF3E74"/>
    <w:rsid w:val="00DF54D9"/>
    <w:rsid w:val="00DF64DC"/>
    <w:rsid w:val="00DF7283"/>
    <w:rsid w:val="00E01A59"/>
    <w:rsid w:val="00E078B0"/>
    <w:rsid w:val="00E10DC6"/>
    <w:rsid w:val="00E11F8E"/>
    <w:rsid w:val="00E15881"/>
    <w:rsid w:val="00E16A8F"/>
    <w:rsid w:val="00E21DE3"/>
    <w:rsid w:val="00E273C5"/>
    <w:rsid w:val="00E307D1"/>
    <w:rsid w:val="00E3731D"/>
    <w:rsid w:val="00E51469"/>
    <w:rsid w:val="00E60ECF"/>
    <w:rsid w:val="00E610C2"/>
    <w:rsid w:val="00E634E3"/>
    <w:rsid w:val="00E717C4"/>
    <w:rsid w:val="00E77E18"/>
    <w:rsid w:val="00E77F89"/>
    <w:rsid w:val="00E80330"/>
    <w:rsid w:val="00E806C5"/>
    <w:rsid w:val="00E80E71"/>
    <w:rsid w:val="00E850D3"/>
    <w:rsid w:val="00E853D6"/>
    <w:rsid w:val="00E876B9"/>
    <w:rsid w:val="00E90B5A"/>
    <w:rsid w:val="00EA381F"/>
    <w:rsid w:val="00EB413B"/>
    <w:rsid w:val="00EC0DFF"/>
    <w:rsid w:val="00EC237D"/>
    <w:rsid w:val="00EC2918"/>
    <w:rsid w:val="00EC4D0E"/>
    <w:rsid w:val="00EC4E2B"/>
    <w:rsid w:val="00EC58D9"/>
    <w:rsid w:val="00EC6B08"/>
    <w:rsid w:val="00ED072A"/>
    <w:rsid w:val="00ED539E"/>
    <w:rsid w:val="00EE4A1F"/>
    <w:rsid w:val="00EE4C2D"/>
    <w:rsid w:val="00EF1B5A"/>
    <w:rsid w:val="00EF24FB"/>
    <w:rsid w:val="00EF2CCA"/>
    <w:rsid w:val="00EF495B"/>
    <w:rsid w:val="00EF60C7"/>
    <w:rsid w:val="00EF60DC"/>
    <w:rsid w:val="00EF6B40"/>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A2CD7"/>
    <w:rsid w:val="00FB06ED"/>
    <w:rsid w:val="00FC2311"/>
    <w:rsid w:val="00FC3165"/>
    <w:rsid w:val="00FC36AB"/>
    <w:rsid w:val="00FC4300"/>
    <w:rsid w:val="00FC7F66"/>
    <w:rsid w:val="00FD3913"/>
    <w:rsid w:val="00FD5776"/>
    <w:rsid w:val="00FD6D45"/>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3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Voetnootmarkering">
    <w:name w:val="footnote reference"/>
    <w:basedOn w:val="Standaardalinea-lettertype"/>
    <w:semiHidden/>
    <w:unhideWhenUsed/>
    <w:rsid w:val="00810BDD"/>
    <w:rPr>
      <w:vertAlign w:val="superscript"/>
    </w:rPr>
  </w:style>
  <w:style w:type="paragraph" w:styleId="Revisie">
    <w:name w:val="Revision"/>
    <w:hidden/>
    <w:uiPriority w:val="99"/>
    <w:semiHidden/>
    <w:rsid w:val="0065134C"/>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65134C"/>
    <w:rPr>
      <w:b/>
      <w:bCs/>
    </w:rPr>
  </w:style>
  <w:style w:type="character" w:customStyle="1" w:styleId="OnderwerpvanopmerkingChar">
    <w:name w:val="Onderwerp van opmerking Char"/>
    <w:basedOn w:val="TekstopmerkingChar"/>
    <w:link w:val="Onderwerpvanopmerking"/>
    <w:semiHidden/>
    <w:rsid w:val="0065134C"/>
    <w:rPr>
      <w:rFonts w:ascii="Verdana" w:hAnsi="Verdana"/>
      <w:b/>
      <w:bCs/>
      <w:lang w:val="nl-NL" w:eastAsia="nl-NL"/>
    </w:rPr>
  </w:style>
  <w:style w:type="paragraph" w:styleId="Lijstalinea">
    <w:name w:val="List Paragraph"/>
    <w:basedOn w:val="Standaard"/>
    <w:uiPriority w:val="34"/>
    <w:qFormat/>
    <w:rsid w:val="002318BB"/>
    <w:pPr>
      <w:ind w:left="720"/>
      <w:contextualSpacing/>
    </w:pPr>
  </w:style>
  <w:style w:type="character" w:styleId="Onopgelostemelding">
    <w:name w:val="Unresolved Mention"/>
    <w:basedOn w:val="Standaardalinea-lettertype"/>
    <w:uiPriority w:val="99"/>
    <w:semiHidden/>
    <w:unhideWhenUsed/>
    <w:rsid w:val="00DB6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vde.nl/wp-content/uploads/2025/04/20250328-Notitie-Juridisch-kader-stikstof-duurzame-energieproject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955</ap:Words>
  <ap:Characters>5255</ap:Characters>
  <ap:DocSecurity>0</ap:DocSecurity>
  <ap:Lines>43</ap:Lines>
  <ap:Paragraphs>12</ap:Paragraphs>
  <ap:ScaleCrop>false</ap:ScaleCrop>
  <ap:LinksUpToDate>false</ap:LinksUpToDate>
  <ap:CharactersWithSpaces>6198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2025-06-23T11:54:00.0000000Z</dcterms:created>
  <dcterms:modified xsi:type="dcterms:W3CDTF">2025-06-23T11:55:00.0000000Z</dcterms:modified>
  <dc:description>------------------------</dc:description>
  <dc:subject/>
  <keywords/>
  <version/>
  <category/>
</coreProperties>
</file>