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29743A" w14:paraId="20350500" w14:textId="77777777">
      <w:r>
        <w:t> </w:t>
      </w:r>
    </w:p>
    <w:p w:rsidRPr="00145210" w:rsidR="00B77679" w:rsidP="00B96B96" w14:paraId="2D0D8873" w14:textId="77777777">
      <w:pPr>
        <w:contextualSpacing/>
      </w:pPr>
      <w:r w:rsidRPr="00145210">
        <w:t>Hierbij bied ik u het toezichtverslag 202</w:t>
      </w:r>
      <w:r>
        <w:t>5</w:t>
      </w:r>
      <w:r w:rsidRPr="00145210">
        <w:t xml:space="preserve"> aan (bijlage 1). Dit verslag geeft een overzicht van de bevindingen van het door mijn ministerie uitgeoefende financiële toezicht op de provincies en de gemeenschappelijke regelingen, waaraan provincies deelnemen uit hoofde van artikel 207 van de Provinciewet. Daarnaast ontvangt u een overzicht van de financiële kengetallen van provincies (bijlage 2). </w:t>
      </w:r>
    </w:p>
    <w:p w:rsidRPr="00145210" w:rsidR="00B77679" w:rsidP="00B96B96" w14:paraId="7B386722" w14:textId="77777777">
      <w:pPr>
        <w:contextualSpacing/>
      </w:pPr>
    </w:p>
    <w:p w:rsidR="00B77679" w:rsidP="00B96B96" w14:paraId="3DD98EDE" w14:textId="77777777">
      <w:pPr>
        <w:contextualSpacing/>
      </w:pPr>
      <w:r w:rsidRPr="00145210">
        <w:t xml:space="preserve">Ook zend ik u ter kennisname het gezamenlijk door de provincies opgestelde verslag over het door hen uitgeoefende financieel toezicht op de </w:t>
      </w:r>
      <w:r w:rsidR="00B16B08">
        <w:t>begroting</w:t>
      </w:r>
      <w:r w:rsidR="00B96B96">
        <w:t>en</w:t>
      </w:r>
      <w:r w:rsidR="00B16B08">
        <w:t xml:space="preserve"> 2025 en meerjarenraming</w:t>
      </w:r>
      <w:r w:rsidR="00B96B96">
        <w:t>en</w:t>
      </w:r>
      <w:r w:rsidR="00B16B08">
        <w:t xml:space="preserve"> 2026-2028 van </w:t>
      </w:r>
      <w:r w:rsidRPr="00145210">
        <w:t>gemeenten en de gemeenschappelijke regelingen, waar gemeenten aan deelnemen (bijlage 3)</w:t>
      </w:r>
      <w:r w:rsidR="00B96B96">
        <w:t>. Hierbij treft u ook</w:t>
      </w:r>
      <w:r w:rsidRPr="00145210">
        <w:t xml:space="preserve"> een overzicht van het aantal gemeenten en gemeenschappelijke regelingen dat onder preventief toezicht staat in 202</w:t>
      </w:r>
      <w:r>
        <w:t>5</w:t>
      </w:r>
      <w:r w:rsidRPr="00145210">
        <w:t xml:space="preserve"> (bijlage 4). </w:t>
      </w:r>
    </w:p>
    <w:p w:rsidRPr="00145210" w:rsidR="00D0196A" w:rsidP="00B77679" w14:paraId="5E4ABCE1" w14:textId="77777777">
      <w:pPr>
        <w:spacing w:line="240" w:lineRule="auto"/>
      </w:pPr>
    </w:p>
    <w:p w:rsidR="007C3D84" w:rsidP="00B96B96" w14:paraId="743CE298" w14:textId="77777777">
      <w:pPr>
        <w:contextualSpacing/>
      </w:pPr>
      <w:r w:rsidRPr="00145210">
        <w:t>De provinciale toezichthouders geven in hun verslag aan dat</w:t>
      </w:r>
      <w:r w:rsidR="0037375C">
        <w:t xml:space="preserve"> voor</w:t>
      </w:r>
      <w:r w:rsidRPr="00145210">
        <w:t xml:space="preserve"> het begrotingsjaar </w:t>
      </w:r>
      <w:r w:rsidR="0037375C">
        <w:t>2025 het gros van de gemeenten een structureel sluitende begroting he</w:t>
      </w:r>
      <w:r w:rsidR="00B96B96">
        <w:t>eft</w:t>
      </w:r>
      <w:r w:rsidR="0037375C">
        <w:t xml:space="preserve"> gerealiseerd. Daarentegen geldt dat voor de meerjarenraming 2026-2028 ongeveer driekwart van de gemeenten een niet structureel sluitende begroting laten zien. </w:t>
      </w:r>
      <w:r w:rsidR="00877102">
        <w:t>De provinciale toezichthouders</w:t>
      </w:r>
      <w:r>
        <w:t xml:space="preserve"> geven aan dat dit wordt veroorzaakt door de terugloop van de algemene uitkering vanaf 2026 in combinatie met stijgende lasten. Maatregelen die </w:t>
      </w:r>
      <w:r w:rsidR="0084173A">
        <w:t xml:space="preserve">de provinciaal toezichthouders </w:t>
      </w:r>
      <w:r w:rsidR="00B0079C">
        <w:t xml:space="preserve">gemeenten </w:t>
      </w:r>
      <w:r w:rsidR="0084173A">
        <w:t xml:space="preserve">zien </w:t>
      </w:r>
      <w:r>
        <w:t xml:space="preserve">nemen, </w:t>
      </w:r>
      <w:r w:rsidR="005B0E48">
        <w:t xml:space="preserve">betreffen </w:t>
      </w:r>
      <w:r>
        <w:t>het bezuinigen op de uitgaven over de gehele begroting, het verhogen van de lokale belastingopbrengsten</w:t>
      </w:r>
      <w:r w:rsidR="003D0D5B">
        <w:t xml:space="preserve"> en het i</w:t>
      </w:r>
      <w:r>
        <w:t>nzetten van reserves</w:t>
      </w:r>
      <w:r w:rsidR="003D0D5B">
        <w:t xml:space="preserve"> als structureel dekkingsmiddel</w:t>
      </w:r>
      <w:r>
        <w:t xml:space="preserve">. Verder geven de toezichthouders een overzicht van de grootste ontwikkelingen en onzekerheden. Dit betreft onder meer de onzekerheid over de omvang van de algemene uitkering </w:t>
      </w:r>
      <w:r w:rsidR="0047520F">
        <w:t xml:space="preserve">van het </w:t>
      </w:r>
      <w:r>
        <w:t>gemeentefonds, de nieuwe financieringssystematiek die reeds i</w:t>
      </w:r>
      <w:r w:rsidR="00180465">
        <w:t>n werking is getreden, de herijking van het gemeentefonds, de tekorten op het sociaal domein en de krapte op de arbeidsmarkt.</w:t>
      </w:r>
    </w:p>
    <w:p w:rsidR="00834CD7" w:rsidP="00B77679" w14:paraId="5ECDDFC5" w14:textId="77777777">
      <w:pPr>
        <w:spacing w:line="240" w:lineRule="auto"/>
      </w:pPr>
    </w:p>
    <w:p w:rsidR="00834CD7" w:rsidP="00834CD7" w14:paraId="1B0E80D4" w14:textId="77777777">
      <w:pPr>
        <w:contextualSpacing/>
      </w:pPr>
      <w:r w:rsidRPr="00027EAB">
        <w:t xml:space="preserve">Daar zit dus zeker een zichtbare zorg en daar ben ik van doordrongen. Tegelijkertijd </w:t>
      </w:r>
      <w:r>
        <w:t>zien we de afgelopen jaren dat</w:t>
      </w:r>
      <w:r w:rsidRPr="00027EAB">
        <w:t xml:space="preserve"> begrote tekorten niet altijd </w:t>
      </w:r>
      <w:r>
        <w:t>gerealiseerd worden</w:t>
      </w:r>
      <w:r w:rsidRPr="00027EAB">
        <w:t xml:space="preserve">. Waar </w:t>
      </w:r>
      <w:r w:rsidR="00B96B96">
        <w:t xml:space="preserve">de </w:t>
      </w:r>
      <w:r w:rsidRPr="00027EAB">
        <w:t xml:space="preserve">gemeenten </w:t>
      </w:r>
      <w:r w:rsidR="00B96B96">
        <w:t xml:space="preserve">gezamenlijk </w:t>
      </w:r>
      <w:r w:rsidRPr="00027EAB">
        <w:t xml:space="preserve">tekorten in de begroting </w:t>
      </w:r>
      <w:r>
        <w:t>raamden</w:t>
      </w:r>
      <w:r w:rsidRPr="00027EAB">
        <w:t xml:space="preserve">, sloten </w:t>
      </w:r>
      <w:r w:rsidR="00B96B96">
        <w:t>zij</w:t>
      </w:r>
      <w:r w:rsidRPr="00027EAB">
        <w:t xml:space="preserve"> het jaar uiteindelijk </w:t>
      </w:r>
      <w:r>
        <w:t xml:space="preserve">in de jaarrekening </w:t>
      </w:r>
      <w:r w:rsidRPr="00027EAB">
        <w:t>af met overschotten. De afgelopen jaren lieten de gemeenten gezamenlijk overschotten zien met een bandbreedte van € 1,7- € 3,7 miljard per jaar, doordat niet alle middelen in het begrotingsjaar tot besteding kwamen.</w:t>
      </w:r>
      <w:r>
        <w:t xml:space="preserve"> </w:t>
      </w:r>
      <w:r w:rsidRPr="00027EAB">
        <w:t>In bovengenoemde</w:t>
      </w:r>
      <w:r w:rsidR="00B96B96">
        <w:t xml:space="preserve"> door de provinciale toezichthouders genoemde</w:t>
      </w:r>
      <w:r w:rsidRPr="00027EAB">
        <w:t xml:space="preserve"> meerjarenramingen 2026-2028 is bovendien nog geen rekening gehouden met de in de </w:t>
      </w:r>
      <w:r>
        <w:t>V</w:t>
      </w:r>
      <w:r w:rsidRPr="00027EAB">
        <w:t xml:space="preserve">oorjaarsnota 2025 extra vrijgemaakte middelen </w:t>
      </w:r>
      <w:r w:rsidRPr="00027EAB">
        <w:t xml:space="preserve">voor gemeenten. </w:t>
      </w:r>
      <w:r w:rsidR="00B96B96">
        <w:t>Dit was bij de uitoefening van het financieel toezicht ook nog niet bekend.</w:t>
      </w:r>
    </w:p>
    <w:p w:rsidR="00834CD7" w:rsidP="00834CD7" w14:paraId="16710CF3" w14:textId="77777777">
      <w:pPr>
        <w:contextualSpacing/>
      </w:pPr>
    </w:p>
    <w:p w:rsidR="00B96B96" w:rsidP="00834CD7" w14:paraId="0A0A8825" w14:textId="77777777">
      <w:pPr>
        <w:contextualSpacing/>
      </w:pPr>
      <w:r w:rsidRPr="00D0196A">
        <w:t>Voor begrotingsjaar 2025 zijn er twee preventieve gemeenten: Vlissingen (Zeeland) en Wijdemeren (Noord-Holland).</w:t>
      </w:r>
      <w:r>
        <w:t xml:space="preserve"> </w:t>
      </w:r>
      <w:r>
        <w:t>Wat betreft</w:t>
      </w:r>
      <w:r w:rsidRPr="00027EAB">
        <w:t xml:space="preserve"> </w:t>
      </w:r>
      <w:r>
        <w:t>h</w:t>
      </w:r>
      <w:r w:rsidRPr="00027EAB">
        <w:t xml:space="preserve">et aantal preventieve gemeenten in 2026 hebben de provinciale toezichthouders aangegeven dat het nu nog te vroeg is om hiervan een inschatting te maken. Gemeenten zijn immers nu nog bezig met het opstellen van hun begroting </w:t>
      </w:r>
      <w:r>
        <w:t xml:space="preserve">voor </w:t>
      </w:r>
      <w:r w:rsidRPr="00027EAB">
        <w:t xml:space="preserve">2026 en dus nog in de gelegenheid om bij te sturen. Daarbij geldt dat elke gemeente zelf verantwoordelijk is voor haar eigen financieel beleid en beheer. </w:t>
      </w:r>
    </w:p>
    <w:p w:rsidRPr="00027EAB" w:rsidR="00834CD7" w:rsidP="00834CD7" w14:paraId="511599F4" w14:textId="77777777">
      <w:pPr>
        <w:contextualSpacing/>
      </w:pPr>
      <w:r w:rsidRPr="005F40CF">
        <w:t>De meerwaarde van het financieel toezicht is dat het een bijdrage kan leveren aan de kwaliteit van de democratische horizontale verantwoording en de sturing en controle door de raad. Onderdeel van deze meerwaarde is de onafhankelijke positie van de toezichthouder en diens breder</w:t>
      </w:r>
      <w:r w:rsidR="00B96B96">
        <w:t>e</w:t>
      </w:r>
      <w:r w:rsidRPr="005F40CF">
        <w:t xml:space="preserve"> inzicht in problematiek en ontwikkelingen, waar meerdere gemeenten mee geconfronteerd worden. Financieel toezicht is een onderdeel van de ‘checks </w:t>
      </w:r>
      <w:r w:rsidRPr="005F40CF">
        <w:t>and</w:t>
      </w:r>
      <w:r w:rsidRPr="005F40CF">
        <w:t xml:space="preserve"> </w:t>
      </w:r>
      <w:r w:rsidRPr="005F40CF">
        <w:t>balances</w:t>
      </w:r>
      <w:r w:rsidRPr="005F40CF">
        <w:t>’ rondom de gemeentelijke financiën. De toezichthouder versterkt het inzicht in de stand van zaken van de gemeentelijke financiën als geheel en geeft signalen af ten behoeve van het publiek debat. Toezicht houden is niet zo zeer ‘bemoeien met’, maar veeleer ‘betrokken zijn bij’. Het gaat om een constructieve dialoog, waarin betrokken partijen met behoud van ieders rol en verantwoordelijkheid elkaar aanspreken en kritisch bevragen.</w:t>
      </w:r>
    </w:p>
    <w:p w:rsidR="00B0079C" w:rsidP="00B77679" w14:paraId="44C00D6B" w14:textId="77777777">
      <w:pPr>
        <w:spacing w:line="240" w:lineRule="auto"/>
      </w:pPr>
    </w:p>
    <w:p w:rsidR="002E15A3" w:rsidP="00B96B96" w14:paraId="16CF8B4E" w14:textId="77777777">
      <w:pPr>
        <w:contextualSpacing/>
      </w:pPr>
      <w:bookmarkStart w:name="_Hlk138925769" w:id="0"/>
      <w:r w:rsidRPr="0047520F">
        <w:t xml:space="preserve">Het </w:t>
      </w:r>
      <w:r w:rsidR="006B62AF">
        <w:t>demissionaire</w:t>
      </w:r>
      <w:r w:rsidR="00781F89">
        <w:t xml:space="preserve"> </w:t>
      </w:r>
      <w:r w:rsidRPr="0047520F">
        <w:t xml:space="preserve">kabinet heeft oog voor de financiële positie van gemeenten en </w:t>
      </w:r>
      <w:r w:rsidRPr="00B96B96">
        <w:t>is zich ervan bewust dat het een gedeelde verantwoordelijkheid is van rijk en gemeenten om samen aan de balans tussen ambities, taken, middelen en uitvoeringskracht te werken.</w:t>
      </w:r>
      <w:r w:rsidRPr="0047520F">
        <w:t xml:space="preserve"> </w:t>
      </w:r>
      <w:r w:rsidR="007522B0">
        <w:t>Daarom</w:t>
      </w:r>
      <w:r>
        <w:t xml:space="preserve"> zijn in de </w:t>
      </w:r>
      <w:r w:rsidR="005B0E48">
        <w:t xml:space="preserve">Voorjaarsnota </w:t>
      </w:r>
      <w:r>
        <w:t>2025</w:t>
      </w:r>
      <w:r>
        <w:rPr>
          <w:rStyle w:val="FootnoteReference"/>
        </w:rPr>
        <w:footnoteReference w:id="2"/>
      </w:r>
      <w:r w:rsidRPr="00781F89">
        <w:rPr>
          <w:rStyle w:val="FootnoteReference"/>
        </w:rPr>
        <w:t xml:space="preserve"> </w:t>
      </w:r>
      <w:r>
        <w:t>e</w:t>
      </w:r>
      <w:r w:rsidRPr="00A544CD">
        <w:t xml:space="preserve">xtra middelen </w:t>
      </w:r>
      <w:r>
        <w:t>vrijgemaakt voor gemeenten. Dit betekent v</w:t>
      </w:r>
      <w:r w:rsidRPr="00A544CD">
        <w:t xml:space="preserve">oor 2025 tot en met 2027 </w:t>
      </w:r>
      <w:r>
        <w:t>dat er</w:t>
      </w:r>
      <w:r w:rsidRPr="00A544CD">
        <w:t xml:space="preserve"> circa 3 miljard euro cumulatief voor </w:t>
      </w:r>
      <w:r w:rsidR="00700CAC">
        <w:t xml:space="preserve">jeugdzorg en </w:t>
      </w:r>
      <w:r w:rsidRPr="00A544CD">
        <w:t xml:space="preserve">gemeenten beschikbaar </w:t>
      </w:r>
      <w:r>
        <w:t>komt</w:t>
      </w:r>
      <w:r w:rsidR="00700CAC">
        <w:t>,</w:t>
      </w:r>
      <w:r>
        <w:t xml:space="preserve"> </w:t>
      </w:r>
      <w:r w:rsidR="00700CAC">
        <w:t>waarvan ook middelen voor de terugval in het Gemeentefonds</w:t>
      </w:r>
      <w:r w:rsidRPr="00A544CD">
        <w:t xml:space="preserve">. </w:t>
      </w:r>
      <w:r w:rsidRPr="005F40CF" w:rsidR="00DC6B01">
        <w:t>Voor 2028 en verder worden de beheers- en inhoudelijke maatregelen uit de Hervormingsagenda Jeugd versterkt.</w:t>
      </w:r>
      <w:r w:rsidRPr="00DC6B01" w:rsidR="00700CAC">
        <w:t xml:space="preserve"> </w:t>
      </w:r>
      <w:r w:rsidR="00781F89">
        <w:t>Zoals aangegeven, k</w:t>
      </w:r>
      <w:r>
        <w:t>on nog geen rekening worden gehouden</w:t>
      </w:r>
      <w:r w:rsidR="003D0B27">
        <w:t xml:space="preserve"> met de extra middelen uit de </w:t>
      </w:r>
      <w:r w:rsidR="00781F89">
        <w:t>V</w:t>
      </w:r>
      <w:r w:rsidR="003D0B27">
        <w:t>oorjaarsnota</w:t>
      </w:r>
      <w:r>
        <w:t xml:space="preserve"> bij bovengenoemde toezicht over begroting 2025 en meerjarenraming 2026-2028 van de gemeenten. Dit zal </w:t>
      </w:r>
      <w:r w:rsidR="005B0E48">
        <w:t>onder andere</w:t>
      </w:r>
      <w:r>
        <w:t xml:space="preserve"> verwerkt worden in de door de gemeenten nog vast te stellen begroting 2026.</w:t>
      </w:r>
    </w:p>
    <w:p w:rsidR="00972B6E" w:rsidP="00B96B96" w14:paraId="331FE31D" w14:textId="77777777">
      <w:pPr>
        <w:contextualSpacing/>
      </w:pPr>
    </w:p>
    <w:p w:rsidR="004C453C" w:rsidP="00B96B96" w14:paraId="695896B7" w14:textId="77777777">
      <w:pPr>
        <w:contextualSpacing/>
      </w:pPr>
      <w:r>
        <w:t xml:space="preserve">Het </w:t>
      </w:r>
      <w:r>
        <w:t>Rĳk</w:t>
      </w:r>
      <w:r>
        <w:t xml:space="preserve"> en de VNG werken door aan nieuwe financiële arrangementen voor Jeugdzorg en de Wet </w:t>
      </w:r>
      <w:r>
        <w:t>maatschappelĳke</w:t>
      </w:r>
      <w:r>
        <w:t xml:space="preserve"> ondersteuning </w:t>
      </w:r>
      <w:r w:rsidR="00781F89">
        <w:t>(</w:t>
      </w:r>
      <w:r w:rsidR="00781F89">
        <w:t>Wmo</w:t>
      </w:r>
      <w:r w:rsidR="00781F89">
        <w:t xml:space="preserve">) </w:t>
      </w:r>
      <w:r>
        <w:t xml:space="preserve">die (beter) aansluiten </w:t>
      </w:r>
      <w:r>
        <w:t>bĳ</w:t>
      </w:r>
      <w:r>
        <w:t xml:space="preserve"> de (financieel) </w:t>
      </w:r>
      <w:r>
        <w:t>bestuurlĳke</w:t>
      </w:r>
      <w:r>
        <w:t xml:space="preserve"> verhoudingen en meer </w:t>
      </w:r>
      <w:r>
        <w:t>duidelĳkheid</w:t>
      </w:r>
      <w:r>
        <w:t xml:space="preserve"> en voorspelbaarheid voor </w:t>
      </w:r>
      <w:r w:rsidR="00781F89">
        <w:t>betrokken</w:t>
      </w:r>
      <w:r>
        <w:t xml:space="preserve"> </w:t>
      </w:r>
      <w:r>
        <w:t>partĳen</w:t>
      </w:r>
      <w:r>
        <w:t xml:space="preserve"> bieden. In afwachting van deze uitwerking is voor </w:t>
      </w:r>
      <w:r>
        <w:t>Wmo</w:t>
      </w:r>
      <w:r>
        <w:t xml:space="preserve"> </w:t>
      </w:r>
      <w:r>
        <w:t>bĳ</w:t>
      </w:r>
      <w:r>
        <w:t xml:space="preserve"> Voorjaarsnota 2024 een reeks van </w:t>
      </w:r>
      <w:r>
        <w:t>jaarlĳks</w:t>
      </w:r>
      <w:r>
        <w:t xml:space="preserve"> 75 miljoen euro</w:t>
      </w:r>
      <w:r w:rsidR="00781F89">
        <w:t>,</w:t>
      </w:r>
      <w:r>
        <w:t xml:space="preserve"> oplopend naar 300 miljoen euro in 2029</w:t>
      </w:r>
      <w:r w:rsidR="00781F89">
        <w:t>,</w:t>
      </w:r>
      <w:r>
        <w:t xml:space="preserve"> gereserveerd voor aanvullende indexatie voor demografie/</w:t>
      </w:r>
      <w:r>
        <w:t>vergrĳzing</w:t>
      </w:r>
      <w:r>
        <w:t>. Het kabinet voegt hier bij Voorjaarsnota 2025 voor 2030 een extra tranche van 75 miljoen euro aan toe. Voor 2030 is daarmee nu 375 miljoen euro gereserveerd, structureel</w:t>
      </w:r>
      <w:r w:rsidR="00781F89">
        <w:t>.</w:t>
      </w:r>
    </w:p>
    <w:p w:rsidR="00700CAC" w:rsidP="002E15A3" w14:paraId="069AD9C1" w14:textId="77777777">
      <w:pPr>
        <w:spacing w:line="240" w:lineRule="auto"/>
      </w:pPr>
    </w:p>
    <w:p w:rsidRPr="00A544CD" w:rsidR="00700CAC" w:rsidP="00781F89" w14:paraId="7DA06A78" w14:textId="77777777">
      <w:pPr>
        <w:contextualSpacing/>
      </w:pPr>
      <w:r>
        <w:t xml:space="preserve">Wat betreft het vervolgtraject van het verdeelmodel per 1 januari 2026 geldt dat de vervolgstappen met uw Kamer </w:t>
      </w:r>
      <w:r w:rsidR="004C453C">
        <w:t xml:space="preserve">per brief </w:t>
      </w:r>
      <w:r>
        <w:t>zijn gedeeld</w:t>
      </w:r>
      <w:r>
        <w:rPr>
          <w:rStyle w:val="FootnoteReference"/>
        </w:rPr>
        <w:footnoteReference w:id="3"/>
      </w:r>
      <w:r w:rsidRPr="00781F89">
        <w:rPr>
          <w:rStyle w:val="FootnoteReference"/>
        </w:rPr>
        <w:t>.</w:t>
      </w:r>
      <w:r>
        <w:t xml:space="preserve"> Deze </w:t>
      </w:r>
      <w:r w:rsidR="00E75591">
        <w:t xml:space="preserve">brief gaat in op de afgeronde onderzoeken en de conclusie van de fondsbeheerder dat nadere analyse nodig is en dat daarom is besloten pas per 1 januari 2027 </w:t>
      </w:r>
      <w:r w:rsidRPr="00E75591" w:rsidR="00E75591">
        <w:t xml:space="preserve">een volgende stap te zetten met betrekking tot het </w:t>
      </w:r>
      <w:r w:rsidRPr="00E75591" w:rsidR="00E75591">
        <w:t>ingroeipad</w:t>
      </w:r>
      <w:r w:rsidRPr="00E75591" w:rsidR="00E75591">
        <w:t xml:space="preserve"> – het pad waarmee gemeenten naar de nieuwe verdeling ingroeien.</w:t>
      </w:r>
      <w:r w:rsidR="00E75591">
        <w:t xml:space="preserve"> </w:t>
      </w:r>
    </w:p>
    <w:p w:rsidR="00B76F3E" w:rsidP="00781F89" w14:paraId="0E2187FD" w14:textId="77777777">
      <w:pPr>
        <w:contextualSpacing/>
      </w:pPr>
    </w:p>
    <w:p w:rsidR="00A544CD" w:rsidP="00781F89" w14:paraId="376ABB45" w14:textId="77777777">
      <w:pPr>
        <w:contextualSpacing/>
      </w:pPr>
      <w:bookmarkStart w:name="_Hlk170728914" w:id="1"/>
      <w:bookmarkEnd w:id="0"/>
      <w:r>
        <w:t xml:space="preserve">Zoals eerder aangeven </w:t>
      </w:r>
      <w:r w:rsidR="00C40BA9">
        <w:t>in mijn brief van 4 oktober aan uw Kamer</w:t>
      </w:r>
      <w:r>
        <w:rPr>
          <w:rStyle w:val="FootnoteReference"/>
        </w:rPr>
        <w:footnoteReference w:id="4"/>
      </w:r>
      <w:r w:rsidR="00781F89">
        <w:t>,</w:t>
      </w:r>
      <w:r w:rsidR="00C40BA9">
        <w:t xml:space="preserve"> </w:t>
      </w:r>
      <w:r>
        <w:t xml:space="preserve">wil ik </w:t>
      </w:r>
      <w:r w:rsidR="002E15A3">
        <w:t xml:space="preserve">daarnaast </w:t>
      </w:r>
      <w:r>
        <w:t xml:space="preserve">ten aanzien van het financiële toezicht </w:t>
      </w:r>
      <w:r w:rsidR="006121A3">
        <w:t xml:space="preserve">bezien </w:t>
      </w:r>
      <w:r w:rsidRPr="00D83F65" w:rsidR="00D83F65">
        <w:t xml:space="preserve">of bij de financiële beoordeling van gemeenten de huidige norm van structureel en reëel evenwicht aangevuld kan worden. </w:t>
      </w:r>
      <w:r w:rsidR="008373DE">
        <w:t>Daarbij valt te denken</w:t>
      </w:r>
      <w:r w:rsidRPr="00D83F65" w:rsidR="00D83F65">
        <w:t xml:space="preserve"> aan het meer meewegen van de vermogenspositie ten aanzien van de risico’s, de wendbaarheid en weerbaarheid van een gemeente, een breder risicomodel en bepaalde financiële kengetallen. </w:t>
      </w:r>
      <w:r w:rsidR="00781F89">
        <w:t>Hierover verwacht ik u na de zomer nader te informeren.</w:t>
      </w:r>
    </w:p>
    <w:bookmarkEnd w:id="1"/>
    <w:p w:rsidR="00B77679" w:rsidP="00781F89" w14:paraId="149F0F0D" w14:textId="77777777">
      <w:pPr>
        <w:contextualSpacing/>
      </w:pPr>
    </w:p>
    <w:p w:rsidRPr="00145210" w:rsidR="00041A95" w:rsidP="00B77679" w14:paraId="3511160D" w14:textId="77777777">
      <w:pPr>
        <w:spacing w:line="240" w:lineRule="auto"/>
      </w:pPr>
    </w:p>
    <w:p w:rsidRPr="00145210" w:rsidR="00B77679" w:rsidP="00B77679" w14:paraId="6B87D0A1" w14:textId="77777777">
      <w:pPr>
        <w:spacing w:line="240" w:lineRule="auto"/>
      </w:pPr>
      <w:r w:rsidRPr="00145210">
        <w:t>De minister van Binnenlandse Zaken en Koninkrijksrelaties,</w:t>
      </w:r>
    </w:p>
    <w:p w:rsidRPr="00145210" w:rsidR="00B77679" w:rsidP="00B77679" w14:paraId="545B9D82" w14:textId="77777777">
      <w:pPr>
        <w:spacing w:line="240" w:lineRule="auto"/>
      </w:pPr>
    </w:p>
    <w:p w:rsidRPr="00145210" w:rsidR="00B77679" w:rsidP="00B77679" w14:paraId="59B66927" w14:textId="77777777">
      <w:pPr>
        <w:spacing w:line="240" w:lineRule="auto"/>
      </w:pPr>
    </w:p>
    <w:p w:rsidRPr="00145210" w:rsidR="00B77679" w:rsidP="00B77679" w14:paraId="45ECF0B5" w14:textId="77777777">
      <w:pPr>
        <w:spacing w:line="240" w:lineRule="auto"/>
      </w:pPr>
    </w:p>
    <w:p w:rsidR="00B77679" w:rsidP="00B77679" w14:paraId="2DDB2D0B" w14:textId="77777777">
      <w:pPr>
        <w:spacing w:line="240" w:lineRule="auto"/>
      </w:pPr>
    </w:p>
    <w:p w:rsidRPr="00145210" w:rsidR="00A544CD" w:rsidP="00B77679" w14:paraId="4C5BB7F1" w14:textId="77777777">
      <w:pPr>
        <w:spacing w:line="240" w:lineRule="auto"/>
      </w:pPr>
    </w:p>
    <w:p w:rsidRPr="00145210" w:rsidR="00B77679" w:rsidP="00B77679" w14:paraId="75AC742F" w14:textId="77777777">
      <w:pPr>
        <w:spacing w:line="240" w:lineRule="auto"/>
      </w:pPr>
      <w:r w:rsidRPr="00145210">
        <w:t>J.J.M. Uitermark</w:t>
      </w:r>
    </w:p>
    <w:p w:rsidR="0029743A" w14:paraId="73F234E5"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62AF" w14:paraId="5C158C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62AF" w14:paraId="14AEAE5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62AF" w14:paraId="247266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B3489" w14:paraId="1B927C35" w14:textId="77777777">
      <w:pPr>
        <w:spacing w:line="240" w:lineRule="auto"/>
      </w:pPr>
      <w:r>
        <w:separator/>
      </w:r>
    </w:p>
  </w:footnote>
  <w:footnote w:type="continuationSeparator" w:id="1">
    <w:p w:rsidR="007B3489" w14:paraId="5552BC48" w14:textId="77777777">
      <w:pPr>
        <w:spacing w:line="240" w:lineRule="auto"/>
      </w:pPr>
      <w:r>
        <w:continuationSeparator/>
      </w:r>
    </w:p>
  </w:footnote>
  <w:footnote w:id="2">
    <w:p w:rsidR="002E15A3" w:rsidP="002E15A3" w14:paraId="47C6E7C9" w14:textId="77777777">
      <w:pPr>
        <w:pStyle w:val="FootnoteText"/>
      </w:pPr>
      <w:r>
        <w:rPr>
          <w:rStyle w:val="FootnoteReference"/>
        </w:rPr>
        <w:footnoteRef/>
      </w:r>
      <w:r>
        <w:t xml:space="preserve"> </w:t>
      </w:r>
      <w:hyperlink r:id="rId1" w:history="1">
        <w:r w:rsidRPr="009E72E6">
          <w:rPr>
            <w:rStyle w:val="Hyperlink"/>
            <w:sz w:val="16"/>
            <w:szCs w:val="16"/>
          </w:rPr>
          <w:t>Voorjaarsnota 2025</w:t>
        </w:r>
      </w:hyperlink>
    </w:p>
  </w:footnote>
  <w:footnote w:id="3">
    <w:p w:rsidR="00700CAC" w:rsidP="00700CAC" w14:paraId="34B6D792" w14:textId="77777777">
      <w:pPr>
        <w:pStyle w:val="FootnoteText"/>
      </w:pPr>
      <w:r>
        <w:rPr>
          <w:rStyle w:val="FootnoteReference"/>
        </w:rPr>
        <w:footnoteRef/>
      </w:r>
      <w:r>
        <w:t xml:space="preserve"> </w:t>
      </w:r>
      <w:r w:rsidRPr="000B182B">
        <w:rPr>
          <w:sz w:val="16"/>
          <w:szCs w:val="16"/>
        </w:rPr>
        <w:t>Kamerstuk II 2024-2025, 36600</w:t>
      </w:r>
      <w:r w:rsidRPr="007D0BC1">
        <w:rPr>
          <w:sz w:val="16"/>
          <w:szCs w:val="16"/>
        </w:rPr>
        <w:t xml:space="preserve"> </w:t>
      </w:r>
      <w:r w:rsidRPr="000B182B">
        <w:rPr>
          <w:sz w:val="16"/>
          <w:szCs w:val="16"/>
        </w:rPr>
        <w:t>B</w:t>
      </w:r>
      <w:r w:rsidRPr="007D0BC1">
        <w:rPr>
          <w:sz w:val="16"/>
          <w:szCs w:val="16"/>
        </w:rPr>
        <w:t xml:space="preserve">, nr. </w:t>
      </w:r>
      <w:r w:rsidRPr="000B182B">
        <w:rPr>
          <w:sz w:val="16"/>
          <w:szCs w:val="16"/>
        </w:rPr>
        <w:t xml:space="preserve">24 </w:t>
      </w:r>
      <w:hyperlink r:id="rId2" w:history="1"/>
    </w:p>
  </w:footnote>
  <w:footnote w:id="4">
    <w:p w:rsidR="00C40BA9" w:rsidRPr="000B182B" w14:paraId="6578D5CD" w14:textId="77777777">
      <w:pPr>
        <w:pStyle w:val="FootnoteText"/>
        <w:rPr>
          <w:sz w:val="16"/>
          <w:szCs w:val="16"/>
        </w:rPr>
      </w:pPr>
      <w:r>
        <w:rPr>
          <w:rStyle w:val="FootnoteReference"/>
        </w:rPr>
        <w:footnoteRef/>
      </w:r>
      <w:r>
        <w:t xml:space="preserve"> </w:t>
      </w:r>
      <w:r w:rsidRPr="000B182B">
        <w:rPr>
          <w:sz w:val="16"/>
          <w:szCs w:val="16"/>
        </w:rPr>
        <w:t>Kamerstuk II 2024-2025, 36600 B, nr.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62AF" w14:paraId="0EA9E2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43A" w14:paraId="4E8726E9"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54BD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454BD2" w14:paraId="41342DA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9743A" w14:textId="77777777">
                          <w:pPr>
                            <w:pStyle w:val="Referentiegegevensbold"/>
                          </w:pPr>
                          <w:r>
                            <w:t xml:space="preserve">DG Openbaar Bestuur &amp; </w:t>
                          </w:r>
                          <w:r>
                            <w:t>Democr</w:t>
                          </w:r>
                          <w:r>
                            <w:t xml:space="preserve"> Rechtsstaat</w:t>
                          </w:r>
                        </w:p>
                        <w:p w:rsidR="0029743A" w14:textId="77777777">
                          <w:pPr>
                            <w:pStyle w:val="Referentiegegevens"/>
                          </w:pPr>
                          <w:r>
                            <w:t>DGOBDR-BFR-</w:t>
                          </w:r>
                          <w:r>
                            <w:t>Regelg</w:t>
                          </w:r>
                          <w:r>
                            <w:t>. Toezicht &amp; Monitoring</w:t>
                          </w:r>
                        </w:p>
                        <w:p w:rsidR="0029743A" w14:textId="77777777">
                          <w:pPr>
                            <w:pStyle w:val="WitregelW2"/>
                          </w:pPr>
                        </w:p>
                        <w:p w:rsidR="00F130E1" w14:textId="77777777">
                          <w:pPr>
                            <w:pStyle w:val="Referentiegegevensbold"/>
                          </w:pPr>
                        </w:p>
                        <w:p w:rsidR="0029743A" w14:textId="77777777">
                          <w:pPr>
                            <w:pStyle w:val="Referentiegegevensbold"/>
                          </w:pPr>
                          <w:r>
                            <w:t>Onze referentie</w:t>
                          </w:r>
                        </w:p>
                        <w:p w:rsidR="00454BD2" w14:textId="77777777">
                          <w:pPr>
                            <w:pStyle w:val="Referentiegegevens"/>
                          </w:pPr>
                          <w:r>
                            <w:fldChar w:fldCharType="begin"/>
                          </w:r>
                          <w:r>
                            <w:instrText xml:space="preserve"> DOCPROPERTY  "Kenmerk"  \* MERGEFORMAT </w:instrText>
                          </w:r>
                          <w:r>
                            <w:fldChar w:fldCharType="separate"/>
                          </w:r>
                          <w:r w:rsidR="00B220F0">
                            <w:t>2025-0000329614</w:t>
                          </w:r>
                          <w:r w:rsidR="00B220F0">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29743A" w14:paraId="54079B05" w14:textId="77777777">
                    <w:pPr>
                      <w:pStyle w:val="Referentiegegevensbold"/>
                    </w:pPr>
                    <w:r>
                      <w:t xml:space="preserve">DG Openbaar Bestuur &amp; </w:t>
                    </w:r>
                    <w:r>
                      <w:t>Democr</w:t>
                    </w:r>
                    <w:r>
                      <w:t xml:space="preserve"> Rechtsstaat</w:t>
                    </w:r>
                  </w:p>
                  <w:p w:rsidR="0029743A" w14:paraId="42D2EF66" w14:textId="77777777">
                    <w:pPr>
                      <w:pStyle w:val="Referentiegegevens"/>
                    </w:pPr>
                    <w:r>
                      <w:t>DGOBDR-BFR-</w:t>
                    </w:r>
                    <w:r>
                      <w:t>Regelg</w:t>
                    </w:r>
                    <w:r>
                      <w:t>. Toezicht &amp; Monitoring</w:t>
                    </w:r>
                  </w:p>
                  <w:p w:rsidR="0029743A" w14:paraId="3136FB11" w14:textId="77777777">
                    <w:pPr>
                      <w:pStyle w:val="WitregelW2"/>
                    </w:pPr>
                  </w:p>
                  <w:p w:rsidR="00F130E1" w14:paraId="355B3922" w14:textId="77777777">
                    <w:pPr>
                      <w:pStyle w:val="Referentiegegevensbold"/>
                    </w:pPr>
                  </w:p>
                  <w:p w:rsidR="0029743A" w14:paraId="07AB8F11" w14:textId="77777777">
                    <w:pPr>
                      <w:pStyle w:val="Referentiegegevensbold"/>
                    </w:pPr>
                    <w:r>
                      <w:t>Onze referentie</w:t>
                    </w:r>
                  </w:p>
                  <w:p w:rsidR="00454BD2" w14:paraId="5B9C3E1D" w14:textId="77777777">
                    <w:pPr>
                      <w:pStyle w:val="Referentiegegevens"/>
                    </w:pPr>
                    <w:r>
                      <w:fldChar w:fldCharType="begin"/>
                    </w:r>
                    <w:r>
                      <w:instrText xml:space="preserve"> DOCPROPERTY  "Kenmerk"  \* MERGEFORMAT </w:instrText>
                    </w:r>
                    <w:r>
                      <w:fldChar w:fldCharType="separate"/>
                    </w:r>
                    <w:r w:rsidR="00B220F0">
                      <w:t>2025-0000329614</w:t>
                    </w:r>
                    <w:r w:rsidR="00B220F0">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54BD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454BD2" w14:paraId="0A8BE64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54BD2"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454BD2" w14:paraId="09BB917F"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43A" w14:paraId="219CBBE7"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29743A" w14:textId="77777777">
                          <w:pPr>
                            <w:spacing w:line="240" w:lineRule="auto"/>
                          </w:pPr>
                          <w:r>
                            <w:rPr>
                              <w:noProof/>
                            </w:rPr>
                            <w:drawing>
                              <wp:inline distT="0" distB="0" distL="0" distR="0">
                                <wp:extent cx="467995" cy="1583865"/>
                                <wp:effectExtent l="0" t="0" r="0" b="0"/>
                                <wp:docPr id="148173660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8173660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29743A" w14:paraId="7B65822F"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9743A" w14:textId="77777777">
                          <w:pPr>
                            <w:spacing w:line="240" w:lineRule="auto"/>
                          </w:pPr>
                          <w:r>
                            <w:rPr>
                              <w:noProof/>
                            </w:rPr>
                            <w:drawing>
                              <wp:inline distT="0" distB="0" distL="0" distR="0">
                                <wp:extent cx="2339975" cy="1582834"/>
                                <wp:effectExtent l="0" t="0" r="0" b="0"/>
                                <wp:docPr id="163989964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3989964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29743A" w14:paraId="3A9D9E56"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130E1" w:rsidRPr="000B18EA" w:rsidP="00F130E1" w14:textId="77777777">
                          <w:pPr>
                            <w:rPr>
                              <w:sz w:val="13"/>
                              <w:szCs w:val="13"/>
                            </w:rPr>
                          </w:pPr>
                          <w:r w:rsidRPr="000B18EA">
                            <w:rPr>
                              <w:sz w:val="13"/>
                              <w:szCs w:val="13"/>
                            </w:rPr>
                            <w:t>&gt; Retouradres Postbus 20011 2500 EA  Den Haag</w:t>
                          </w:r>
                        </w:p>
                        <w:p w:rsidR="0029743A" w14:textId="77777777">
                          <w:pPr>
                            <w:pStyle w:val="Referentiegegevens"/>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F130E1" w:rsidRPr="000B18EA" w:rsidP="00F130E1" w14:paraId="0A7FE0F5" w14:textId="77777777">
                    <w:pPr>
                      <w:rPr>
                        <w:sz w:val="13"/>
                        <w:szCs w:val="13"/>
                      </w:rPr>
                    </w:pPr>
                    <w:r w:rsidRPr="000B18EA">
                      <w:rPr>
                        <w:sz w:val="13"/>
                        <w:szCs w:val="13"/>
                      </w:rPr>
                      <w:t>&gt; Retouradres Postbus 20011 2500 EA  Den Haag</w:t>
                    </w:r>
                  </w:p>
                  <w:p w:rsidR="0029743A" w14:paraId="66E5DA23"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454BD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9743A" w14:textId="77777777">
                          <w:r>
                            <w:t>Aan</w:t>
                          </w:r>
                          <w:r w:rsidR="00EB26F2">
                            <w:t xml:space="preserve"> </w:t>
                          </w:r>
                          <w:r>
                            <w:t>d</w:t>
                          </w:r>
                          <w:r w:rsidR="00EB26F2">
                            <w:t xml:space="preserve">e </w:t>
                          </w:r>
                          <w:r>
                            <w:t>V</w:t>
                          </w:r>
                          <w:r w:rsidR="00EB26F2">
                            <w:t>oorzitter van de Tweede Kamer der Staten-Generaal</w:t>
                          </w:r>
                        </w:p>
                        <w:p w:rsidR="0029743A" w14:textId="77777777">
                          <w:r>
                            <w:t xml:space="preserve">Postbus 20018 </w:t>
                          </w:r>
                        </w:p>
                        <w:p w:rsidR="0029743A"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454BD2" w14:paraId="46FEC99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9743A" w14:paraId="3788C262" w14:textId="77777777">
                    <w:r>
                      <w:t>Aan</w:t>
                    </w:r>
                    <w:r w:rsidR="00EB26F2">
                      <w:t xml:space="preserve"> </w:t>
                    </w:r>
                    <w:r>
                      <w:t>d</w:t>
                    </w:r>
                    <w:r w:rsidR="00EB26F2">
                      <w:t xml:space="preserve">e </w:t>
                    </w:r>
                    <w:r>
                      <w:t>V</w:t>
                    </w:r>
                    <w:r w:rsidR="00EB26F2">
                      <w:t>oorzitter van de Tweede Kamer der Staten-Generaal</w:t>
                    </w:r>
                  </w:p>
                  <w:p w:rsidR="0029743A" w14:paraId="1495EE3D" w14:textId="77777777">
                    <w:r>
                      <w:t xml:space="preserve">Postbus 20018 </w:t>
                    </w:r>
                  </w:p>
                  <w:p w:rsidR="0029743A" w14:paraId="56E15C52"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3337560</wp:posOffset>
              </wp:positionV>
              <wp:extent cx="4772025" cy="5334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33400"/>
                      </a:xfrm>
                      <a:prstGeom prst="rect">
                        <a:avLst/>
                      </a:prstGeom>
                      <a:noFill/>
                    </wps:spPr>
                    <wps:txbx>
                      <w:txbxContent>
                        <w:tbl>
                          <w:tblPr>
                            <w:tblW w:w="0" w:type="auto"/>
                            <w:tblLayout w:type="fixed"/>
                            <w:tblLook w:val="07E0"/>
                          </w:tblPr>
                          <w:tblGrid>
                            <w:gridCol w:w="1140"/>
                            <w:gridCol w:w="5918"/>
                          </w:tblGrid>
                          <w:tr w14:paraId="15862A1A" w14:textId="77777777">
                            <w:tblPrEx>
                              <w:tblW w:w="0" w:type="auto"/>
                              <w:tblLayout w:type="fixed"/>
                              <w:tblLook w:val="07E0"/>
                            </w:tblPrEx>
                            <w:trPr>
                              <w:trHeight w:val="240"/>
                            </w:trPr>
                            <w:tc>
                              <w:tcPr>
                                <w:tcW w:w="1140" w:type="dxa"/>
                              </w:tcPr>
                              <w:p w:rsidR="0029743A" w14:textId="77777777">
                                <w:r>
                                  <w:t>Datum</w:t>
                                </w:r>
                              </w:p>
                            </w:tc>
                            <w:tc>
                              <w:tcPr>
                                <w:tcW w:w="5918" w:type="dxa"/>
                              </w:tcPr>
                              <w:p w:rsidR="00E9027A" w14:textId="42100030">
                                <w:r>
                                  <w:t>20 juni 2025</w:t>
                                </w:r>
                              </w:p>
                            </w:tc>
                          </w:tr>
                          <w:tr w14:paraId="65E13DB5" w14:textId="77777777">
                            <w:tblPrEx>
                              <w:tblW w:w="0" w:type="auto"/>
                              <w:tblLayout w:type="fixed"/>
                              <w:tblLook w:val="07E0"/>
                            </w:tblPrEx>
                            <w:trPr>
                              <w:trHeight w:val="240"/>
                            </w:trPr>
                            <w:tc>
                              <w:tcPr>
                                <w:tcW w:w="1140" w:type="dxa"/>
                              </w:tcPr>
                              <w:p w:rsidR="0029743A" w14:textId="77777777">
                                <w:r>
                                  <w:t>Betreft</w:t>
                                </w:r>
                              </w:p>
                            </w:tc>
                            <w:tc>
                              <w:tcPr>
                                <w:tcW w:w="5918" w:type="dxa"/>
                              </w:tcPr>
                              <w:p w:rsidR="00454BD2" w14:textId="77777777">
                                <w:r>
                                  <w:fldChar w:fldCharType="begin"/>
                                </w:r>
                                <w:r>
                                  <w:instrText xml:space="preserve"> DOCPROPERTY  "Onderwerp"  \* MERGEFORMAT </w:instrText>
                                </w:r>
                                <w:r>
                                  <w:fldChar w:fldCharType="separate"/>
                                </w:r>
                                <w:r w:rsidR="00B220F0">
                                  <w:t>Verslagen financieel toezicht 2025</w:t>
                                </w:r>
                                <w:r w:rsidR="00B220F0">
                                  <w:fldChar w:fldCharType="end"/>
                                </w:r>
                              </w:p>
                            </w:tc>
                          </w:tr>
                        </w:tbl>
                        <w:p w:rsidR="00EB26F2"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2pt;margin-top:262.8pt;margin-left:80.4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15862A19" w14:textId="77777777">
                      <w:tblPrEx>
                        <w:tblW w:w="0" w:type="auto"/>
                        <w:tblLayout w:type="fixed"/>
                        <w:tblLook w:val="07E0"/>
                      </w:tblPrEx>
                      <w:trPr>
                        <w:trHeight w:val="240"/>
                      </w:trPr>
                      <w:tc>
                        <w:tcPr>
                          <w:tcW w:w="1140" w:type="dxa"/>
                        </w:tcPr>
                        <w:p w:rsidR="0029743A" w14:paraId="6C91EB6C" w14:textId="77777777">
                          <w:r>
                            <w:t>Datum</w:t>
                          </w:r>
                        </w:p>
                      </w:tc>
                      <w:tc>
                        <w:tcPr>
                          <w:tcW w:w="5918" w:type="dxa"/>
                        </w:tcPr>
                        <w:p w:rsidR="00E9027A" w14:paraId="35017F87" w14:textId="42100030">
                          <w:r>
                            <w:t>20 juni 2025</w:t>
                          </w:r>
                        </w:p>
                      </w:tc>
                    </w:tr>
                    <w:tr w14:paraId="65E13DB4" w14:textId="77777777">
                      <w:tblPrEx>
                        <w:tblW w:w="0" w:type="auto"/>
                        <w:tblLayout w:type="fixed"/>
                        <w:tblLook w:val="07E0"/>
                      </w:tblPrEx>
                      <w:trPr>
                        <w:trHeight w:val="240"/>
                      </w:trPr>
                      <w:tc>
                        <w:tcPr>
                          <w:tcW w:w="1140" w:type="dxa"/>
                        </w:tcPr>
                        <w:p w:rsidR="0029743A" w14:paraId="5709C291" w14:textId="77777777">
                          <w:r>
                            <w:t>Betreft</w:t>
                          </w:r>
                        </w:p>
                      </w:tc>
                      <w:tc>
                        <w:tcPr>
                          <w:tcW w:w="5918" w:type="dxa"/>
                        </w:tcPr>
                        <w:p w:rsidR="00454BD2" w14:paraId="2C7A2B70" w14:textId="77777777">
                          <w:r>
                            <w:fldChar w:fldCharType="begin"/>
                          </w:r>
                          <w:r>
                            <w:instrText xml:space="preserve"> DOCPROPERTY  "Onderwerp"  \* MERGEFORMAT </w:instrText>
                          </w:r>
                          <w:r>
                            <w:fldChar w:fldCharType="separate"/>
                          </w:r>
                          <w:r w:rsidR="00B220F0">
                            <w:t>Verslagen financieel toezicht 2025</w:t>
                          </w:r>
                          <w:r w:rsidR="00B220F0">
                            <w:fldChar w:fldCharType="end"/>
                          </w:r>
                        </w:p>
                      </w:tc>
                    </w:tr>
                  </w:tbl>
                  <w:p w:rsidR="00EB26F2" w14:paraId="0D091050"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9743A" w14:textId="77777777">
                          <w:pPr>
                            <w:pStyle w:val="Referentiegegevensbold"/>
                          </w:pPr>
                          <w:r>
                            <w:t xml:space="preserve">DG Openbaar Bestuur &amp; </w:t>
                          </w:r>
                          <w:r>
                            <w:t>Democr</w:t>
                          </w:r>
                          <w:r>
                            <w:t xml:space="preserve"> Rechtsstaat</w:t>
                          </w:r>
                        </w:p>
                        <w:p w:rsidR="0029743A" w14:textId="77777777">
                          <w:pPr>
                            <w:pStyle w:val="Referentiegegevens"/>
                          </w:pPr>
                          <w:r>
                            <w:t>DGOBDR-BFR-</w:t>
                          </w:r>
                          <w:r>
                            <w:t>Regelg</w:t>
                          </w:r>
                          <w:r>
                            <w:t>. Toezicht &amp; Monitoring</w:t>
                          </w:r>
                        </w:p>
                        <w:p w:rsidR="0029743A" w14:textId="77777777">
                          <w:pPr>
                            <w:pStyle w:val="WitregelW1"/>
                          </w:pPr>
                        </w:p>
                        <w:p w:rsidR="0029743A" w14:textId="77777777">
                          <w:pPr>
                            <w:pStyle w:val="Referentiegegevens"/>
                          </w:pPr>
                          <w:r>
                            <w:t>Turfmarkt 147</w:t>
                          </w:r>
                        </w:p>
                        <w:p w:rsidR="0029743A" w14:textId="77777777">
                          <w:pPr>
                            <w:pStyle w:val="Referentiegegevens"/>
                          </w:pPr>
                          <w:r>
                            <w:t>2511 DP  Den Haag</w:t>
                          </w:r>
                        </w:p>
                        <w:p w:rsidR="0029743A" w14:textId="77777777">
                          <w:pPr>
                            <w:pStyle w:val="WitregelW2"/>
                          </w:pPr>
                        </w:p>
                        <w:p w:rsidR="0029743A" w14:textId="77777777">
                          <w:pPr>
                            <w:pStyle w:val="Referentiegegevensbold"/>
                          </w:pPr>
                          <w:r>
                            <w:t>Onze referentie</w:t>
                          </w:r>
                        </w:p>
                        <w:p w:rsidR="00454BD2" w14:textId="77777777">
                          <w:pPr>
                            <w:pStyle w:val="Referentiegegevens"/>
                          </w:pPr>
                          <w:r>
                            <w:fldChar w:fldCharType="begin"/>
                          </w:r>
                          <w:r>
                            <w:instrText xml:space="preserve"> DOCPROPERTY  "Kenmerk"  \* MERGEFORMAT </w:instrText>
                          </w:r>
                          <w:r>
                            <w:fldChar w:fldCharType="separate"/>
                          </w:r>
                          <w:r w:rsidR="00B220F0">
                            <w:t>2025-0000329614</w:t>
                          </w:r>
                          <w:r w:rsidR="00B220F0">
                            <w:fldChar w:fldCharType="end"/>
                          </w:r>
                        </w:p>
                        <w:p w:rsidR="0029743A" w14:textId="77777777">
                          <w:pPr>
                            <w:pStyle w:val="WitregelW1"/>
                          </w:pPr>
                        </w:p>
                        <w:p w:rsidR="0029743A" w14:textId="77777777">
                          <w:pPr>
                            <w:pStyle w:val="Referentiegegevensbold"/>
                          </w:pPr>
                          <w:r>
                            <w:t>Uw referentie</w:t>
                          </w:r>
                        </w:p>
                        <w:p w:rsidR="00454BD2" w14:textId="77777777">
                          <w:pPr>
                            <w:pStyle w:val="Referentiegegevens"/>
                          </w:pPr>
                          <w:r>
                            <w:fldChar w:fldCharType="begin"/>
                          </w:r>
                          <w:r>
                            <w:instrText xml:space="preserve"> DOCPROPERTY  "UwKenmerk"  \* MERGEFORMAT </w:instrText>
                          </w:r>
                          <w:r>
                            <w:fldChar w:fldCharType="separate"/>
                          </w:r>
                          <w:r>
                            <w:fldChar w:fldCharType="end"/>
                          </w:r>
                        </w:p>
                        <w:p w:rsidR="0029743A" w14:textId="77777777">
                          <w:pPr>
                            <w:pStyle w:val="WitregelW1"/>
                          </w:pPr>
                        </w:p>
                        <w:p w:rsidR="0029743A" w14:textId="77777777">
                          <w:pPr>
                            <w:pStyle w:val="Referentiegegevensbold"/>
                          </w:pPr>
                          <w:r>
                            <w:t>Bijlage(n)</w:t>
                          </w:r>
                        </w:p>
                        <w:p w:rsidR="0029743A" w14:textId="77777777">
                          <w:pPr>
                            <w:pStyle w:val="Referentiegegevens"/>
                          </w:pPr>
                          <w:r>
                            <w:t>4</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29743A" w14:paraId="7CD600E4" w14:textId="77777777">
                    <w:pPr>
                      <w:pStyle w:val="Referentiegegevensbold"/>
                    </w:pPr>
                    <w:r>
                      <w:t xml:space="preserve">DG Openbaar Bestuur &amp; </w:t>
                    </w:r>
                    <w:r>
                      <w:t>Democr</w:t>
                    </w:r>
                    <w:r>
                      <w:t xml:space="preserve"> Rechtsstaat</w:t>
                    </w:r>
                  </w:p>
                  <w:p w:rsidR="0029743A" w14:paraId="38ED3718" w14:textId="77777777">
                    <w:pPr>
                      <w:pStyle w:val="Referentiegegevens"/>
                    </w:pPr>
                    <w:r>
                      <w:t>DGOBDR-BFR-</w:t>
                    </w:r>
                    <w:r>
                      <w:t>Regelg</w:t>
                    </w:r>
                    <w:r>
                      <w:t>. Toezicht &amp; Monitoring</w:t>
                    </w:r>
                  </w:p>
                  <w:p w:rsidR="0029743A" w14:paraId="7F676EC1" w14:textId="77777777">
                    <w:pPr>
                      <w:pStyle w:val="WitregelW1"/>
                    </w:pPr>
                  </w:p>
                  <w:p w:rsidR="0029743A" w14:paraId="3E10D68D" w14:textId="77777777">
                    <w:pPr>
                      <w:pStyle w:val="Referentiegegevens"/>
                    </w:pPr>
                    <w:r>
                      <w:t>Turfmarkt 147</w:t>
                    </w:r>
                  </w:p>
                  <w:p w:rsidR="0029743A" w14:paraId="2703C38E" w14:textId="77777777">
                    <w:pPr>
                      <w:pStyle w:val="Referentiegegevens"/>
                    </w:pPr>
                    <w:r>
                      <w:t>2511 DP  Den Haag</w:t>
                    </w:r>
                  </w:p>
                  <w:p w:rsidR="0029743A" w14:paraId="5671DA61" w14:textId="77777777">
                    <w:pPr>
                      <w:pStyle w:val="WitregelW2"/>
                    </w:pPr>
                  </w:p>
                  <w:p w:rsidR="0029743A" w14:paraId="68D39321" w14:textId="77777777">
                    <w:pPr>
                      <w:pStyle w:val="Referentiegegevensbold"/>
                    </w:pPr>
                    <w:r>
                      <w:t>Onze referentie</w:t>
                    </w:r>
                  </w:p>
                  <w:p w:rsidR="00454BD2" w14:paraId="17C0354D" w14:textId="77777777">
                    <w:pPr>
                      <w:pStyle w:val="Referentiegegevens"/>
                    </w:pPr>
                    <w:r>
                      <w:fldChar w:fldCharType="begin"/>
                    </w:r>
                    <w:r>
                      <w:instrText xml:space="preserve"> DOCPROPERTY  "Kenmerk"  \* MERGEFORMAT </w:instrText>
                    </w:r>
                    <w:r>
                      <w:fldChar w:fldCharType="separate"/>
                    </w:r>
                    <w:r w:rsidR="00B220F0">
                      <w:t>2025-0000329614</w:t>
                    </w:r>
                    <w:r w:rsidR="00B220F0">
                      <w:fldChar w:fldCharType="end"/>
                    </w:r>
                  </w:p>
                  <w:p w:rsidR="0029743A" w14:paraId="43C99C6B" w14:textId="77777777">
                    <w:pPr>
                      <w:pStyle w:val="WitregelW1"/>
                    </w:pPr>
                  </w:p>
                  <w:p w:rsidR="0029743A" w14:paraId="28829FB8" w14:textId="77777777">
                    <w:pPr>
                      <w:pStyle w:val="Referentiegegevensbold"/>
                    </w:pPr>
                    <w:r>
                      <w:t>Uw referentie</w:t>
                    </w:r>
                  </w:p>
                  <w:p w:rsidR="00454BD2" w14:paraId="3636306F" w14:textId="77777777">
                    <w:pPr>
                      <w:pStyle w:val="Referentiegegevens"/>
                    </w:pPr>
                    <w:r>
                      <w:fldChar w:fldCharType="begin"/>
                    </w:r>
                    <w:r>
                      <w:instrText xml:space="preserve"> DOCPROPERTY  "UwKenmerk"  \* MERGEFORMAT </w:instrText>
                    </w:r>
                    <w:r>
                      <w:fldChar w:fldCharType="separate"/>
                    </w:r>
                    <w:r>
                      <w:fldChar w:fldCharType="end"/>
                    </w:r>
                  </w:p>
                  <w:p w:rsidR="0029743A" w14:paraId="57ECDCF4" w14:textId="77777777">
                    <w:pPr>
                      <w:pStyle w:val="WitregelW1"/>
                    </w:pPr>
                  </w:p>
                  <w:p w:rsidR="0029743A" w14:paraId="34E5532F" w14:textId="77777777">
                    <w:pPr>
                      <w:pStyle w:val="Referentiegegevensbold"/>
                    </w:pPr>
                    <w:r>
                      <w:t>Bijlage(n)</w:t>
                    </w:r>
                  </w:p>
                  <w:p w:rsidR="0029743A" w14:paraId="5CB5040B" w14:textId="77777777">
                    <w:pPr>
                      <w:pStyle w:val="Referentiegegevens"/>
                    </w:pPr>
                    <w:r>
                      <w:t>4</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54BD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454BD2" w14:paraId="047B3B1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B26F2"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EB26F2" w14:paraId="5235D8FE"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0BAC3F9"/>
    <w:multiLevelType w:val="multilevel"/>
    <w:tmpl w:val="5F2BFEC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A4EA2D38"/>
    <w:multiLevelType w:val="multilevel"/>
    <w:tmpl w:val="EB68965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C48D0D19"/>
    <w:multiLevelType w:val="multilevel"/>
    <w:tmpl w:val="577FF66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2A6105E6"/>
    <w:multiLevelType w:val="hybridMultilevel"/>
    <w:tmpl w:val="B79EA1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40BB502"/>
    <w:multiLevelType w:val="multilevel"/>
    <w:tmpl w:val="DB50958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4B6435F9"/>
    <w:multiLevelType w:val="multilevel"/>
    <w:tmpl w:val="778A68D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384331617">
    <w:abstractNumId w:val="4"/>
  </w:num>
  <w:num w:numId="2" w16cid:durableId="1696073950">
    <w:abstractNumId w:val="2"/>
  </w:num>
  <w:num w:numId="3" w16cid:durableId="1886602952">
    <w:abstractNumId w:val="1"/>
  </w:num>
  <w:num w:numId="4" w16cid:durableId="32584083">
    <w:abstractNumId w:val="5"/>
  </w:num>
  <w:num w:numId="5" w16cid:durableId="2087065789">
    <w:abstractNumId w:val="0"/>
  </w:num>
  <w:num w:numId="6" w16cid:durableId="1187524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3A"/>
    <w:rsid w:val="00027367"/>
    <w:rsid w:val="00027EAB"/>
    <w:rsid w:val="00041A95"/>
    <w:rsid w:val="00067415"/>
    <w:rsid w:val="000B182B"/>
    <w:rsid w:val="000B18EA"/>
    <w:rsid w:val="00106DC2"/>
    <w:rsid w:val="00134E94"/>
    <w:rsid w:val="0014037E"/>
    <w:rsid w:val="00145210"/>
    <w:rsid w:val="00180465"/>
    <w:rsid w:val="00194CE3"/>
    <w:rsid w:val="001D3583"/>
    <w:rsid w:val="00217318"/>
    <w:rsid w:val="002837E6"/>
    <w:rsid w:val="0029743A"/>
    <w:rsid w:val="002C1EC6"/>
    <w:rsid w:val="002D6CE5"/>
    <w:rsid w:val="002E15A3"/>
    <w:rsid w:val="00307E97"/>
    <w:rsid w:val="00355C4A"/>
    <w:rsid w:val="00371D64"/>
    <w:rsid w:val="0037375C"/>
    <w:rsid w:val="003D0B27"/>
    <w:rsid w:val="003D0D5B"/>
    <w:rsid w:val="00410720"/>
    <w:rsid w:val="004328EF"/>
    <w:rsid w:val="00435A69"/>
    <w:rsid w:val="00454BD2"/>
    <w:rsid w:val="0047520F"/>
    <w:rsid w:val="004B6ECC"/>
    <w:rsid w:val="004C453C"/>
    <w:rsid w:val="004F4B8E"/>
    <w:rsid w:val="00501C9A"/>
    <w:rsid w:val="00535917"/>
    <w:rsid w:val="005503EA"/>
    <w:rsid w:val="005679F0"/>
    <w:rsid w:val="005B0E48"/>
    <w:rsid w:val="005D7929"/>
    <w:rsid w:val="005F40CF"/>
    <w:rsid w:val="006121A3"/>
    <w:rsid w:val="0065793C"/>
    <w:rsid w:val="006B17BE"/>
    <w:rsid w:val="006B5AA8"/>
    <w:rsid w:val="006B62AF"/>
    <w:rsid w:val="006D15C7"/>
    <w:rsid w:val="006F410E"/>
    <w:rsid w:val="00700CAC"/>
    <w:rsid w:val="00743132"/>
    <w:rsid w:val="007522B0"/>
    <w:rsid w:val="00767354"/>
    <w:rsid w:val="0077541D"/>
    <w:rsid w:val="00781F89"/>
    <w:rsid w:val="007849AD"/>
    <w:rsid w:val="007B3489"/>
    <w:rsid w:val="007C3D84"/>
    <w:rsid w:val="007D0BC1"/>
    <w:rsid w:val="007D3B65"/>
    <w:rsid w:val="008045BF"/>
    <w:rsid w:val="008275DD"/>
    <w:rsid w:val="00834CD7"/>
    <w:rsid w:val="008373DE"/>
    <w:rsid w:val="008414AF"/>
    <w:rsid w:val="0084173A"/>
    <w:rsid w:val="00857E3F"/>
    <w:rsid w:val="00875679"/>
    <w:rsid w:val="00877102"/>
    <w:rsid w:val="008775C6"/>
    <w:rsid w:val="008A295E"/>
    <w:rsid w:val="008D4E33"/>
    <w:rsid w:val="00937DC9"/>
    <w:rsid w:val="00943A47"/>
    <w:rsid w:val="009702A0"/>
    <w:rsid w:val="00972B6E"/>
    <w:rsid w:val="009E72E6"/>
    <w:rsid w:val="00A1501E"/>
    <w:rsid w:val="00A544CD"/>
    <w:rsid w:val="00A6730E"/>
    <w:rsid w:val="00AB3051"/>
    <w:rsid w:val="00AC1173"/>
    <w:rsid w:val="00AC2CB6"/>
    <w:rsid w:val="00B0079C"/>
    <w:rsid w:val="00B16B08"/>
    <w:rsid w:val="00B220F0"/>
    <w:rsid w:val="00B55E01"/>
    <w:rsid w:val="00B6461C"/>
    <w:rsid w:val="00B76F3E"/>
    <w:rsid w:val="00B77679"/>
    <w:rsid w:val="00B8568B"/>
    <w:rsid w:val="00B96B96"/>
    <w:rsid w:val="00BC53C0"/>
    <w:rsid w:val="00C36327"/>
    <w:rsid w:val="00C40BA9"/>
    <w:rsid w:val="00CD3E39"/>
    <w:rsid w:val="00CF1561"/>
    <w:rsid w:val="00D0196A"/>
    <w:rsid w:val="00D83F65"/>
    <w:rsid w:val="00D9735B"/>
    <w:rsid w:val="00DC5DB0"/>
    <w:rsid w:val="00DC6B01"/>
    <w:rsid w:val="00DD2EB8"/>
    <w:rsid w:val="00DE2A61"/>
    <w:rsid w:val="00DE2C10"/>
    <w:rsid w:val="00E62734"/>
    <w:rsid w:val="00E75591"/>
    <w:rsid w:val="00E9027A"/>
    <w:rsid w:val="00EB26F2"/>
    <w:rsid w:val="00EF53ED"/>
    <w:rsid w:val="00F11C74"/>
    <w:rsid w:val="00F130E1"/>
    <w:rsid w:val="00F517C5"/>
    <w:rsid w:val="00FB198B"/>
    <w:rsid w:val="00FF420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CADF012"/>
  <w15:docId w15:val="{8E62C7A0-576B-4C22-A1D7-49700240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VoetnoottekstChar"/>
    <w:uiPriority w:val="99"/>
    <w:semiHidden/>
    <w:unhideWhenUsed/>
    <w:rsid w:val="00B77679"/>
    <w:pPr>
      <w:spacing w:line="240" w:lineRule="auto"/>
    </w:pPr>
    <w:rPr>
      <w:sz w:val="20"/>
      <w:szCs w:val="20"/>
    </w:rPr>
  </w:style>
  <w:style w:type="character" w:customStyle="1" w:styleId="VoetnoottekstChar">
    <w:name w:val="Voetnoottekst Char"/>
    <w:basedOn w:val="DefaultParagraphFont"/>
    <w:link w:val="FootnoteText"/>
    <w:uiPriority w:val="99"/>
    <w:semiHidden/>
    <w:rsid w:val="00B77679"/>
    <w:rPr>
      <w:rFonts w:ascii="Verdana" w:hAnsi="Verdana"/>
      <w:color w:val="000000"/>
    </w:rPr>
  </w:style>
  <w:style w:type="character" w:styleId="FootnoteReference">
    <w:name w:val="footnote reference"/>
    <w:basedOn w:val="DefaultParagraphFont"/>
    <w:uiPriority w:val="99"/>
    <w:semiHidden/>
    <w:unhideWhenUsed/>
    <w:rsid w:val="00B77679"/>
    <w:rPr>
      <w:vertAlign w:val="superscript"/>
    </w:rPr>
  </w:style>
  <w:style w:type="paragraph" w:styleId="ListParagraph">
    <w:name w:val="List Paragraph"/>
    <w:basedOn w:val="Normal"/>
    <w:uiPriority w:val="34"/>
    <w:qFormat/>
    <w:rsid w:val="00B77679"/>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CommentReference">
    <w:name w:val="annotation reference"/>
    <w:basedOn w:val="DefaultParagraphFont"/>
    <w:uiPriority w:val="99"/>
    <w:semiHidden/>
    <w:unhideWhenUsed/>
    <w:rsid w:val="00A544CD"/>
    <w:rPr>
      <w:sz w:val="16"/>
      <w:szCs w:val="16"/>
    </w:rPr>
  </w:style>
  <w:style w:type="paragraph" w:styleId="CommentText">
    <w:name w:val="annotation text"/>
    <w:basedOn w:val="Normal"/>
    <w:link w:val="TekstopmerkingChar"/>
    <w:uiPriority w:val="99"/>
    <w:unhideWhenUsed/>
    <w:rsid w:val="00A544CD"/>
    <w:pPr>
      <w:spacing w:line="240" w:lineRule="auto"/>
    </w:pPr>
    <w:rPr>
      <w:sz w:val="20"/>
      <w:szCs w:val="20"/>
    </w:rPr>
  </w:style>
  <w:style w:type="character" w:customStyle="1" w:styleId="TekstopmerkingChar">
    <w:name w:val="Tekst opmerking Char"/>
    <w:basedOn w:val="DefaultParagraphFont"/>
    <w:link w:val="CommentText"/>
    <w:uiPriority w:val="99"/>
    <w:rsid w:val="00A544CD"/>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A544CD"/>
    <w:rPr>
      <w:b/>
      <w:bCs/>
    </w:rPr>
  </w:style>
  <w:style w:type="character" w:customStyle="1" w:styleId="OnderwerpvanopmerkingChar">
    <w:name w:val="Onderwerp van opmerking Char"/>
    <w:basedOn w:val="TekstopmerkingChar"/>
    <w:link w:val="CommentSubject"/>
    <w:uiPriority w:val="99"/>
    <w:semiHidden/>
    <w:rsid w:val="00A544CD"/>
    <w:rPr>
      <w:rFonts w:ascii="Verdana" w:hAnsi="Verdana"/>
      <w:b/>
      <w:bCs/>
      <w:color w:val="000000"/>
    </w:rPr>
  </w:style>
  <w:style w:type="character" w:styleId="UnresolvedMention">
    <w:name w:val="Unresolved Mention"/>
    <w:basedOn w:val="DefaultParagraphFont"/>
    <w:uiPriority w:val="99"/>
    <w:semiHidden/>
    <w:unhideWhenUsed/>
    <w:rsid w:val="009E72E6"/>
    <w:rPr>
      <w:color w:val="605E5C"/>
      <w:shd w:val="clear" w:color="auto" w:fill="E1DFDD"/>
    </w:rPr>
  </w:style>
  <w:style w:type="character" w:styleId="FollowedHyperlink">
    <w:name w:val="FollowedHyperlink"/>
    <w:basedOn w:val="DefaultParagraphFont"/>
    <w:uiPriority w:val="99"/>
    <w:semiHidden/>
    <w:unhideWhenUsed/>
    <w:rsid w:val="00AC1173"/>
    <w:rPr>
      <w:color w:val="96607D" w:themeColor="followedHyperlink"/>
      <w:u w:val="single"/>
    </w:rPr>
  </w:style>
  <w:style w:type="paragraph" w:styleId="Header">
    <w:name w:val="header"/>
    <w:basedOn w:val="Normal"/>
    <w:link w:val="KoptekstChar"/>
    <w:uiPriority w:val="99"/>
    <w:unhideWhenUsed/>
    <w:rsid w:val="00943A47"/>
    <w:pPr>
      <w:tabs>
        <w:tab w:val="center" w:pos="4536"/>
        <w:tab w:val="right" w:pos="9072"/>
      </w:tabs>
      <w:spacing w:line="240" w:lineRule="auto"/>
    </w:pPr>
  </w:style>
  <w:style w:type="character" w:customStyle="1" w:styleId="KoptekstChar">
    <w:name w:val="Koptekst Char"/>
    <w:basedOn w:val="DefaultParagraphFont"/>
    <w:link w:val="Header"/>
    <w:uiPriority w:val="99"/>
    <w:rsid w:val="00943A47"/>
    <w:rPr>
      <w:rFonts w:ascii="Verdana" w:hAnsi="Verdana"/>
      <w:color w:val="000000"/>
      <w:sz w:val="18"/>
      <w:szCs w:val="18"/>
    </w:rPr>
  </w:style>
  <w:style w:type="paragraph" w:styleId="Footer">
    <w:name w:val="footer"/>
    <w:basedOn w:val="Normal"/>
    <w:link w:val="VoettekstChar"/>
    <w:uiPriority w:val="99"/>
    <w:unhideWhenUsed/>
    <w:rsid w:val="00943A47"/>
    <w:pPr>
      <w:tabs>
        <w:tab w:val="center" w:pos="4536"/>
        <w:tab w:val="right" w:pos="9072"/>
      </w:tabs>
      <w:spacing w:line="240" w:lineRule="auto"/>
    </w:pPr>
  </w:style>
  <w:style w:type="character" w:customStyle="1" w:styleId="VoettekstChar">
    <w:name w:val="Voettekst Char"/>
    <w:basedOn w:val="DefaultParagraphFont"/>
    <w:link w:val="Footer"/>
    <w:uiPriority w:val="99"/>
    <w:rsid w:val="00943A47"/>
    <w:rPr>
      <w:rFonts w:ascii="Verdana" w:hAnsi="Verdana"/>
      <w:color w:val="000000"/>
      <w:sz w:val="18"/>
      <w:szCs w:val="18"/>
    </w:rPr>
  </w:style>
  <w:style w:type="paragraph" w:styleId="Revision">
    <w:name w:val="Revision"/>
    <w:hidden/>
    <w:uiPriority w:val="99"/>
    <w:semiHidden/>
    <w:rsid w:val="00943A4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open.overheid.nl/documenten/910f6f86-c426-4f7a-8edf-b5771f9179c4/file" TargetMode="External" /><Relationship Id="rId2" Type="http://schemas.openxmlformats.org/officeDocument/2006/relationships/hyperlink" Target="https://www.tweedekamer.nl/debat_en_vergadering/commissievergaderingen/details?id=2025A01610"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1028</ap:Words>
  <ap:Characters>5656</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Brief - Verslagen financieel toezicht 2025</vt:lpstr>
    </vt:vector>
  </ap:TitlesOfParts>
  <ap:LinksUpToDate>false</ap:LinksUpToDate>
  <ap:CharactersWithSpaces>6671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2025-05-09T08:55:00.0000000Z</dcterms:created>
  <dcterms:modified xsi:type="dcterms:W3CDTF">2025-06-20T14:04:00.0000000Z</dcterms:modified>
  <dc:creator/>
  <lastModifiedBy/>
  <dc:description>------------------------</dc:description>
  <dc:subject/>
  <keywords/>
  <version/>
  <category/>
</coreProperties>
</file>