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2025Z12769</w:t>
        <w:br/>
      </w:r>
      <w:proofErr w:type="spellEnd"/>
    </w:p>
    <w:p>
      <w:pPr>
        <w:pStyle w:val="Normal"/>
        <w:rPr>
          <w:b w:val="1"/>
          <w:bCs w:val="1"/>
        </w:rPr>
      </w:pPr>
      <w:r w:rsidR="250AE766">
        <w:rPr>
          <w:b w:val="0"/>
          <w:bCs w:val="0"/>
        </w:rPr>
        <w:t>(ingezonden 19 juni 2025)</w:t>
        <w:br/>
      </w:r>
    </w:p>
    <w:p>
      <w:r>
        <w:t xml:space="preserve">Vragen van de leden Van der Lee (GroenLinks-PvdA) en Van Nispen (SP) aan de ministers van Financiën en van Justitie en Veiligheid over het (demissionaire) kabinetsstandpunt inzake het initiatiefwetsvoorstel Centraal Aandeelhoudersregister (CAHR) </w:t>
      </w:r>
      <w:r>
        <w:br/>
      </w:r>
    </w:p>
    <w:p>
      <w:r>
        <w:t xml:space="preserve"> </w:t>
      </w:r>
      <w:r>
        <w:br/>
      </w:r>
    </w:p>
    <w:p>
      <w:pPr>
        <w:pStyle w:val="ListParagraph"/>
        <w:numPr>
          <w:ilvl w:val="0"/>
          <w:numId w:val="100481480"/>
        </w:numPr>
        <w:ind w:left="360"/>
      </w:pPr>
      <w:r>
        <w:t>Bent u bekend met het KPMG-rapport </w:t>
      </w:r>
      <w:r>
        <w:rPr>
          <w:i w:val="1"/>
          <w:iCs w:val="1"/>
        </w:rPr>
        <w:t xml:space="preserve">"Krachten gebundeld – naar een effectievere en efficiëntere invulling van de poortwachtersrol in Nederland"</w:t>
      </w:r>
      <w:r>
        <w:rPr/>
        <w:t xml:space="preserve"> (2023), waarin wordt aanbevolen lopende wetgevingsinitiatieven die poortwachters versterken – zoals het voorstel van wet van de leden Van der Lee en Van Nispen tot wijziging van de Registratiewet 1970 in verband met de instelling van een centraal aandeelhoudersregister (Wet centraal aandeelhoudersregister; Kamerstuk 34661) – voortvarend op te pakken? 1) </w:t>
      </w:r>
      <w:r>
        <w:br/>
      </w:r>
    </w:p>
    <w:p>
      <w:pPr>
        <w:pStyle w:val="ListParagraph"/>
        <w:numPr>
          <w:ilvl w:val="0"/>
          <w:numId w:val="100481480"/>
        </w:numPr>
        <w:ind w:left="360"/>
      </w:pPr>
      <w:r>
        <w:t>In hoeverre geeft het demissionaire kabinet invulling aan deze aanbeveling, mede gezien de brede steun vanuit poortwachters voor een dergelijk register?</w:t>
      </w:r>
      <w:r>
        <w:br/>
      </w:r>
    </w:p>
    <w:p>
      <w:pPr>
        <w:pStyle w:val="ListParagraph"/>
        <w:numPr>
          <w:ilvl w:val="0"/>
          <w:numId w:val="100481480"/>
        </w:numPr>
        <w:ind w:left="360"/>
      </w:pPr>
      <w:r>
        <w:t>Herinnert u zich de toezegging van minister Van Weel van Justitie en Veiligheid tijdens het tweeminutendebat van d.d. 19 februari 2025 naar aanleiding van het commissiedebat ‘Criminaliteitsbestrijding, ondermijning en georganiseerde criminaliteit’ om het kabinetsstandpunt over het initiatiefwetsvoorstel voor een centraal aandeelhoudersregister (CAHR) opnieuw te bezien?</w:t>
      </w:r>
      <w:r>
        <w:br/>
      </w:r>
    </w:p>
    <w:p>
      <w:pPr>
        <w:pStyle w:val="ListParagraph"/>
        <w:numPr>
          <w:ilvl w:val="0"/>
          <w:numId w:val="100481480"/>
        </w:numPr>
        <w:ind w:left="360"/>
      </w:pPr>
      <w:r>
        <w:t>Herinnert u zich de toezegging van de minister van Justitie en Veiligheid om hierover te rapporteren in de halfjaarbrief Ondermijning vóór de zomer van 2025?</w:t>
      </w:r>
      <w:r>
        <w:br/>
      </w:r>
    </w:p>
    <w:p>
      <w:pPr>
        <w:pStyle w:val="ListParagraph"/>
        <w:numPr>
          <w:ilvl w:val="0"/>
          <w:numId w:val="100481480"/>
        </w:numPr>
        <w:ind w:left="360"/>
      </w:pPr>
      <w:r>
        <w:t>Wanneer kan de Kamer de nadere appreciatie, zoals beloofd door de minister van Justitie en Veiligheid, tegemoetzien? Kunt u alvast delen welke inhoudelijke en juridische overwegingen hierin worden meegenomen?</w:t>
      </w:r>
      <w:r>
        <w:br/>
      </w:r>
    </w:p>
    <w:p>
      <w:pPr>
        <w:pStyle w:val="ListParagraph"/>
        <w:numPr>
          <w:ilvl w:val="0"/>
          <w:numId w:val="100481480"/>
        </w:numPr>
        <w:ind w:left="360"/>
      </w:pPr>
      <w:r>
        <w:t>Acht u het aannemelijk dat een CAHR poortwachters effectiever laat werken én misbruik van complexe eigendomsstructuren tegengaat en daarmee aansluit op de kabinetsbrief </w:t>
      </w:r>
      <w:r>
        <w:rPr>
          <w:i w:val="1"/>
          <w:iCs w:val="1"/>
        </w:rPr>
        <w:t xml:space="preserve">"Nieuwe anti-witwasaanpak"</w:t>
      </w:r>
      <w:r>
        <w:rPr/>
        <w:t xml:space="preserve"> van 14 mei 2025, waarin wordt benadrukt dat de aanpak van witwassen enerzijds lastenverlichting voor bonafide ondernemers beoogt, en anderzijds barrières opwerpt voor criminelen? 2) Kunt u dit toelichten?</w:t>
      </w:r>
      <w:r>
        <w:br/>
      </w:r>
    </w:p>
    <w:p>
      <w:pPr>
        <w:pStyle w:val="ListParagraph"/>
        <w:numPr>
          <w:ilvl w:val="0"/>
          <w:numId w:val="100481480"/>
        </w:numPr>
        <w:ind w:left="360"/>
      </w:pPr>
      <w:r>
        <w:t>Bent u ook van mening dat het huidige en toekomstige UBO-register – vanwege de (meer dan) 25%-drempel – geen volledig zicht biedt op de uiteindelijk belanghebbenden binnen vennootschappen, waardoor bijvoorbeeld aandeelhouders met 24% buiten beeld blijven?</w:t>
      </w:r>
      <w:r>
        <w:br/>
      </w:r>
    </w:p>
    <w:p>
      <w:pPr>
        <w:pStyle w:val="ListParagraph"/>
        <w:numPr>
          <w:ilvl w:val="0"/>
          <w:numId w:val="100481480"/>
        </w:numPr>
        <w:ind w:left="360"/>
      </w:pPr>
      <w:r>
        <w:t>Deelt u de opvatting dat een CAHR waarin álle aandeelhouders (beursgenoteerde bedrijven uitgezonderd) worden geregistreerd, ongeacht de omvang van het belang, dit transparantie gat kan dichten? Zo nee, waarom niet?</w:t>
      </w:r>
      <w:r>
        <w:br/>
      </w:r>
    </w:p>
    <w:p>
      <w:pPr>
        <w:pStyle w:val="ListParagraph"/>
        <w:numPr>
          <w:ilvl w:val="0"/>
          <w:numId w:val="100481480"/>
        </w:numPr>
        <w:ind w:left="360"/>
      </w:pPr>
      <w:r>
        <w:t>Bent u het ermee eens dat een CAHR, gevuld op basis van notariële akten, betrouwbaardere en completere gegevens zal bevatten dan het UBO-register, dat afhankelijk is van zelfregistratie door vennootschappen?</w:t>
      </w:r>
      <w:r>
        <w:br/>
      </w:r>
    </w:p>
    <w:p>
      <w:pPr>
        <w:pStyle w:val="ListParagraph"/>
        <w:numPr>
          <w:ilvl w:val="0"/>
          <w:numId w:val="100481480"/>
        </w:numPr>
        <w:ind w:left="360"/>
      </w:pPr>
      <w:r>
        <w:t>Heeft u kennisgenomen van het recente standpunt van de Koninklijke Notariële Beroepsorganisatie (KNB) in haar position paper van 21 mei 2025, waarin zij aangeeft invoering van het CAHR noodzakelijk te achten en technisch in staat te zijn het register te houden?</w:t>
      </w:r>
      <w:r>
        <w:br/>
      </w:r>
    </w:p>
    <w:p>
      <w:pPr>
        <w:pStyle w:val="ListParagraph"/>
        <w:numPr>
          <w:ilvl w:val="0"/>
          <w:numId w:val="100481480"/>
        </w:numPr>
        <w:ind w:left="360"/>
      </w:pPr>
      <w:r>
        <w:t>Ziet u technische of juridische belemmeringen bij implementatie via de KNB? Zo ja, hoe bent u voornemens deze weg te nemen?</w:t>
      </w:r>
      <w:r>
        <w:br/>
      </w:r>
    </w:p>
    <w:p>
      <w:pPr>
        <w:pStyle w:val="ListParagraph"/>
        <w:numPr>
          <w:ilvl w:val="0"/>
          <w:numId w:val="100481480"/>
        </w:numPr>
        <w:ind w:left="360"/>
      </w:pPr>
      <w:r>
        <w:t>Wordt de uitvoeringstoets die de Kamer van Koophandel uitvoert naar het CAHR op verzoek gedaan van het kabinet? Zo ja, overweegt het kabinet de KNB ook te vragen om het uitvoeren van een dergelijke uitvoeringstoets? Zo nee, waarom niet?</w:t>
      </w:r>
      <w:r>
        <w:br/>
      </w:r>
    </w:p>
    <w:p>
      <w:r>
        <w:t xml:space="preserve"> </w:t>
      </w:r>
      <w:r>
        <w:br/>
      </w:r>
    </w:p>
    <w:p>
      <w:r>
        <w:t xml:space="preserve">1) Krachten gebundeld - KPMG Nederland</w:t>
      </w:r>
      <w:r>
        <w:br/>
      </w:r>
    </w:p>
    <w:p>
      <w:r>
        <w:t xml:space="preserve">2) Kamerstuk 31477, nr. 113.</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