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7B3B05" w:rsidR="007B3B05" w:rsidTr="007B3B05" w14:paraId="204F19C0" w14:textId="77777777">
        <w:tc>
          <w:tcPr>
            <w:tcW w:w="5828" w:type="dxa"/>
            <w:gridSpan w:val="2"/>
            <w:hideMark/>
          </w:tcPr>
          <w:p w:rsidRPr="007B3B05" w:rsidR="007B3B05" w:rsidP="007B3B05" w:rsidRDefault="007B3B05" w14:paraId="7A800A50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B3B05">
              <w:rPr>
                <w:rFonts w:ascii="Verdana" w:hAnsi="Verdana"/>
                <w:noProof/>
                <w:sz w:val="18"/>
              </w:rPr>
              <w:drawing>
                <wp:inline distT="0" distB="0" distL="0" distR="0" wp14:anchorId="6928B08E" wp14:editId="590A2847">
                  <wp:extent cx="3562350" cy="1257300"/>
                  <wp:effectExtent l="0" t="0" r="0" b="0"/>
                  <wp:docPr id="2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7B3B05" w:rsidR="007B3B05" w:rsidP="007B3B05" w:rsidRDefault="007B3B05" w14:paraId="1D18A2A4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55241F8E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65DB6A58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2D8B910E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5E488CD1" w14:textId="77777777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7B3B05">
              <w:rPr>
                <w:rFonts w:ascii="Verdana" w:hAnsi="Verdana"/>
                <w:b/>
                <w:sz w:val="18"/>
              </w:rPr>
              <w:t>Commissie BuZa</w:t>
            </w:r>
          </w:p>
        </w:tc>
      </w:tr>
      <w:tr w:rsidRPr="007B3B05" w:rsidR="007B3B05" w:rsidTr="007B3B05" w14:paraId="63E0B317" w14:textId="77777777">
        <w:tc>
          <w:tcPr>
            <w:tcW w:w="5828" w:type="dxa"/>
            <w:gridSpan w:val="2"/>
          </w:tcPr>
          <w:p w:rsidRPr="007B3B05" w:rsidR="007B3B05" w:rsidP="007B3B05" w:rsidRDefault="007B3B05" w14:paraId="159B9CD7" w14:textId="7777777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0DDC9F87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26222F75" w14:textId="77777777">
        <w:tc>
          <w:tcPr>
            <w:tcW w:w="5828" w:type="dxa"/>
            <w:gridSpan w:val="2"/>
          </w:tcPr>
          <w:p w:rsidRPr="007B3B05" w:rsidR="007B3B05" w:rsidP="007B3B05" w:rsidRDefault="007B3B05" w14:paraId="3E436A46" w14:textId="7777777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3B50CF01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4BCD317A" w14:textId="77777777">
        <w:tc>
          <w:tcPr>
            <w:tcW w:w="5828" w:type="dxa"/>
            <w:gridSpan w:val="2"/>
          </w:tcPr>
          <w:p w:rsidRPr="007B3B05" w:rsidR="007B3B05" w:rsidP="007B3B05" w:rsidRDefault="007B3B05" w14:paraId="08836A08" w14:textId="7777777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3487762B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2EBAC09A" w14:textId="77777777">
        <w:tc>
          <w:tcPr>
            <w:tcW w:w="5828" w:type="dxa"/>
            <w:gridSpan w:val="2"/>
            <w:hideMark/>
          </w:tcPr>
          <w:p w:rsidRPr="007B3B05" w:rsidR="007B3B05" w:rsidP="007B3B05" w:rsidRDefault="007B3B05" w14:paraId="19EFF7B4" w14:textId="77777777">
            <w:pPr>
              <w:rPr>
                <w:rFonts w:ascii="Verdana" w:hAnsi="Verdana"/>
                <w:sz w:val="18"/>
                <w:lang w:val="nl-NL"/>
              </w:rPr>
            </w:pPr>
            <w:r w:rsidRPr="007B3B05">
              <w:rPr>
                <w:rFonts w:ascii="Verdana" w:hAnsi="Verdana"/>
                <w:sz w:val="18"/>
                <w:lang w:val="nl-NL"/>
              </w:rPr>
              <w:t xml:space="preserve">Aan de minister van Buitenlandse Zaken </w:t>
            </w:r>
          </w:p>
        </w:tc>
        <w:tc>
          <w:tcPr>
            <w:tcW w:w="3820" w:type="dxa"/>
          </w:tcPr>
          <w:p w:rsidRPr="007B3B05" w:rsidR="007B3B05" w:rsidP="007B3B05" w:rsidRDefault="007B3B05" w14:paraId="25FE7AD3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4886454C" w14:textId="77777777">
        <w:tc>
          <w:tcPr>
            <w:tcW w:w="5828" w:type="dxa"/>
            <w:gridSpan w:val="2"/>
          </w:tcPr>
          <w:p w:rsidRPr="007B3B05" w:rsidR="007B3B05" w:rsidP="007B3B05" w:rsidRDefault="007B3B05" w14:paraId="4D7BA684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1BAFF63D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255A1A2A" w14:textId="77777777">
        <w:tc>
          <w:tcPr>
            <w:tcW w:w="5828" w:type="dxa"/>
            <w:gridSpan w:val="2"/>
          </w:tcPr>
          <w:p w:rsidRPr="007B3B05" w:rsidR="007B3B05" w:rsidP="007B3B05" w:rsidRDefault="007B3B05" w14:paraId="621D44DB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17E77401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0A229573" w14:textId="77777777">
        <w:tc>
          <w:tcPr>
            <w:tcW w:w="5828" w:type="dxa"/>
            <w:gridSpan w:val="2"/>
          </w:tcPr>
          <w:p w:rsidRPr="007B3B05" w:rsidR="007B3B05" w:rsidP="007B3B05" w:rsidRDefault="007B3B05" w14:paraId="0CAA81E5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0445F05B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0E36A3B0" w14:textId="77777777">
        <w:tc>
          <w:tcPr>
            <w:tcW w:w="9648" w:type="dxa"/>
            <w:gridSpan w:val="3"/>
          </w:tcPr>
          <w:p w:rsidRPr="007B3B05" w:rsidR="007B3B05" w:rsidP="007B3B05" w:rsidRDefault="007B3B05" w14:paraId="6BCC0DB4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5F4CADF9" w14:textId="77777777">
        <w:tc>
          <w:tcPr>
            <w:tcW w:w="9648" w:type="dxa"/>
            <w:gridSpan w:val="3"/>
          </w:tcPr>
          <w:p w:rsidRPr="007B3B05" w:rsidR="007B3B05" w:rsidP="007B3B05" w:rsidRDefault="007B3B05" w14:paraId="61323CA0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74CFDA5C" w14:textId="77777777">
        <w:tc>
          <w:tcPr>
            <w:tcW w:w="9648" w:type="dxa"/>
            <w:gridSpan w:val="3"/>
          </w:tcPr>
          <w:p w:rsidRPr="007B3B05" w:rsidR="007B3B05" w:rsidP="007B3B05" w:rsidRDefault="007B3B05" w14:paraId="1BBB2039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305D300D" w14:textId="77777777">
        <w:tc>
          <w:tcPr>
            <w:tcW w:w="1951" w:type="dxa"/>
            <w:hideMark/>
          </w:tcPr>
          <w:p w:rsidRPr="007B3B05" w:rsidR="007B3B05" w:rsidP="007B3B05" w:rsidRDefault="007B3B05" w14:paraId="64F8E957" w14:textId="77777777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6"/>
              </w:rPr>
              <w:t>Plaats en datum:</w:t>
            </w:r>
          </w:p>
        </w:tc>
        <w:tc>
          <w:tcPr>
            <w:tcW w:w="7697" w:type="dxa"/>
            <w:gridSpan w:val="2"/>
            <w:hideMark/>
          </w:tcPr>
          <w:p w:rsidRPr="007B3B05" w:rsidR="007B3B05" w:rsidP="007B3B05" w:rsidRDefault="007B3B05" w14:paraId="3C1C9A6E" w14:textId="3F9BB2DE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8"/>
              </w:rPr>
              <w:t xml:space="preserve">Den Haag, </w:t>
            </w:r>
            <w:r>
              <w:rPr>
                <w:rFonts w:ascii="Verdana" w:hAnsi="Verdana"/>
                <w:sz w:val="18"/>
              </w:rPr>
              <w:t>19 juni</w:t>
            </w:r>
            <w:r w:rsidRPr="007B3B05">
              <w:rPr>
                <w:rFonts w:ascii="Verdana" w:hAnsi="Verdana"/>
                <w:sz w:val="18"/>
              </w:rPr>
              <w:t xml:space="preserve"> 2025</w:t>
            </w:r>
          </w:p>
        </w:tc>
      </w:tr>
      <w:tr w:rsidRPr="007B3B05" w:rsidR="007B3B05" w:rsidTr="007B3B05" w14:paraId="5C8F7A54" w14:textId="77777777">
        <w:tc>
          <w:tcPr>
            <w:tcW w:w="1951" w:type="dxa"/>
            <w:hideMark/>
          </w:tcPr>
          <w:p w:rsidRPr="007B3B05" w:rsidR="007B3B05" w:rsidP="007B3B05" w:rsidRDefault="007B3B05" w14:paraId="02091E25" w14:textId="77777777">
            <w:pPr>
              <w:rPr>
                <w:rFonts w:ascii="Verdana" w:hAnsi="Verdana"/>
                <w:sz w:val="18"/>
                <w:szCs w:val="18"/>
              </w:rPr>
            </w:pPr>
            <w:r w:rsidRPr="007B3B05">
              <w:rPr>
                <w:rFonts w:ascii="Verdana" w:hAnsi="Verdana"/>
                <w:sz w:val="16"/>
              </w:rPr>
              <w:t>Betreft</w:t>
            </w:r>
            <w:r w:rsidRPr="007B3B05">
              <w:rPr>
                <w:rFonts w:ascii="Verdana" w:hAnsi="Verdana"/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  <w:hideMark/>
          </w:tcPr>
          <w:p w:rsidRPr="007B3B05" w:rsidR="007B3B05" w:rsidP="007B3B05" w:rsidRDefault="007B3B05" w14:paraId="32D6267E" w14:textId="4634E189">
            <w:pPr>
              <w:rPr>
                <w:rFonts w:ascii="Verdana" w:hAnsi="Verdana"/>
                <w:sz w:val="18"/>
                <w:lang w:val="nl-NL"/>
              </w:rPr>
            </w:pPr>
            <w:r w:rsidRPr="007B3B05">
              <w:rPr>
                <w:rFonts w:ascii="Verdana" w:hAnsi="Verdana"/>
                <w:sz w:val="18"/>
                <w:lang w:val="nl-NL"/>
              </w:rPr>
              <w:t>Reactie op het evaluatierapport van de Rijkswet van het lid Taverne tot wijziging van de Rijkswet goedkeuring en bekendmaking verdragen in verband met het informeren van de Staten-Generaal over een ieder verbindende bepalingen van verdragen</w:t>
            </w:r>
          </w:p>
        </w:tc>
      </w:tr>
      <w:tr w:rsidRPr="007B3B05" w:rsidR="007B3B05" w:rsidTr="007B3B05" w14:paraId="2E85A6BD" w14:textId="77777777">
        <w:tc>
          <w:tcPr>
            <w:tcW w:w="1951" w:type="dxa"/>
            <w:hideMark/>
          </w:tcPr>
          <w:p w:rsidRPr="007B3B05" w:rsidR="007B3B05" w:rsidP="007B3B05" w:rsidRDefault="007B3B05" w14:paraId="0754CF19" w14:textId="77777777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6"/>
              </w:rPr>
              <w:t>Ons kenmerk:</w:t>
            </w:r>
          </w:p>
        </w:tc>
        <w:tc>
          <w:tcPr>
            <w:tcW w:w="7697" w:type="dxa"/>
            <w:gridSpan w:val="2"/>
            <w:hideMark/>
          </w:tcPr>
          <w:p w:rsidRPr="007B3B05" w:rsidR="007B3B05" w:rsidP="007B3B05" w:rsidRDefault="007B3B05" w14:paraId="5B9998BE" w14:textId="3DD4128C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8"/>
              </w:rPr>
              <w:t>2025A04067</w:t>
            </w:r>
          </w:p>
        </w:tc>
      </w:tr>
      <w:tr w:rsidRPr="007B3B05" w:rsidR="007B3B05" w:rsidTr="007B3B05" w14:paraId="1E689CB9" w14:textId="77777777">
        <w:tc>
          <w:tcPr>
            <w:tcW w:w="9648" w:type="dxa"/>
            <w:gridSpan w:val="3"/>
          </w:tcPr>
          <w:p w:rsidRPr="007B3B05" w:rsidR="007B3B05" w:rsidP="007B3B05" w:rsidRDefault="007B3B05" w14:paraId="585A61D9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7A128D63" w14:textId="77777777">
        <w:tc>
          <w:tcPr>
            <w:tcW w:w="9648" w:type="dxa"/>
            <w:gridSpan w:val="3"/>
          </w:tcPr>
          <w:p w:rsidRPr="007B3B05" w:rsidR="007B3B05" w:rsidP="007B3B05" w:rsidRDefault="007B3B05" w14:paraId="2E512559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52A9616F" w14:textId="77777777">
        <w:tc>
          <w:tcPr>
            <w:tcW w:w="9648" w:type="dxa"/>
            <w:gridSpan w:val="3"/>
            <w:hideMark/>
          </w:tcPr>
          <w:p w:rsidRPr="007B3B05" w:rsidR="007B3B05" w:rsidP="007B3B05" w:rsidRDefault="007B3B05" w14:paraId="34C708CD" w14:textId="77777777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8"/>
              </w:rPr>
              <w:t>Geachte heer Veldkamp,</w:t>
            </w:r>
          </w:p>
        </w:tc>
      </w:tr>
      <w:tr w:rsidRPr="007B3B05" w:rsidR="007B3B05" w:rsidTr="007B3B05" w14:paraId="2A9151FD" w14:textId="77777777">
        <w:tc>
          <w:tcPr>
            <w:tcW w:w="9648" w:type="dxa"/>
            <w:gridSpan w:val="3"/>
          </w:tcPr>
          <w:p w:rsidRPr="007B3B05" w:rsidR="007B3B05" w:rsidP="007B3B05" w:rsidRDefault="007B3B05" w14:paraId="470BCBAC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7C5629A7" w14:textId="77777777">
        <w:tc>
          <w:tcPr>
            <w:tcW w:w="9648" w:type="dxa"/>
            <w:gridSpan w:val="3"/>
          </w:tcPr>
          <w:p w:rsidR="007B3B05" w:rsidP="007B3B05" w:rsidRDefault="007B3B05" w14:paraId="06934C41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Pr="007B3B05" w:rsidR="007B3B05" w:rsidP="007B3B05" w:rsidRDefault="007B3B05" w14:paraId="0E41A380" w14:textId="2820990A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 xml:space="preserve">Bijgevoegd vindt u de </w:t>
            </w:r>
            <w:r w:rsidR="00B85BA2">
              <w:rPr>
                <w:rFonts w:ascii="Verdana" w:hAnsi="Verdana"/>
                <w:sz w:val="18"/>
                <w:szCs w:val="18"/>
                <w:lang w:val="nl-NL"/>
              </w:rPr>
              <w:t xml:space="preserve">inbreng </w:t>
            </w: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 xml:space="preserve">van de Kamer </w:t>
            </w:r>
            <w:r w:rsidR="00B85BA2">
              <w:rPr>
                <w:rFonts w:ascii="Verdana" w:hAnsi="Verdana"/>
                <w:sz w:val="18"/>
                <w:szCs w:val="18"/>
                <w:lang w:val="nl-NL"/>
              </w:rPr>
              <w:t xml:space="preserve">bij het schriftelijk overleg </w:t>
            </w: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 xml:space="preserve">over de 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>r</w:t>
            </w: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>eactie op het evaluatierapport van de Rijkswet van het lid Taverne tot wijziging van de Rijkswet goedkeuring en bekendmaking verdragen in verband met het informeren van de Staten-Generaal over een ieder verbindende bepalingen van verdragen</w:t>
            </w:r>
            <w:r w:rsidR="00127412">
              <w:rPr>
                <w:rFonts w:ascii="Verdana" w:hAnsi="Verdana"/>
                <w:sz w:val="18"/>
                <w:szCs w:val="18"/>
                <w:lang w:val="nl-NL"/>
              </w:rPr>
              <w:t>.</w:t>
            </w:r>
          </w:p>
          <w:p w:rsidRPr="007B3B05" w:rsidR="007B3B05" w:rsidP="007B3B05" w:rsidRDefault="007B3B05" w14:paraId="072A2BDD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Pr="007B3B05" w:rsidR="007B3B05" w:rsidP="007B3B05" w:rsidRDefault="007B3B05" w14:paraId="77E15FE6" w14:textId="7DED63A8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 xml:space="preserve">De commissie ontvangt de beantwoording graag uiterlijk </w:t>
            </w:r>
            <w:r w:rsidR="00B85BA2">
              <w:rPr>
                <w:rFonts w:ascii="Verdana" w:hAnsi="Verdana"/>
                <w:sz w:val="18"/>
                <w:szCs w:val="18"/>
                <w:lang w:val="nl-NL"/>
              </w:rPr>
              <w:t>2 juli</w:t>
            </w: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 xml:space="preserve"> 2025.  </w:t>
            </w:r>
          </w:p>
          <w:p w:rsidRPr="007B3B05" w:rsidR="007B3B05" w:rsidP="007B3B05" w:rsidRDefault="007B3B05" w14:paraId="1C28F79D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Pr="007B3B05" w:rsidR="007B3B05" w:rsidP="007B3B05" w:rsidRDefault="007B3B05" w14:paraId="6AAFFBA7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</w:tbl>
    <w:p w:rsidRPr="007B3B05" w:rsidR="007B3B05" w:rsidP="007B3B05" w:rsidRDefault="007B3B05" w14:paraId="1088F2C4" w14:textId="77777777">
      <w:pPr>
        <w:spacing w:after="0" w:line="240" w:lineRule="auto"/>
        <w:rPr>
          <w:rFonts w:ascii="Verdana" w:hAnsi="Verdana" w:eastAsia="Times New Roman" w:cs="Times New Roman"/>
          <w:kern w:val="0"/>
          <w:sz w:val="18"/>
          <w14:ligatures w14:val="none"/>
        </w:rPr>
      </w:pPr>
    </w:p>
    <w:tbl>
      <w:tblPr>
        <w:tblStyle w:val="Tabelraster"/>
        <w:tblW w:w="9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7B3B05" w:rsidR="007B3B05" w:rsidTr="007B3B05" w14:paraId="32AB1A9C" w14:textId="77777777">
        <w:tc>
          <w:tcPr>
            <w:tcW w:w="9648" w:type="dxa"/>
          </w:tcPr>
          <w:p w:rsidRPr="007B3B05" w:rsidR="007B3B05" w:rsidP="007B3B05" w:rsidRDefault="007B3B05" w14:paraId="70D60FDC" w14:textId="77777777">
            <w:pPr>
              <w:rPr>
                <w:rFonts w:ascii="Verdana" w:hAnsi="Verdana"/>
                <w:sz w:val="18"/>
                <w:lang w:val="nl-NL"/>
              </w:rPr>
            </w:pPr>
            <w:r w:rsidRPr="007B3B05">
              <w:rPr>
                <w:rFonts w:ascii="Verdana" w:hAnsi="Verdana"/>
                <w:sz w:val="18"/>
                <w:lang w:val="nl-NL"/>
              </w:rPr>
              <w:t>Hoogachtend,</w:t>
            </w:r>
          </w:p>
          <w:p w:rsidRPr="007B3B05" w:rsidR="007B3B05" w:rsidP="007B3B05" w:rsidRDefault="007B3B05" w14:paraId="5F2B4FC6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1BA04BA7" w14:textId="77777777">
            <w:pPr>
              <w:rPr>
                <w:rFonts w:ascii="Verdana" w:hAnsi="Verdana"/>
                <w:sz w:val="18"/>
                <w:lang w:val="nl-NL"/>
              </w:rPr>
            </w:pPr>
            <w:r w:rsidRPr="007B3B05">
              <w:rPr>
                <w:rFonts w:ascii="Verdana" w:hAnsi="Verdana"/>
                <w:sz w:val="18"/>
                <w:lang w:val="nl-NL"/>
              </w:rPr>
              <w:t>de griffier van de vaste commissie voor Buitenlandse Zaken,</w:t>
            </w:r>
          </w:p>
          <w:p w:rsidRPr="007B3B05" w:rsidR="007B3B05" w:rsidP="007B3B05" w:rsidRDefault="007B3B05" w14:paraId="6F830EA5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11D5CD00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5226329E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1E70CB64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683775B2" w14:textId="77777777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8"/>
              </w:rPr>
              <w:t>A.W. Westerhoff</w:t>
            </w:r>
          </w:p>
        </w:tc>
      </w:tr>
    </w:tbl>
    <w:p w:rsidR="00D46F62" w:rsidRDefault="00D46F62" w14:paraId="45F9F270" w14:textId="77777777"/>
    <w:sectPr w:rsidR="00D46F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05"/>
    <w:rsid w:val="00105E68"/>
    <w:rsid w:val="00127412"/>
    <w:rsid w:val="007933D3"/>
    <w:rsid w:val="007B3B05"/>
    <w:rsid w:val="00815939"/>
    <w:rsid w:val="008C3BEE"/>
    <w:rsid w:val="00954E40"/>
    <w:rsid w:val="00B85BA2"/>
    <w:rsid w:val="00CE24CA"/>
    <w:rsid w:val="00D46F62"/>
    <w:rsid w:val="00F2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CB7E"/>
  <w15:chartTrackingRefBased/>
  <w15:docId w15:val="{CB4C0496-3DCD-4F7E-8EB3-C0B2D5A0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3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3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3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3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3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3B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3B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3B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3B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3B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3B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3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3B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3B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3B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3B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3B0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B3B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787</ap:Characters>
  <ap:DocSecurity>0</ap:DocSecurity>
  <ap:Lines>6</ap:Lines>
  <ap:Paragraphs>1</ap:Paragraphs>
  <ap:ScaleCrop>false</ap:ScaleCrop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2025-06-19T07:45:00.0000000Z</dcterms:created>
  <dcterms:modified xsi:type="dcterms:W3CDTF">2025-06-19T12:30:00.0000000Z</dcterms:modified>
  <version/>
  <category/>
</coreProperties>
</file>