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7614E" w:rsidR="005B3440" w:rsidP="0037614E" w:rsidRDefault="005B3440" w14:paraId="486A918E" w14:textId="77777777">
      <w:pPr>
        <w:spacing w:line="276" w:lineRule="auto"/>
        <w:rPr>
          <w:rFonts w:ascii="Verdana" w:hAnsi="Verdana"/>
          <w:sz w:val="18"/>
          <w:szCs w:val="18"/>
        </w:rPr>
      </w:pPr>
      <w:r w:rsidRPr="0037614E">
        <w:rPr>
          <w:rFonts w:ascii="Verdana" w:hAnsi="Verdana"/>
          <w:b/>
          <w:bCs/>
          <w:sz w:val="18"/>
          <w:szCs w:val="18"/>
        </w:rPr>
        <w:t>Geannoteerde Agenda NAVO-top 24 en 25 juni 2025</w:t>
      </w:r>
    </w:p>
    <w:p w:rsidRPr="0037614E" w:rsidR="002C08AF" w:rsidP="0037614E" w:rsidRDefault="002C08AF" w14:paraId="5F3B3F52" w14:textId="77777777">
      <w:pPr>
        <w:tabs>
          <w:tab w:val="left" w:pos="4486"/>
          <w:tab w:val="left" w:pos="5076"/>
        </w:tabs>
        <w:spacing w:line="276" w:lineRule="auto"/>
        <w:rPr>
          <w:rFonts w:ascii="Verdana" w:hAnsi="Verdana"/>
          <w:sz w:val="18"/>
          <w:szCs w:val="18"/>
        </w:rPr>
      </w:pPr>
      <w:r w:rsidRPr="0037614E">
        <w:rPr>
          <w:rFonts w:ascii="Verdana" w:hAnsi="Verdana"/>
          <w:sz w:val="18"/>
          <w:szCs w:val="18"/>
        </w:rPr>
        <w:t xml:space="preserve">Op dinsdag 24 juni en woensdag 25 juni 2025 is Nederland gastland van een unieke, historische  bijeenkomst. Voor het eerst in zesenzeventig jaar komen NAVO-staatshoofden en regeringsleiders in Den Haag bijeen voor de grootste internationale bijeenkomst die ooit in Nederland is georganiseerd. </w:t>
      </w:r>
    </w:p>
    <w:p w:rsidRPr="0037614E" w:rsidR="002C08AF" w:rsidP="0037614E" w:rsidRDefault="002C08AF" w14:paraId="7EF91BE7" w14:textId="77777777">
      <w:pPr>
        <w:tabs>
          <w:tab w:val="left" w:pos="4486"/>
          <w:tab w:val="left" w:pos="5076"/>
        </w:tabs>
        <w:spacing w:line="276" w:lineRule="auto"/>
        <w:rPr>
          <w:rFonts w:ascii="Verdana" w:hAnsi="Verdana"/>
          <w:sz w:val="18"/>
          <w:szCs w:val="18"/>
        </w:rPr>
      </w:pPr>
      <w:r w:rsidRPr="0037614E">
        <w:rPr>
          <w:rFonts w:ascii="Verdana" w:hAnsi="Verdana"/>
          <w:sz w:val="18"/>
          <w:szCs w:val="18"/>
        </w:rPr>
        <w:t xml:space="preserve">Tijdens de NAVO-top zullen de bondgenoten met elkaar spreken over de trans-Atlantische veiligheidssamenwerking en over de grote geopolitieke veiligheidsuitdagingen waarmee we te maken hebben. </w:t>
      </w:r>
    </w:p>
    <w:p w:rsidRPr="0037614E" w:rsidR="002C08AF" w:rsidP="0037614E" w:rsidRDefault="002C08AF" w14:paraId="35B07B6F" w14:textId="77777777">
      <w:pPr>
        <w:tabs>
          <w:tab w:val="left" w:pos="4486"/>
          <w:tab w:val="left" w:pos="5076"/>
        </w:tabs>
        <w:spacing w:line="276" w:lineRule="auto"/>
        <w:rPr>
          <w:rFonts w:ascii="Verdana" w:hAnsi="Verdana"/>
          <w:sz w:val="18"/>
          <w:szCs w:val="18"/>
        </w:rPr>
      </w:pPr>
      <w:r w:rsidRPr="0037614E">
        <w:rPr>
          <w:rFonts w:ascii="Verdana" w:hAnsi="Verdana"/>
          <w:sz w:val="18"/>
          <w:szCs w:val="18"/>
        </w:rPr>
        <w:t xml:space="preserve">Nederland heeft als gastland een bijzondere rol tijdens deze NAVO-top. Het gastheerschap als medeoprichter van de NAVO biedt een uitgelezen kans om nationaal en internationaal te onderstrepen dat vrede en veiligheid geen gegeven is, en het behoud hiervan onze constante aandacht en inzet vereist. Juist in deze tijd van grote geopolitieke uitdagingen is deze boodschap en de bijdrage die Nederland hieraan levert belangrijker dan ooit. Het demissionaire kabinet is vereerd deze historische top te organiseren, en ziet ernaar uit de NAVO-staatshoofden en regeringsleiders, ministers van Buitenlandse zaken, ministers van Defensie, en leiders van verschillende NAVO-partners in Den Haag te mogen verwelkomen. </w:t>
      </w:r>
    </w:p>
    <w:p w:rsidRPr="0037614E" w:rsidR="002C08AF" w:rsidP="0037614E" w:rsidRDefault="002C08AF" w14:paraId="4E7C1762" w14:textId="136BFF10">
      <w:pPr>
        <w:tabs>
          <w:tab w:val="left" w:pos="4486"/>
          <w:tab w:val="left" w:pos="5076"/>
        </w:tabs>
        <w:spacing w:line="276" w:lineRule="auto"/>
        <w:rPr>
          <w:rFonts w:ascii="Verdana" w:hAnsi="Verdana"/>
          <w:sz w:val="18"/>
          <w:szCs w:val="18"/>
        </w:rPr>
      </w:pPr>
      <w:r w:rsidRPr="0037614E">
        <w:rPr>
          <w:rFonts w:ascii="Verdana" w:hAnsi="Verdana"/>
          <w:sz w:val="18"/>
          <w:szCs w:val="18"/>
        </w:rPr>
        <w:t>Met deze brief informeren wij uw Kamer over de verschillende programmaonderdelen en de onderwerpen (afschrikking en verdediging, defensie-uitgaven</w:t>
      </w:r>
      <w:r w:rsidRPr="0037614E" w:rsidR="00691204">
        <w:rPr>
          <w:rFonts w:ascii="Verdana" w:hAnsi="Verdana"/>
          <w:sz w:val="18"/>
          <w:szCs w:val="18"/>
        </w:rPr>
        <w:t>, defensie-industrie, Oekraïne</w:t>
      </w:r>
      <w:r w:rsidRPr="0037614E">
        <w:rPr>
          <w:rFonts w:ascii="Verdana" w:hAnsi="Verdana"/>
          <w:sz w:val="18"/>
          <w:szCs w:val="18"/>
        </w:rPr>
        <w:t xml:space="preserve"> en mondiale uitdagingen) die centraal zullen staan tijdens de top. Hierbij wordt de rol van Nederland als gastland en de inzet van het kabinet op de inhoud van de top toegelicht. </w:t>
      </w:r>
    </w:p>
    <w:p w:rsidRPr="0037614E" w:rsidR="002C08AF" w:rsidP="0037614E" w:rsidRDefault="002C08AF" w14:paraId="0999DE13" w14:textId="67416013">
      <w:pPr>
        <w:tabs>
          <w:tab w:val="left" w:pos="4486"/>
          <w:tab w:val="left" w:pos="5076"/>
        </w:tabs>
        <w:spacing w:line="276" w:lineRule="auto"/>
        <w:rPr>
          <w:rFonts w:ascii="Verdana" w:hAnsi="Verdana"/>
          <w:sz w:val="18"/>
          <w:szCs w:val="18"/>
        </w:rPr>
      </w:pPr>
      <w:r w:rsidRPr="0037614E">
        <w:rPr>
          <w:rFonts w:ascii="Verdana" w:hAnsi="Verdana"/>
          <w:sz w:val="18"/>
          <w:szCs w:val="18"/>
        </w:rPr>
        <w:t>Op woensdag 25 juni a</w:t>
      </w:r>
      <w:r w:rsidRPr="0037614E" w:rsidR="001E04DC">
        <w:rPr>
          <w:rFonts w:ascii="Verdana" w:hAnsi="Verdana"/>
          <w:sz w:val="18"/>
          <w:szCs w:val="18"/>
        </w:rPr>
        <w:t>.</w:t>
      </w:r>
      <w:r w:rsidRPr="0037614E">
        <w:rPr>
          <w:rFonts w:ascii="Verdana" w:hAnsi="Verdana"/>
          <w:sz w:val="18"/>
          <w:szCs w:val="18"/>
        </w:rPr>
        <w:t>s. komen de staatshoofden en regeringsleiders van de 32 bondgenoten bij elkaar in de vergadering van de Noord-Atlantische Raad (NAR). Tijdens deze bijeenkomst spreken de bondgenoten over de meest significante doelstelling van de NAVO-top: de noodzaak voor verhoging van defensie-uitgaven. Verder zullen de bondgenoten spreken over de belangrijkste dreigingen voor het NAVO-grondgebied, de versterking van verdediging en afschrikking</w:t>
      </w:r>
      <w:r w:rsidRPr="0037614E" w:rsidR="00AC688A">
        <w:rPr>
          <w:rFonts w:ascii="Verdana" w:hAnsi="Verdana"/>
          <w:sz w:val="18"/>
          <w:szCs w:val="18"/>
        </w:rPr>
        <w:t xml:space="preserve"> en </w:t>
      </w:r>
      <w:r w:rsidRPr="0037614E">
        <w:rPr>
          <w:rFonts w:ascii="Verdana" w:hAnsi="Verdana"/>
          <w:sz w:val="18"/>
          <w:szCs w:val="18"/>
        </w:rPr>
        <w:t xml:space="preserve">de steun aan Oekraïne. </w:t>
      </w:r>
    </w:p>
    <w:p w:rsidRPr="0037614E" w:rsidR="002C08AF" w:rsidP="0037614E" w:rsidRDefault="002C08AF" w14:paraId="6EE93FB6" w14:textId="77777777">
      <w:pPr>
        <w:tabs>
          <w:tab w:val="left" w:pos="4486"/>
          <w:tab w:val="left" w:pos="5076"/>
        </w:tabs>
        <w:spacing w:line="276" w:lineRule="auto"/>
        <w:rPr>
          <w:rFonts w:ascii="Verdana" w:hAnsi="Verdana"/>
          <w:b/>
          <w:sz w:val="18"/>
          <w:szCs w:val="18"/>
        </w:rPr>
      </w:pPr>
      <w:r w:rsidRPr="0037614E">
        <w:rPr>
          <w:rFonts w:ascii="Verdana" w:hAnsi="Verdana"/>
          <w:b/>
          <w:sz w:val="18"/>
          <w:szCs w:val="18"/>
        </w:rPr>
        <w:t>Afschrikking en verdediging, defensie-uitgaven en defensie-industrie</w:t>
      </w:r>
    </w:p>
    <w:p w:rsidRPr="0037614E" w:rsidR="002C08AF" w:rsidP="0037614E" w:rsidRDefault="002C08AF" w14:paraId="053E2DE5" w14:textId="00F10B89">
      <w:pPr>
        <w:tabs>
          <w:tab w:val="left" w:pos="4486"/>
          <w:tab w:val="left" w:pos="5076"/>
        </w:tabs>
        <w:spacing w:line="276" w:lineRule="auto"/>
        <w:rPr>
          <w:rFonts w:ascii="Verdana" w:hAnsi="Verdana"/>
          <w:sz w:val="18"/>
          <w:szCs w:val="18"/>
        </w:rPr>
      </w:pPr>
      <w:r w:rsidRPr="0037614E">
        <w:rPr>
          <w:rFonts w:ascii="Verdana" w:hAnsi="Verdana"/>
          <w:sz w:val="18"/>
          <w:szCs w:val="18"/>
        </w:rPr>
        <w:t>De NAVO ziet zich genoodzaakt haar bondgenootschappelijke verdediging en afschrikking aanzienlijk te versterken vanwege de serieuze dreigingen waar het bondgenootschap mee te maken heeft. De voortdurende Russische agressieoorlog tegen Oekraïne en de Russische dreiging richting het NAVO-verdragsgebied laten zien dat vrede mondiaal en op het Europees continent geen vanzelfsprekendheid is. De 32 staatshoofden en regeringsleiders zullen in dit kader de nieuwe NAVO-capaciteitsdoelstellingen bekrachtigen. Deze nieuwe capaciteitsdoelstellingen zijn aangenomen om het hoofd te kunnen bieden aan de sterk toegenomen en veranderende dreigingen. Ze zijn erop gericht om de bondgenootschappelijke afschrikking te versterken</w:t>
      </w:r>
      <w:r w:rsidRPr="0037614E" w:rsidR="00691204">
        <w:rPr>
          <w:rFonts w:ascii="Verdana" w:hAnsi="Verdana"/>
          <w:sz w:val="18"/>
          <w:szCs w:val="18"/>
        </w:rPr>
        <w:t>,</w:t>
      </w:r>
      <w:r w:rsidRPr="0037614E">
        <w:rPr>
          <w:rFonts w:ascii="Verdana" w:hAnsi="Verdana"/>
          <w:sz w:val="18"/>
          <w:szCs w:val="18"/>
        </w:rPr>
        <w:t xml:space="preserve"> bij een eventueel conflict sneller te kunnen reageren en om het voortzettingsvermogen van het bondgenootschap te verzekeren. Dit vraagt om significant meer inzet van de bondgenoten. Voor Nederland betekent volledige invulling van de NAVO-capaciteitsdoelstellingen, zoals aangegeven in de brief </w:t>
      </w:r>
      <w:r w:rsidRPr="0037614E">
        <w:rPr>
          <w:rFonts w:ascii="Verdana" w:hAnsi="Verdana"/>
          <w:i/>
          <w:sz w:val="18"/>
          <w:szCs w:val="18"/>
        </w:rPr>
        <w:t>Financiële en Personele Doorrekening van de NAVO-capaciteitsdoelstellingen 2025</w:t>
      </w:r>
      <w:r w:rsidRPr="0037614E">
        <w:rPr>
          <w:rFonts w:ascii="Verdana" w:hAnsi="Verdana"/>
          <w:sz w:val="18"/>
          <w:szCs w:val="18"/>
        </w:rPr>
        <w:t xml:space="preserve"> van 20 mei van minister Brekelmans, dat Nederland 3,5% van zijn bbp aan defensie </w:t>
      </w:r>
      <w:r w:rsidRPr="0037614E" w:rsidR="00691204">
        <w:rPr>
          <w:rFonts w:ascii="Verdana" w:hAnsi="Verdana"/>
          <w:sz w:val="18"/>
          <w:szCs w:val="18"/>
        </w:rPr>
        <w:t xml:space="preserve">uit </w:t>
      </w:r>
      <w:r w:rsidRPr="0037614E">
        <w:rPr>
          <w:rFonts w:ascii="Verdana" w:hAnsi="Verdana"/>
          <w:sz w:val="18"/>
          <w:szCs w:val="18"/>
        </w:rPr>
        <w:t>zou moeten geven.</w:t>
      </w:r>
      <w:r w:rsidRPr="0037614E">
        <w:rPr>
          <w:rFonts w:ascii="Verdana" w:hAnsi="Verdana"/>
          <w:sz w:val="18"/>
          <w:szCs w:val="18"/>
          <w:vertAlign w:val="superscript"/>
        </w:rPr>
        <w:footnoteReference w:id="2"/>
      </w:r>
      <w:r w:rsidRPr="0037614E">
        <w:rPr>
          <w:rFonts w:ascii="Verdana" w:hAnsi="Verdana"/>
          <w:sz w:val="18"/>
          <w:szCs w:val="18"/>
        </w:rPr>
        <w:t xml:space="preserve"> Bondgenoten hebben al belangrijke stappen gezet op gebied van verhoging van defensie-uitgaven, maar om de NAVO-capaciteitsdoelstellingen te kunnen uitvoeren is significant meer nodig. De bondgenoten zullen tijdens de NAVO-top in Den Haag spreken over deze noodzakelijke capaciteiten en de daarvoor benodigde financiële middelen. In dit kader zal ook worden gesproken over </w:t>
      </w:r>
      <w:proofErr w:type="spellStart"/>
      <w:r w:rsidRPr="0037614E">
        <w:rPr>
          <w:rFonts w:ascii="Verdana" w:hAnsi="Verdana"/>
          <w:i/>
          <w:sz w:val="18"/>
          <w:szCs w:val="18"/>
        </w:rPr>
        <w:t>burden</w:t>
      </w:r>
      <w:proofErr w:type="spellEnd"/>
      <w:r w:rsidRPr="0037614E">
        <w:rPr>
          <w:rFonts w:ascii="Verdana" w:hAnsi="Verdana"/>
          <w:i/>
          <w:sz w:val="18"/>
          <w:szCs w:val="18"/>
        </w:rPr>
        <w:t xml:space="preserve"> </w:t>
      </w:r>
      <w:proofErr w:type="spellStart"/>
      <w:r w:rsidRPr="0037614E">
        <w:rPr>
          <w:rFonts w:ascii="Verdana" w:hAnsi="Verdana"/>
          <w:i/>
          <w:sz w:val="18"/>
          <w:szCs w:val="18"/>
        </w:rPr>
        <w:t>sharing</w:t>
      </w:r>
      <w:proofErr w:type="spellEnd"/>
      <w:r w:rsidRPr="0037614E">
        <w:rPr>
          <w:rFonts w:ascii="Verdana" w:hAnsi="Verdana"/>
          <w:sz w:val="18"/>
          <w:szCs w:val="18"/>
        </w:rPr>
        <w:t xml:space="preserve"> onder de bondgenoten. Het is van groot belang dat Europese bondgenoten een grotere verantwoordelijkheid nemen voor de Euro-Atlantische veiligheid. Deze boodschap zal het kabinet ook tijdens de NAVO-top uitdragen, samen met de eerder aangegeven inzet rondom een nieuwe </w:t>
      </w:r>
      <w:proofErr w:type="spellStart"/>
      <w:r w:rsidRPr="0037614E">
        <w:rPr>
          <w:rFonts w:ascii="Verdana" w:hAnsi="Verdana"/>
          <w:i/>
          <w:sz w:val="18"/>
          <w:szCs w:val="18"/>
        </w:rPr>
        <w:t>Defence</w:t>
      </w:r>
      <w:proofErr w:type="spellEnd"/>
      <w:r w:rsidRPr="0037614E">
        <w:rPr>
          <w:rFonts w:ascii="Verdana" w:hAnsi="Verdana"/>
          <w:i/>
          <w:sz w:val="18"/>
          <w:szCs w:val="18"/>
        </w:rPr>
        <w:t xml:space="preserve"> Investment </w:t>
      </w:r>
      <w:proofErr w:type="spellStart"/>
      <w:r w:rsidRPr="0037614E">
        <w:rPr>
          <w:rFonts w:ascii="Verdana" w:hAnsi="Verdana"/>
          <w:i/>
          <w:sz w:val="18"/>
          <w:szCs w:val="18"/>
        </w:rPr>
        <w:t>Pledge</w:t>
      </w:r>
      <w:proofErr w:type="spellEnd"/>
      <w:r w:rsidRPr="0037614E">
        <w:rPr>
          <w:rFonts w:ascii="Verdana" w:hAnsi="Verdana"/>
          <w:i/>
          <w:sz w:val="18"/>
          <w:szCs w:val="18"/>
        </w:rPr>
        <w:t>.</w:t>
      </w:r>
    </w:p>
    <w:p w:rsidRPr="0037614E" w:rsidR="002C08AF" w:rsidP="0037614E" w:rsidRDefault="002C08AF" w14:paraId="3D735893" w14:textId="77777777">
      <w:pPr>
        <w:tabs>
          <w:tab w:val="left" w:pos="4486"/>
          <w:tab w:val="left" w:pos="5076"/>
        </w:tabs>
        <w:spacing w:line="276" w:lineRule="auto"/>
        <w:rPr>
          <w:rFonts w:ascii="Verdana" w:hAnsi="Verdana"/>
          <w:sz w:val="18"/>
          <w:szCs w:val="18"/>
        </w:rPr>
      </w:pPr>
      <w:r w:rsidRPr="0037614E">
        <w:rPr>
          <w:rFonts w:ascii="Verdana" w:hAnsi="Verdana"/>
          <w:sz w:val="18"/>
          <w:szCs w:val="18"/>
        </w:rPr>
        <w:lastRenderedPageBreak/>
        <w:t xml:space="preserve">Om de capaciteitsdoelstellingen in te vullen is naast voldoende financiering tevens een grote inspanning nodig op gebied van de defensie-industrie en opschaling van de gezamenlijke productiecapaciteit. De bondgenoten zullen hier tijdens de NAR ook over spreken. </w:t>
      </w:r>
    </w:p>
    <w:p w:rsidRPr="0037614E" w:rsidR="002C08AF" w:rsidP="0037614E" w:rsidRDefault="002C08AF" w14:paraId="30713692" w14:textId="1C010855">
      <w:pPr>
        <w:spacing w:line="276" w:lineRule="auto"/>
        <w:rPr>
          <w:rFonts w:ascii="Verdana" w:hAnsi="Verdana"/>
          <w:sz w:val="18"/>
          <w:szCs w:val="18"/>
        </w:rPr>
      </w:pPr>
      <w:r w:rsidRPr="0037614E">
        <w:rPr>
          <w:rFonts w:ascii="Verdana" w:hAnsi="Verdana"/>
          <w:sz w:val="18"/>
          <w:szCs w:val="18"/>
        </w:rPr>
        <w:t xml:space="preserve">Bondgenoten rapporteren voor de top voor de eerste keer aan </w:t>
      </w:r>
      <w:r w:rsidRPr="0037614E" w:rsidR="00691204">
        <w:rPr>
          <w:rFonts w:ascii="Verdana" w:hAnsi="Verdana"/>
          <w:sz w:val="18"/>
          <w:szCs w:val="18"/>
        </w:rPr>
        <w:t xml:space="preserve">de </w:t>
      </w:r>
      <w:r w:rsidRPr="0037614E">
        <w:rPr>
          <w:rFonts w:ascii="Verdana" w:hAnsi="Verdana"/>
          <w:sz w:val="18"/>
          <w:szCs w:val="18"/>
        </w:rPr>
        <w:t>NAVO over hun nationale plannen en voortgang op het gebied van investeringen in en uitbreiding van de nationale defensie-industrie. Dit is een onderdeel van de tijdens de NAVO-top in Washington aangenomen</w:t>
      </w:r>
      <w:r w:rsidRPr="0037614E">
        <w:rPr>
          <w:rFonts w:ascii="Verdana" w:hAnsi="Verdana"/>
          <w:i/>
          <w:iCs/>
          <w:sz w:val="18"/>
          <w:szCs w:val="18"/>
        </w:rPr>
        <w:t xml:space="preserve"> NATO Industrial </w:t>
      </w:r>
      <w:proofErr w:type="spellStart"/>
      <w:r w:rsidRPr="0037614E">
        <w:rPr>
          <w:rFonts w:ascii="Verdana" w:hAnsi="Verdana"/>
          <w:i/>
          <w:iCs/>
          <w:sz w:val="18"/>
          <w:szCs w:val="18"/>
        </w:rPr>
        <w:t>Capacity</w:t>
      </w:r>
      <w:proofErr w:type="spellEnd"/>
      <w:r w:rsidRPr="0037614E">
        <w:rPr>
          <w:rFonts w:ascii="Verdana" w:hAnsi="Verdana"/>
          <w:i/>
          <w:iCs/>
          <w:sz w:val="18"/>
          <w:szCs w:val="18"/>
        </w:rPr>
        <w:t xml:space="preserve"> Expansion</w:t>
      </w:r>
      <w:r w:rsidRPr="0037614E">
        <w:rPr>
          <w:rFonts w:ascii="Verdana" w:hAnsi="Verdana"/>
          <w:sz w:val="18"/>
          <w:szCs w:val="18"/>
        </w:rPr>
        <w:t xml:space="preserve"> (NICE) </w:t>
      </w:r>
      <w:proofErr w:type="spellStart"/>
      <w:r w:rsidRPr="0037614E">
        <w:rPr>
          <w:rFonts w:ascii="Verdana" w:hAnsi="Verdana"/>
          <w:i/>
          <w:iCs/>
          <w:sz w:val="18"/>
          <w:szCs w:val="18"/>
        </w:rPr>
        <w:t>Pledge</w:t>
      </w:r>
      <w:proofErr w:type="spellEnd"/>
      <w:r w:rsidRPr="0037614E">
        <w:rPr>
          <w:rFonts w:ascii="Verdana" w:hAnsi="Verdana"/>
          <w:sz w:val="18"/>
          <w:szCs w:val="18"/>
        </w:rPr>
        <w:t xml:space="preserve"> en het in februari 2025 herziene </w:t>
      </w:r>
      <w:proofErr w:type="spellStart"/>
      <w:r w:rsidRPr="0037614E">
        <w:rPr>
          <w:rFonts w:ascii="Verdana" w:hAnsi="Verdana"/>
          <w:i/>
          <w:iCs/>
          <w:sz w:val="18"/>
          <w:szCs w:val="18"/>
        </w:rPr>
        <w:t>Defence</w:t>
      </w:r>
      <w:proofErr w:type="spellEnd"/>
      <w:r w:rsidRPr="0037614E">
        <w:rPr>
          <w:rFonts w:ascii="Verdana" w:hAnsi="Verdana"/>
          <w:i/>
          <w:iCs/>
          <w:sz w:val="18"/>
          <w:szCs w:val="18"/>
        </w:rPr>
        <w:t xml:space="preserve"> </w:t>
      </w:r>
      <w:proofErr w:type="spellStart"/>
      <w:r w:rsidRPr="0037614E">
        <w:rPr>
          <w:rFonts w:ascii="Verdana" w:hAnsi="Verdana"/>
          <w:i/>
          <w:iCs/>
          <w:sz w:val="18"/>
          <w:szCs w:val="18"/>
        </w:rPr>
        <w:t>Production</w:t>
      </w:r>
      <w:proofErr w:type="spellEnd"/>
      <w:r w:rsidRPr="0037614E">
        <w:rPr>
          <w:rFonts w:ascii="Verdana" w:hAnsi="Verdana"/>
          <w:i/>
          <w:iCs/>
          <w:sz w:val="18"/>
          <w:szCs w:val="18"/>
        </w:rPr>
        <w:t xml:space="preserve"> Action Plan</w:t>
      </w:r>
      <w:r w:rsidRPr="0037614E">
        <w:rPr>
          <w:rFonts w:ascii="Verdana" w:hAnsi="Verdana"/>
          <w:sz w:val="18"/>
          <w:szCs w:val="18"/>
        </w:rPr>
        <w:t xml:space="preserve">. De NAVO zal de aangeleverde data samenvoegen in een rapport. Het doel hiervan is de uitwisseling van </w:t>
      </w:r>
      <w:r w:rsidRPr="0037614E">
        <w:rPr>
          <w:rFonts w:ascii="Verdana" w:hAnsi="Verdana"/>
          <w:i/>
          <w:iCs/>
          <w:sz w:val="18"/>
          <w:szCs w:val="18"/>
        </w:rPr>
        <w:t xml:space="preserve">best </w:t>
      </w:r>
      <w:proofErr w:type="spellStart"/>
      <w:r w:rsidRPr="0037614E">
        <w:rPr>
          <w:rFonts w:ascii="Verdana" w:hAnsi="Verdana"/>
          <w:i/>
          <w:iCs/>
          <w:sz w:val="18"/>
          <w:szCs w:val="18"/>
        </w:rPr>
        <w:t>practices</w:t>
      </w:r>
      <w:proofErr w:type="spellEnd"/>
      <w:r w:rsidRPr="0037614E">
        <w:rPr>
          <w:rFonts w:ascii="Verdana" w:hAnsi="Verdana"/>
          <w:i/>
          <w:iCs/>
          <w:sz w:val="18"/>
          <w:szCs w:val="18"/>
        </w:rPr>
        <w:t xml:space="preserve"> </w:t>
      </w:r>
      <w:r w:rsidRPr="0037614E">
        <w:rPr>
          <w:rFonts w:ascii="Verdana" w:hAnsi="Verdana"/>
          <w:sz w:val="18"/>
          <w:szCs w:val="18"/>
        </w:rPr>
        <w:t xml:space="preserve">voor de inkoop en </w:t>
      </w:r>
      <w:proofErr w:type="spellStart"/>
      <w:r w:rsidRPr="0037614E">
        <w:rPr>
          <w:rFonts w:ascii="Verdana" w:hAnsi="Verdana"/>
          <w:sz w:val="18"/>
          <w:szCs w:val="18"/>
        </w:rPr>
        <w:t>contractering</w:t>
      </w:r>
      <w:proofErr w:type="spellEnd"/>
      <w:r w:rsidRPr="0037614E">
        <w:rPr>
          <w:rFonts w:ascii="Verdana" w:hAnsi="Verdana"/>
          <w:sz w:val="18"/>
          <w:szCs w:val="18"/>
        </w:rPr>
        <w:t xml:space="preserve"> </w:t>
      </w:r>
      <w:r w:rsidRPr="0037614E" w:rsidR="00691204">
        <w:rPr>
          <w:rFonts w:ascii="Verdana" w:hAnsi="Verdana"/>
          <w:sz w:val="18"/>
          <w:szCs w:val="18"/>
        </w:rPr>
        <w:t>alsmede</w:t>
      </w:r>
      <w:r w:rsidRPr="0037614E">
        <w:rPr>
          <w:rFonts w:ascii="Verdana" w:hAnsi="Verdana"/>
          <w:sz w:val="18"/>
          <w:szCs w:val="18"/>
        </w:rPr>
        <w:t xml:space="preserve"> het genereren van een overzicht van investeringen in en uitbreiding van industriële productiecapaciteit. Het rapport dient gereed te zijn voorafgaand aan de top. Over de Nederlandse nationale plannen op dit vlak is uw Kamer op 4 april geïnformeerd via de Defensie Strategie voor Industrie en Innovatie 2025-2029.</w:t>
      </w:r>
      <w:r w:rsidRPr="0037614E">
        <w:rPr>
          <w:rStyle w:val="FootnoteReference"/>
          <w:rFonts w:ascii="Verdana" w:hAnsi="Verdana"/>
          <w:sz w:val="18"/>
          <w:szCs w:val="18"/>
        </w:rPr>
        <w:footnoteReference w:id="3"/>
      </w:r>
      <w:r w:rsidRPr="0037614E">
        <w:rPr>
          <w:rFonts w:ascii="Verdana" w:hAnsi="Verdana"/>
          <w:sz w:val="18"/>
          <w:szCs w:val="18"/>
        </w:rPr>
        <w:t xml:space="preserve"> Tijdens de </w:t>
      </w:r>
      <w:proofErr w:type="spellStart"/>
      <w:r w:rsidRPr="0037614E">
        <w:rPr>
          <w:rFonts w:ascii="Verdana" w:hAnsi="Verdana"/>
          <w:i/>
          <w:iCs/>
          <w:sz w:val="18"/>
          <w:szCs w:val="18"/>
        </w:rPr>
        <w:t>Defence</w:t>
      </w:r>
      <w:proofErr w:type="spellEnd"/>
      <w:r w:rsidRPr="0037614E">
        <w:rPr>
          <w:rFonts w:ascii="Verdana" w:hAnsi="Verdana"/>
          <w:i/>
          <w:iCs/>
          <w:sz w:val="18"/>
          <w:szCs w:val="18"/>
        </w:rPr>
        <w:t xml:space="preserve"> Ministers Meeting</w:t>
      </w:r>
      <w:r w:rsidRPr="0037614E">
        <w:rPr>
          <w:rFonts w:ascii="Verdana" w:hAnsi="Verdana"/>
          <w:sz w:val="18"/>
          <w:szCs w:val="18"/>
        </w:rPr>
        <w:t xml:space="preserve"> (DMM) in februari 2025 is het herziene </w:t>
      </w:r>
      <w:proofErr w:type="spellStart"/>
      <w:r w:rsidRPr="0037614E">
        <w:rPr>
          <w:rFonts w:ascii="Verdana" w:hAnsi="Verdana"/>
          <w:i/>
          <w:iCs/>
          <w:sz w:val="18"/>
          <w:szCs w:val="18"/>
        </w:rPr>
        <w:t>Defence</w:t>
      </w:r>
      <w:proofErr w:type="spellEnd"/>
      <w:r w:rsidRPr="0037614E">
        <w:rPr>
          <w:rFonts w:ascii="Verdana" w:hAnsi="Verdana"/>
          <w:i/>
          <w:iCs/>
          <w:sz w:val="18"/>
          <w:szCs w:val="18"/>
        </w:rPr>
        <w:t xml:space="preserve"> </w:t>
      </w:r>
      <w:proofErr w:type="spellStart"/>
      <w:r w:rsidRPr="0037614E">
        <w:rPr>
          <w:rFonts w:ascii="Verdana" w:hAnsi="Verdana"/>
          <w:i/>
          <w:iCs/>
          <w:sz w:val="18"/>
          <w:szCs w:val="18"/>
        </w:rPr>
        <w:t>Production</w:t>
      </w:r>
      <w:proofErr w:type="spellEnd"/>
      <w:r w:rsidRPr="0037614E">
        <w:rPr>
          <w:rFonts w:ascii="Verdana" w:hAnsi="Verdana"/>
          <w:i/>
          <w:iCs/>
          <w:sz w:val="18"/>
          <w:szCs w:val="18"/>
        </w:rPr>
        <w:t xml:space="preserve"> Action Plan</w:t>
      </w:r>
      <w:r w:rsidRPr="0037614E">
        <w:rPr>
          <w:rFonts w:ascii="Verdana" w:hAnsi="Verdana"/>
          <w:sz w:val="18"/>
          <w:szCs w:val="18"/>
        </w:rPr>
        <w:t xml:space="preserve"> (DPAP) bekrachtigd. Een publieke versie van dit document wordt gepresenteerd op het </w:t>
      </w:r>
      <w:r w:rsidRPr="0037614E">
        <w:rPr>
          <w:rFonts w:ascii="Verdana" w:hAnsi="Verdana"/>
          <w:i/>
          <w:iCs/>
          <w:sz w:val="18"/>
          <w:szCs w:val="18"/>
        </w:rPr>
        <w:t xml:space="preserve">NATO </w:t>
      </w:r>
      <w:proofErr w:type="spellStart"/>
      <w:r w:rsidRPr="0037614E">
        <w:rPr>
          <w:rFonts w:ascii="Verdana" w:hAnsi="Verdana"/>
          <w:i/>
          <w:iCs/>
          <w:sz w:val="18"/>
          <w:szCs w:val="18"/>
        </w:rPr>
        <w:t>Summit</w:t>
      </w:r>
      <w:proofErr w:type="spellEnd"/>
      <w:r w:rsidRPr="0037614E">
        <w:rPr>
          <w:rFonts w:ascii="Verdana" w:hAnsi="Verdana"/>
          <w:i/>
          <w:iCs/>
          <w:sz w:val="18"/>
          <w:szCs w:val="18"/>
        </w:rPr>
        <w:t xml:space="preserve"> </w:t>
      </w:r>
      <w:proofErr w:type="spellStart"/>
      <w:r w:rsidRPr="0037614E">
        <w:rPr>
          <w:rFonts w:ascii="Verdana" w:hAnsi="Verdana"/>
          <w:i/>
          <w:iCs/>
          <w:sz w:val="18"/>
          <w:szCs w:val="18"/>
        </w:rPr>
        <w:t>Defence</w:t>
      </w:r>
      <w:proofErr w:type="spellEnd"/>
      <w:r w:rsidRPr="0037614E">
        <w:rPr>
          <w:rFonts w:ascii="Verdana" w:hAnsi="Verdana"/>
          <w:i/>
          <w:iCs/>
          <w:sz w:val="18"/>
          <w:szCs w:val="18"/>
        </w:rPr>
        <w:t xml:space="preserve"> </w:t>
      </w:r>
      <w:proofErr w:type="spellStart"/>
      <w:r w:rsidRPr="0037614E">
        <w:rPr>
          <w:rFonts w:ascii="Verdana" w:hAnsi="Verdana"/>
          <w:i/>
          <w:iCs/>
          <w:sz w:val="18"/>
          <w:szCs w:val="18"/>
        </w:rPr>
        <w:t>Industry</w:t>
      </w:r>
      <w:proofErr w:type="spellEnd"/>
      <w:r w:rsidRPr="0037614E">
        <w:rPr>
          <w:rFonts w:ascii="Verdana" w:hAnsi="Verdana"/>
          <w:i/>
          <w:iCs/>
          <w:sz w:val="18"/>
          <w:szCs w:val="18"/>
        </w:rPr>
        <w:t xml:space="preserve"> Forum</w:t>
      </w:r>
      <w:r w:rsidRPr="0037614E">
        <w:rPr>
          <w:rFonts w:ascii="Verdana" w:hAnsi="Verdana"/>
          <w:sz w:val="18"/>
          <w:szCs w:val="18"/>
        </w:rPr>
        <w:t xml:space="preserve"> (NSDIF25). Dit stelt de industrie in staat om beter aan te sluiten op NAVO-behoeften en om investeringen doelgericht te plannen.</w:t>
      </w:r>
    </w:p>
    <w:p w:rsidRPr="0037614E" w:rsidR="002C08AF" w:rsidP="0037614E" w:rsidRDefault="00691204" w14:paraId="02475A28" w14:textId="054D4CA0">
      <w:pPr>
        <w:tabs>
          <w:tab w:val="left" w:pos="4486"/>
          <w:tab w:val="left" w:pos="5076"/>
        </w:tabs>
        <w:spacing w:line="276" w:lineRule="auto"/>
        <w:rPr>
          <w:rFonts w:ascii="Verdana" w:hAnsi="Verdana"/>
          <w:b/>
          <w:sz w:val="18"/>
          <w:szCs w:val="18"/>
        </w:rPr>
      </w:pPr>
      <w:r w:rsidRPr="0037614E">
        <w:rPr>
          <w:rFonts w:ascii="Verdana" w:hAnsi="Verdana"/>
          <w:b/>
          <w:sz w:val="18"/>
          <w:szCs w:val="18"/>
        </w:rPr>
        <w:t>Oekraïne en m</w:t>
      </w:r>
      <w:r w:rsidRPr="0037614E" w:rsidR="002C08AF">
        <w:rPr>
          <w:rFonts w:ascii="Verdana" w:hAnsi="Verdana"/>
          <w:b/>
          <w:sz w:val="18"/>
          <w:szCs w:val="18"/>
        </w:rPr>
        <w:t>ondiale uitdagingen</w:t>
      </w:r>
    </w:p>
    <w:p w:rsidRPr="0037614E" w:rsidR="002C08AF" w:rsidP="0037614E" w:rsidRDefault="002C08AF" w14:paraId="065A5F37" w14:textId="2AC8014A">
      <w:pPr>
        <w:tabs>
          <w:tab w:val="left" w:pos="4486"/>
          <w:tab w:val="left" w:pos="5076"/>
        </w:tabs>
        <w:spacing w:line="276" w:lineRule="auto"/>
        <w:rPr>
          <w:rFonts w:ascii="Verdana" w:hAnsi="Verdana"/>
          <w:sz w:val="18"/>
          <w:szCs w:val="18"/>
        </w:rPr>
      </w:pPr>
      <w:r w:rsidRPr="0037614E">
        <w:rPr>
          <w:rFonts w:ascii="Verdana" w:hAnsi="Verdana"/>
          <w:sz w:val="18"/>
          <w:szCs w:val="18"/>
        </w:rPr>
        <w:t xml:space="preserve">Rusland vormt de meest significante en directe </w:t>
      </w:r>
      <w:r w:rsidRPr="0037614E" w:rsidR="0004388B">
        <w:rPr>
          <w:rFonts w:ascii="Verdana" w:hAnsi="Verdana"/>
          <w:sz w:val="18"/>
          <w:szCs w:val="18"/>
        </w:rPr>
        <w:t xml:space="preserve">militaire </w:t>
      </w:r>
      <w:r w:rsidRPr="0037614E">
        <w:rPr>
          <w:rFonts w:ascii="Verdana" w:hAnsi="Verdana"/>
          <w:sz w:val="18"/>
          <w:szCs w:val="18"/>
        </w:rPr>
        <w:t xml:space="preserve">dreiging voor vrede en stabiliteit in het Euro-Atlantisch grondgebied. Daarnaast </w:t>
      </w:r>
      <w:r w:rsidRPr="0037614E" w:rsidR="0004388B">
        <w:rPr>
          <w:rFonts w:ascii="Verdana" w:hAnsi="Verdana"/>
          <w:sz w:val="18"/>
          <w:szCs w:val="18"/>
        </w:rPr>
        <w:t>heeft het kabinet</w:t>
      </w:r>
      <w:r w:rsidRPr="0037614E">
        <w:rPr>
          <w:rFonts w:ascii="Verdana" w:hAnsi="Verdana"/>
          <w:sz w:val="18"/>
          <w:szCs w:val="18"/>
        </w:rPr>
        <w:t xml:space="preserve"> grote zorgen over de toenemende veiligheidssamenwerking van China, Noord-Korea, Iran en Belarus met Rusland, als belangrijke </w:t>
      </w:r>
      <w:proofErr w:type="spellStart"/>
      <w:r w:rsidRPr="0037614E">
        <w:rPr>
          <w:rFonts w:ascii="Verdana" w:hAnsi="Verdana"/>
          <w:i/>
          <w:iCs/>
          <w:sz w:val="18"/>
          <w:szCs w:val="18"/>
        </w:rPr>
        <w:t>enablers</w:t>
      </w:r>
      <w:proofErr w:type="spellEnd"/>
      <w:r w:rsidRPr="0037614E">
        <w:rPr>
          <w:rFonts w:ascii="Verdana" w:hAnsi="Verdana"/>
          <w:sz w:val="18"/>
          <w:szCs w:val="18"/>
        </w:rPr>
        <w:t xml:space="preserve"> van het Russische voortzettingsvermogen in de oorlog tegen Oekraïne. Ook is er binnen de NAVO veel aandacht voor de grootschalige dreigingen en uitdagingen in het hybride en cyberdomein. Tijdens de top zullen bondgenoten in de formele werkdiners en de Noord-Atlantische Raad van leiders spreken over deze brede geopolitieke dreigingen en hoe hierop te reageren.  </w:t>
      </w:r>
    </w:p>
    <w:p w:rsidRPr="0037614E" w:rsidR="002C08AF" w:rsidP="0037614E" w:rsidRDefault="002C08AF" w14:paraId="54037AAD" w14:textId="0B38FA3C">
      <w:pPr>
        <w:spacing w:line="276" w:lineRule="auto"/>
        <w:rPr>
          <w:rFonts w:ascii="Verdana" w:hAnsi="Verdana"/>
          <w:sz w:val="18"/>
          <w:szCs w:val="18"/>
        </w:rPr>
      </w:pPr>
      <w:r w:rsidRPr="0037614E">
        <w:rPr>
          <w:rFonts w:ascii="Verdana" w:hAnsi="Verdana"/>
          <w:sz w:val="18"/>
          <w:szCs w:val="18"/>
        </w:rPr>
        <w:t xml:space="preserve">In de NAVO is blijvende aandacht voor de aanhoudende Russische agressieoorlog tegen Oekraïne, en de voortzetting van </w:t>
      </w:r>
      <w:r w:rsidRPr="0037614E" w:rsidR="0004388B">
        <w:rPr>
          <w:rFonts w:ascii="Verdana" w:hAnsi="Verdana"/>
          <w:sz w:val="18"/>
          <w:szCs w:val="18"/>
        </w:rPr>
        <w:t xml:space="preserve">militaire, </w:t>
      </w:r>
      <w:r w:rsidRPr="0037614E">
        <w:rPr>
          <w:rFonts w:ascii="Verdana" w:hAnsi="Verdana"/>
          <w:sz w:val="18"/>
          <w:szCs w:val="18"/>
        </w:rPr>
        <w:t>politieke</w:t>
      </w:r>
      <w:r w:rsidRPr="0037614E" w:rsidR="0004388B">
        <w:rPr>
          <w:rFonts w:ascii="Verdana" w:hAnsi="Verdana"/>
          <w:sz w:val="18"/>
          <w:szCs w:val="18"/>
        </w:rPr>
        <w:t xml:space="preserve"> en </w:t>
      </w:r>
      <w:r w:rsidRPr="0037614E">
        <w:rPr>
          <w:rFonts w:ascii="Verdana" w:hAnsi="Verdana"/>
          <w:sz w:val="18"/>
          <w:szCs w:val="18"/>
        </w:rPr>
        <w:t xml:space="preserve">diplomatieke steun aan Oekraïne. </w:t>
      </w:r>
      <w:r w:rsidRPr="0037614E" w:rsidR="007D22BC">
        <w:rPr>
          <w:rFonts w:ascii="Verdana" w:hAnsi="Verdana"/>
          <w:sz w:val="18"/>
          <w:szCs w:val="18"/>
        </w:rPr>
        <w:t xml:space="preserve">Nederland is daarom verheugd dat Oekraïne is uitgenodigd om aanwezig te zijn tijdens de NAVO-top. </w:t>
      </w:r>
      <w:r w:rsidRPr="0037614E">
        <w:rPr>
          <w:rFonts w:ascii="Verdana" w:hAnsi="Verdana"/>
          <w:sz w:val="18"/>
          <w:szCs w:val="18"/>
        </w:rPr>
        <w:t>Om een rechtvaardige en duurzame vrede te bewerkstelligen onderstreept Nederland het belang van onverminderde steun aan Oekraïne. Tegelijkertijd moet de druk op Rusland worden opgevoerd, aangezien Rusland tot op heden geen oprechte bereidwilligheid tot onderhandelen heeft getoond. Hierbij is het voor Nederland van belang dat bondgenoten hun respectievelijke verantwoordelijkheid nemen om Oekraïne bilateraal, multilateraal en via de NAVO blijvend te ondersteunen. Zo heeft Nederland €3,5 miljard vrijgemaakt ten behoeve van de voortzetting van militaire en n</w:t>
      </w:r>
      <w:r w:rsidRPr="0037614E" w:rsidR="001E04DC">
        <w:rPr>
          <w:rFonts w:ascii="Verdana" w:hAnsi="Verdana"/>
          <w:sz w:val="18"/>
          <w:szCs w:val="18"/>
        </w:rPr>
        <w:t>iet</w:t>
      </w:r>
      <w:r w:rsidRPr="0037614E">
        <w:rPr>
          <w:rFonts w:ascii="Verdana" w:hAnsi="Verdana"/>
          <w:sz w:val="18"/>
          <w:szCs w:val="18"/>
        </w:rPr>
        <w:t xml:space="preserve">-militaire steun aan Oekraïne. Hiervan is €100 miljoen toegewezen aan het NAVO </w:t>
      </w:r>
      <w:r w:rsidRPr="0037614E">
        <w:rPr>
          <w:rFonts w:ascii="Verdana" w:hAnsi="Verdana"/>
          <w:i/>
          <w:sz w:val="18"/>
          <w:szCs w:val="18"/>
        </w:rPr>
        <w:t xml:space="preserve">Ukraine Comprehensive Assistance Package </w:t>
      </w:r>
      <w:r w:rsidRPr="0037614E">
        <w:rPr>
          <w:rFonts w:ascii="Verdana" w:hAnsi="Verdana"/>
          <w:sz w:val="18"/>
          <w:szCs w:val="18"/>
        </w:rPr>
        <w:t xml:space="preserve">(UCAP) van waaruit essentiële niet-letale militaire steun wordt geleverd. </w:t>
      </w:r>
    </w:p>
    <w:p w:rsidRPr="0037614E" w:rsidR="002C08AF" w:rsidP="0037614E" w:rsidRDefault="002C08AF" w14:paraId="24862A70" w14:textId="77777777">
      <w:pPr>
        <w:tabs>
          <w:tab w:val="left" w:pos="4486"/>
          <w:tab w:val="left" w:pos="5076"/>
        </w:tabs>
        <w:spacing w:line="276" w:lineRule="auto"/>
        <w:rPr>
          <w:rFonts w:ascii="Verdana" w:hAnsi="Verdana"/>
          <w:sz w:val="18"/>
          <w:szCs w:val="18"/>
        </w:rPr>
      </w:pPr>
      <w:r w:rsidRPr="0037614E">
        <w:rPr>
          <w:rFonts w:ascii="Verdana" w:hAnsi="Verdana"/>
          <w:sz w:val="18"/>
          <w:szCs w:val="18"/>
        </w:rPr>
        <w:t>Nederland is voorstander van goede samenwerking met NAVO-partners om mondiale uitdagingen het hoofd te bieden. Het belang hiervan is significant toegenomen. NAVO-EU-samenwerking speelt hierbij een cruciale rol, waar de beide samenwerkingsverbanden elkaar kunnen ondersteunen en versterken. De veiligheid van het Euro-Atlantisch grondgebied is niet los te zien van de uitdagingen waarmee de Indo-</w:t>
      </w:r>
      <w:proofErr w:type="spellStart"/>
      <w:r w:rsidRPr="0037614E">
        <w:rPr>
          <w:rFonts w:ascii="Verdana" w:hAnsi="Verdana"/>
          <w:sz w:val="18"/>
          <w:szCs w:val="18"/>
        </w:rPr>
        <w:t>Pacifische</w:t>
      </w:r>
      <w:proofErr w:type="spellEnd"/>
      <w:r w:rsidRPr="0037614E">
        <w:rPr>
          <w:rFonts w:ascii="Verdana" w:hAnsi="Verdana"/>
          <w:sz w:val="18"/>
          <w:szCs w:val="18"/>
        </w:rPr>
        <w:t xml:space="preserve"> regio te maken heeft. Nederland verwelkomt daarom ook de deelname van de EU en de Indo-Pacific partners (Zuid-Korea, Japan, Australië en Nieuw-Zeeland) tijdens de top in Den Haag. </w:t>
      </w:r>
    </w:p>
    <w:p w:rsidRPr="0037614E" w:rsidR="002C08AF" w:rsidP="0037614E" w:rsidRDefault="002C08AF" w14:paraId="4A16CEF2" w14:textId="77777777">
      <w:pPr>
        <w:tabs>
          <w:tab w:val="left" w:pos="4486"/>
          <w:tab w:val="left" w:pos="5076"/>
        </w:tabs>
        <w:spacing w:line="276" w:lineRule="auto"/>
        <w:rPr>
          <w:rFonts w:ascii="Verdana" w:hAnsi="Verdana"/>
          <w:b/>
          <w:iCs/>
          <w:sz w:val="18"/>
          <w:szCs w:val="18"/>
        </w:rPr>
      </w:pPr>
    </w:p>
    <w:p w:rsidRPr="0037614E" w:rsidR="002C08AF" w:rsidP="0037614E" w:rsidRDefault="002C08AF" w14:paraId="680E05F5" w14:textId="77777777">
      <w:pPr>
        <w:keepNext/>
        <w:keepLines/>
        <w:tabs>
          <w:tab w:val="left" w:pos="4486"/>
          <w:tab w:val="left" w:pos="5076"/>
        </w:tabs>
        <w:spacing w:line="276" w:lineRule="auto"/>
        <w:rPr>
          <w:rFonts w:ascii="Verdana" w:hAnsi="Verdana"/>
          <w:i/>
          <w:sz w:val="18"/>
          <w:szCs w:val="18"/>
        </w:rPr>
      </w:pPr>
      <w:r w:rsidRPr="0037614E">
        <w:rPr>
          <w:rFonts w:ascii="Verdana" w:hAnsi="Verdana"/>
          <w:b/>
          <w:iCs/>
          <w:sz w:val="18"/>
          <w:szCs w:val="18"/>
        </w:rPr>
        <w:lastRenderedPageBreak/>
        <w:t>NAVO-top</w:t>
      </w:r>
    </w:p>
    <w:p w:rsidRPr="0037614E" w:rsidR="002C08AF" w:rsidP="0037614E" w:rsidRDefault="002C08AF" w14:paraId="7D07855B" w14:textId="77777777">
      <w:pPr>
        <w:keepNext/>
        <w:keepLines/>
        <w:tabs>
          <w:tab w:val="left" w:pos="4486"/>
          <w:tab w:val="left" w:pos="5076"/>
        </w:tabs>
        <w:spacing w:line="276" w:lineRule="auto"/>
        <w:rPr>
          <w:rFonts w:ascii="Verdana" w:hAnsi="Verdana"/>
          <w:sz w:val="18"/>
          <w:szCs w:val="18"/>
        </w:rPr>
      </w:pPr>
      <w:r w:rsidRPr="0037614E">
        <w:rPr>
          <w:rFonts w:ascii="Verdana" w:hAnsi="Verdana"/>
          <w:sz w:val="18"/>
          <w:szCs w:val="18"/>
        </w:rPr>
        <w:t xml:space="preserve">Voorafgaand en parallel aan de NAR vinden enkele </w:t>
      </w:r>
      <w:r w:rsidRPr="0037614E">
        <w:rPr>
          <w:rFonts w:ascii="Verdana" w:hAnsi="Verdana"/>
          <w:i/>
          <w:sz w:val="18"/>
          <w:szCs w:val="18"/>
        </w:rPr>
        <w:t xml:space="preserve">side-events </w:t>
      </w:r>
      <w:r w:rsidRPr="0037614E">
        <w:rPr>
          <w:rFonts w:ascii="Verdana" w:hAnsi="Verdana"/>
          <w:sz w:val="18"/>
          <w:szCs w:val="18"/>
        </w:rPr>
        <w:t>plaats. Deze zijn:</w:t>
      </w:r>
    </w:p>
    <w:p w:rsidRPr="0037614E" w:rsidR="002C08AF" w:rsidP="0037614E" w:rsidRDefault="002C08AF" w14:paraId="2493EFD8" w14:textId="77777777">
      <w:pPr>
        <w:keepNext/>
        <w:keepLines/>
        <w:tabs>
          <w:tab w:val="left" w:pos="4486"/>
          <w:tab w:val="left" w:pos="5076"/>
        </w:tabs>
        <w:spacing w:line="276" w:lineRule="auto"/>
        <w:rPr>
          <w:rFonts w:ascii="Verdana" w:hAnsi="Verdana"/>
          <w:i/>
          <w:sz w:val="18"/>
          <w:szCs w:val="18"/>
        </w:rPr>
      </w:pPr>
      <w:r w:rsidRPr="0037614E">
        <w:rPr>
          <w:rFonts w:ascii="Verdana" w:hAnsi="Verdana"/>
          <w:i/>
          <w:sz w:val="18"/>
          <w:szCs w:val="18"/>
        </w:rPr>
        <w:t xml:space="preserve">NATO </w:t>
      </w:r>
      <w:proofErr w:type="spellStart"/>
      <w:r w:rsidRPr="0037614E">
        <w:rPr>
          <w:rFonts w:ascii="Verdana" w:hAnsi="Verdana"/>
          <w:i/>
          <w:sz w:val="18"/>
          <w:szCs w:val="18"/>
        </w:rPr>
        <w:t>Summit</w:t>
      </w:r>
      <w:proofErr w:type="spellEnd"/>
      <w:r w:rsidRPr="0037614E">
        <w:rPr>
          <w:rFonts w:ascii="Verdana" w:hAnsi="Verdana"/>
          <w:i/>
          <w:sz w:val="18"/>
          <w:szCs w:val="18"/>
        </w:rPr>
        <w:t xml:space="preserve"> </w:t>
      </w:r>
      <w:proofErr w:type="spellStart"/>
      <w:r w:rsidRPr="0037614E">
        <w:rPr>
          <w:rFonts w:ascii="Verdana" w:hAnsi="Verdana"/>
          <w:i/>
          <w:sz w:val="18"/>
          <w:szCs w:val="18"/>
        </w:rPr>
        <w:t>Defence</w:t>
      </w:r>
      <w:proofErr w:type="spellEnd"/>
      <w:r w:rsidRPr="0037614E">
        <w:rPr>
          <w:rFonts w:ascii="Verdana" w:hAnsi="Verdana"/>
          <w:i/>
          <w:sz w:val="18"/>
          <w:szCs w:val="18"/>
        </w:rPr>
        <w:t xml:space="preserve"> </w:t>
      </w:r>
      <w:proofErr w:type="spellStart"/>
      <w:r w:rsidRPr="0037614E">
        <w:rPr>
          <w:rFonts w:ascii="Verdana" w:hAnsi="Verdana"/>
          <w:i/>
          <w:sz w:val="18"/>
          <w:szCs w:val="18"/>
        </w:rPr>
        <w:t>Industry</w:t>
      </w:r>
      <w:proofErr w:type="spellEnd"/>
      <w:r w:rsidRPr="0037614E">
        <w:rPr>
          <w:rFonts w:ascii="Verdana" w:hAnsi="Verdana"/>
          <w:i/>
          <w:sz w:val="18"/>
          <w:szCs w:val="18"/>
        </w:rPr>
        <w:t xml:space="preserve"> Forum</w:t>
      </w:r>
    </w:p>
    <w:p w:rsidRPr="0037614E" w:rsidR="002C08AF" w:rsidP="0037614E" w:rsidRDefault="002C08AF" w14:paraId="5A64E7A4" w14:textId="1121EC6A">
      <w:pPr>
        <w:keepNext/>
        <w:keepLines/>
        <w:tabs>
          <w:tab w:val="left" w:pos="4486"/>
          <w:tab w:val="left" w:pos="5076"/>
        </w:tabs>
        <w:spacing w:line="276" w:lineRule="auto"/>
        <w:rPr>
          <w:rFonts w:ascii="Verdana" w:hAnsi="Verdana"/>
          <w:sz w:val="18"/>
          <w:szCs w:val="18"/>
        </w:rPr>
      </w:pPr>
      <w:r w:rsidRPr="0037614E">
        <w:rPr>
          <w:rFonts w:ascii="Verdana" w:hAnsi="Verdana"/>
          <w:sz w:val="18"/>
          <w:szCs w:val="18"/>
        </w:rPr>
        <w:t xml:space="preserve">Op dinsdag 24 juni staat het </w:t>
      </w:r>
      <w:r w:rsidRPr="0037614E">
        <w:rPr>
          <w:rFonts w:ascii="Verdana" w:hAnsi="Verdana"/>
          <w:i/>
          <w:iCs/>
          <w:sz w:val="18"/>
          <w:szCs w:val="18"/>
        </w:rPr>
        <w:t xml:space="preserve">NATO </w:t>
      </w:r>
      <w:proofErr w:type="spellStart"/>
      <w:r w:rsidRPr="0037614E">
        <w:rPr>
          <w:rFonts w:ascii="Verdana" w:hAnsi="Verdana"/>
          <w:i/>
          <w:iCs/>
          <w:sz w:val="18"/>
          <w:szCs w:val="18"/>
        </w:rPr>
        <w:t>Summit</w:t>
      </w:r>
      <w:proofErr w:type="spellEnd"/>
      <w:r w:rsidRPr="0037614E">
        <w:rPr>
          <w:rFonts w:ascii="Verdana" w:hAnsi="Verdana"/>
          <w:i/>
          <w:iCs/>
          <w:sz w:val="18"/>
          <w:szCs w:val="18"/>
        </w:rPr>
        <w:t xml:space="preserve"> </w:t>
      </w:r>
      <w:proofErr w:type="spellStart"/>
      <w:r w:rsidRPr="0037614E">
        <w:rPr>
          <w:rFonts w:ascii="Verdana" w:hAnsi="Verdana"/>
          <w:i/>
          <w:iCs/>
          <w:sz w:val="18"/>
          <w:szCs w:val="18"/>
        </w:rPr>
        <w:t>Defence</w:t>
      </w:r>
      <w:proofErr w:type="spellEnd"/>
      <w:r w:rsidRPr="0037614E">
        <w:rPr>
          <w:rFonts w:ascii="Verdana" w:hAnsi="Verdana"/>
          <w:i/>
          <w:iCs/>
          <w:sz w:val="18"/>
          <w:szCs w:val="18"/>
        </w:rPr>
        <w:t xml:space="preserve"> </w:t>
      </w:r>
      <w:proofErr w:type="spellStart"/>
      <w:r w:rsidRPr="0037614E">
        <w:rPr>
          <w:rFonts w:ascii="Verdana" w:hAnsi="Verdana"/>
          <w:i/>
          <w:iCs/>
          <w:sz w:val="18"/>
          <w:szCs w:val="18"/>
        </w:rPr>
        <w:t>Industry</w:t>
      </w:r>
      <w:proofErr w:type="spellEnd"/>
      <w:r w:rsidRPr="0037614E">
        <w:rPr>
          <w:rFonts w:ascii="Verdana" w:hAnsi="Verdana"/>
          <w:i/>
          <w:iCs/>
          <w:sz w:val="18"/>
          <w:szCs w:val="18"/>
        </w:rPr>
        <w:t xml:space="preserve"> Forum</w:t>
      </w:r>
      <w:r w:rsidRPr="0037614E">
        <w:rPr>
          <w:rFonts w:ascii="Verdana" w:hAnsi="Verdana"/>
          <w:sz w:val="18"/>
          <w:szCs w:val="18"/>
        </w:rPr>
        <w:t xml:space="preserve"> (NSDIF) op het programma. Het NSDIF brengt vertegenwoordigers van de defensie-industrie, de NAVO, experts, ministers van Defensie en partners als Oekraïne, de Indo-Pacific partners en de EU samen om een impuls te geven aan een snelle en duurzame opschaling van de trans-Atlantische defensie-industrie. De deelnemers buigen zich over concrete beleidsaanbevelingen op gebied van onder meer gezamenlijke productiecapaciteit en toeleveringsketens, toegang tot financiering, de snelle invoering van innovatieve oplossingen, nieuwe technologie en hybride dreigingen, en de toenemende rol van de ruimtesector. </w:t>
      </w:r>
    </w:p>
    <w:p w:rsidRPr="0037614E" w:rsidR="002C08AF" w:rsidP="0037614E" w:rsidRDefault="002C08AF" w14:paraId="6C1764EE" w14:textId="77777777">
      <w:pPr>
        <w:tabs>
          <w:tab w:val="left" w:pos="4486"/>
          <w:tab w:val="left" w:pos="5076"/>
        </w:tabs>
        <w:spacing w:line="276" w:lineRule="auto"/>
        <w:rPr>
          <w:rFonts w:ascii="Verdana" w:hAnsi="Verdana"/>
          <w:sz w:val="18"/>
          <w:szCs w:val="18"/>
        </w:rPr>
      </w:pPr>
      <w:r w:rsidRPr="0037614E">
        <w:rPr>
          <w:rFonts w:ascii="Verdana" w:hAnsi="Verdana"/>
          <w:sz w:val="18"/>
          <w:szCs w:val="18"/>
        </w:rPr>
        <w:t>Het forum wordt georganiseerd door de NAVO en het ministerie van Defensie, in samenwerking met VNO-NCW en het ministerie van Buitenlandse Zaken. Ruim vierhonderd personen zijn uitgenodigd; een deel van de sessies is online te volgen.</w:t>
      </w:r>
      <w:r w:rsidRPr="0037614E">
        <w:rPr>
          <w:rStyle w:val="FootnoteReference"/>
          <w:rFonts w:ascii="Verdana" w:hAnsi="Verdana"/>
          <w:sz w:val="18"/>
          <w:szCs w:val="18"/>
        </w:rPr>
        <w:footnoteReference w:id="4"/>
      </w:r>
      <w:r w:rsidRPr="0037614E">
        <w:rPr>
          <w:rFonts w:ascii="Verdana" w:hAnsi="Verdana"/>
          <w:sz w:val="18"/>
          <w:szCs w:val="18"/>
        </w:rPr>
        <w:t xml:space="preserve"> </w:t>
      </w:r>
    </w:p>
    <w:p w:rsidRPr="0037614E" w:rsidR="002C08AF" w:rsidP="0037614E" w:rsidRDefault="002C08AF" w14:paraId="5887DCF2" w14:textId="77777777">
      <w:pPr>
        <w:tabs>
          <w:tab w:val="left" w:pos="4486"/>
          <w:tab w:val="left" w:pos="5076"/>
        </w:tabs>
        <w:spacing w:line="276" w:lineRule="auto"/>
        <w:rPr>
          <w:rFonts w:ascii="Verdana" w:hAnsi="Verdana"/>
          <w:i/>
          <w:sz w:val="18"/>
          <w:szCs w:val="18"/>
        </w:rPr>
      </w:pPr>
      <w:r w:rsidRPr="0037614E">
        <w:rPr>
          <w:rFonts w:ascii="Verdana" w:hAnsi="Verdana"/>
          <w:i/>
          <w:sz w:val="18"/>
          <w:szCs w:val="18"/>
        </w:rPr>
        <w:t>Public Forum</w:t>
      </w:r>
    </w:p>
    <w:p w:rsidRPr="0037614E" w:rsidR="002C08AF" w:rsidP="0037614E" w:rsidRDefault="002C08AF" w14:paraId="6F340BB3" w14:textId="77777777">
      <w:pPr>
        <w:tabs>
          <w:tab w:val="left" w:pos="4486"/>
          <w:tab w:val="left" w:pos="5076"/>
        </w:tabs>
        <w:spacing w:line="276" w:lineRule="auto"/>
        <w:rPr>
          <w:rFonts w:ascii="Verdana" w:hAnsi="Verdana"/>
          <w:sz w:val="18"/>
          <w:szCs w:val="18"/>
        </w:rPr>
      </w:pPr>
      <w:r w:rsidRPr="0037614E">
        <w:rPr>
          <w:rFonts w:ascii="Verdana" w:hAnsi="Verdana"/>
          <w:sz w:val="18"/>
          <w:szCs w:val="18"/>
        </w:rPr>
        <w:t xml:space="preserve">Parallel aan de NAVO-top in Den Haag vindt het </w:t>
      </w:r>
      <w:r w:rsidRPr="0037614E">
        <w:rPr>
          <w:rFonts w:ascii="Verdana" w:hAnsi="Verdana"/>
          <w:i/>
          <w:sz w:val="18"/>
          <w:szCs w:val="18"/>
        </w:rPr>
        <w:t>NATO Public Forum</w:t>
      </w:r>
      <w:r w:rsidRPr="0037614E">
        <w:rPr>
          <w:rFonts w:ascii="Verdana" w:hAnsi="Verdana"/>
          <w:sz w:val="18"/>
          <w:szCs w:val="18"/>
        </w:rPr>
        <w:t xml:space="preserve"> plaats. Dit publieksevenement brengt regeringsleiders en staatshoofden, ministers van Buitenlandse Zaken en Defensie, experts en maatschappelijke organisaties samen om te debatteren over actuele veiligheidsthema’s. Het wordt georganiseerd door de NAVO en Nederland in samenwerking met de Atlantische Commissie, het Haags Centrum voor Strategische Studies (HCSS) en Clingendael.</w:t>
      </w:r>
    </w:p>
    <w:p w:rsidRPr="00931CA1" w:rsidR="002C08AF" w:rsidP="0037614E" w:rsidRDefault="002C08AF" w14:paraId="3AB1BF6C" w14:textId="51BA1D74">
      <w:pPr>
        <w:tabs>
          <w:tab w:val="left" w:pos="4486"/>
          <w:tab w:val="left" w:pos="5076"/>
        </w:tabs>
        <w:spacing w:line="276" w:lineRule="auto"/>
        <w:rPr>
          <w:rFonts w:ascii="Verdana" w:hAnsi="Verdana"/>
          <w:sz w:val="18"/>
          <w:szCs w:val="18"/>
        </w:rPr>
      </w:pPr>
      <w:r w:rsidRPr="0037614E">
        <w:rPr>
          <w:rFonts w:ascii="Verdana" w:hAnsi="Verdana"/>
          <w:sz w:val="18"/>
          <w:szCs w:val="18"/>
        </w:rPr>
        <w:t xml:space="preserve">De agenda van dit publieksevenement richt zich op strategisch belangrijke thema’s voor de NAVO en reflecteert de prioriteiten van de top. Hoewel het definitieve programma wordt bepaald door de actualiteit </w:t>
      </w:r>
      <w:r w:rsidRPr="00931CA1">
        <w:rPr>
          <w:rFonts w:ascii="Verdana" w:hAnsi="Verdana"/>
          <w:sz w:val="18"/>
          <w:szCs w:val="18"/>
        </w:rPr>
        <w:t>van de top, komen in elk geval het belang van hogere defensie-uitgaven, de opschaling van de defensie-industrie en de aanhoudende Russische agressieoorlog tegen Oekraïne aan bod. Er zijn vijfhonderd genodigden aanwezig. Het forum is verder online te volgen via de public forum website en de sociale media kanalen van de NAVO.</w:t>
      </w:r>
      <w:r w:rsidRPr="00931CA1">
        <w:rPr>
          <w:rStyle w:val="FootnoteReference"/>
          <w:rFonts w:ascii="Verdana" w:hAnsi="Verdana"/>
          <w:sz w:val="18"/>
          <w:szCs w:val="18"/>
        </w:rPr>
        <w:footnoteReference w:id="5"/>
      </w:r>
      <w:r w:rsidRPr="00931CA1">
        <w:rPr>
          <w:rFonts w:ascii="Verdana" w:hAnsi="Verdana"/>
          <w:sz w:val="18"/>
          <w:szCs w:val="18"/>
        </w:rPr>
        <w:t xml:space="preserve"> De minister-president zal een speech geven bij de opening van het forum en sluit het ook af. </w:t>
      </w:r>
    </w:p>
    <w:p w:rsidRPr="00931CA1" w:rsidR="002C08AF" w:rsidP="0037614E" w:rsidRDefault="002C08AF" w14:paraId="50097391" w14:textId="77777777">
      <w:pPr>
        <w:tabs>
          <w:tab w:val="left" w:pos="4486"/>
          <w:tab w:val="left" w:pos="5076"/>
        </w:tabs>
        <w:spacing w:line="276" w:lineRule="auto"/>
        <w:rPr>
          <w:rFonts w:ascii="Verdana" w:hAnsi="Verdana"/>
          <w:i/>
          <w:sz w:val="18"/>
          <w:szCs w:val="18"/>
        </w:rPr>
      </w:pPr>
      <w:r w:rsidRPr="00931CA1">
        <w:rPr>
          <w:rFonts w:ascii="Verdana" w:hAnsi="Verdana"/>
          <w:i/>
          <w:sz w:val="18"/>
          <w:szCs w:val="18"/>
        </w:rPr>
        <w:t xml:space="preserve">Sociaal diner en werkdiners </w:t>
      </w:r>
    </w:p>
    <w:p w:rsidRPr="00931CA1" w:rsidR="002C08AF" w:rsidP="0037614E" w:rsidRDefault="002C08AF" w14:paraId="15A359A5" w14:textId="444F4856">
      <w:pPr>
        <w:tabs>
          <w:tab w:val="left" w:pos="4486"/>
          <w:tab w:val="left" w:pos="5076"/>
        </w:tabs>
        <w:spacing w:line="276" w:lineRule="auto"/>
        <w:rPr>
          <w:rFonts w:ascii="Verdana" w:hAnsi="Verdana"/>
          <w:sz w:val="18"/>
          <w:szCs w:val="18"/>
        </w:rPr>
      </w:pPr>
      <w:r w:rsidRPr="00931CA1">
        <w:rPr>
          <w:rFonts w:ascii="Verdana" w:hAnsi="Verdana"/>
          <w:sz w:val="18"/>
          <w:szCs w:val="18"/>
        </w:rPr>
        <w:t xml:space="preserve">Dinsdagavond 24 juni zijn </w:t>
      </w:r>
      <w:r w:rsidRPr="00931CA1" w:rsidR="00F70250">
        <w:rPr>
          <w:rFonts w:ascii="Verdana" w:hAnsi="Verdana"/>
          <w:sz w:val="18"/>
          <w:szCs w:val="18"/>
        </w:rPr>
        <w:t xml:space="preserve">de deelnemende staatshoofden en regeringsleiders </w:t>
      </w:r>
      <w:r w:rsidRPr="00931CA1">
        <w:rPr>
          <w:rFonts w:ascii="Verdana" w:hAnsi="Verdana"/>
          <w:sz w:val="18"/>
          <w:szCs w:val="18"/>
        </w:rPr>
        <w:t>met hun partners uitgenodigd voor een sociaal diner op paleis Huis ten Bosch, op uitnodiging van Zijne Majesteit de Koning en Hare Majesteit de Koningin. Ook zal er een informele receptie plaatsvinden op uitnodiging van de ministers van Buitenlandse Zaken</w:t>
      </w:r>
      <w:r w:rsidRPr="00931CA1" w:rsidR="001E04DC">
        <w:rPr>
          <w:rFonts w:ascii="Verdana" w:hAnsi="Verdana"/>
          <w:sz w:val="18"/>
          <w:szCs w:val="18"/>
        </w:rPr>
        <w:t xml:space="preserve"> en Defensie</w:t>
      </w:r>
      <w:r w:rsidRPr="00931CA1">
        <w:rPr>
          <w:rFonts w:ascii="Verdana" w:hAnsi="Verdana"/>
          <w:sz w:val="18"/>
          <w:szCs w:val="18"/>
        </w:rPr>
        <w:t xml:space="preserve">. Hieraan zullen naast de bondgenoten ook de vicepremiers en leden van de Tweede Kamer deelnemen. </w:t>
      </w:r>
    </w:p>
    <w:p w:rsidRPr="00931CA1" w:rsidR="002C08AF" w:rsidP="0037614E" w:rsidRDefault="002C08AF" w14:paraId="04438440" w14:textId="29EA50C4">
      <w:pPr>
        <w:tabs>
          <w:tab w:val="left" w:pos="4486"/>
          <w:tab w:val="left" w:pos="5076"/>
        </w:tabs>
        <w:spacing w:line="276" w:lineRule="auto"/>
        <w:rPr>
          <w:rFonts w:ascii="Verdana" w:hAnsi="Verdana"/>
          <w:sz w:val="18"/>
          <w:szCs w:val="18"/>
        </w:rPr>
      </w:pPr>
      <w:r w:rsidRPr="00931CA1">
        <w:rPr>
          <w:rFonts w:ascii="Verdana" w:hAnsi="Verdana"/>
          <w:sz w:val="18"/>
          <w:szCs w:val="18"/>
        </w:rPr>
        <w:t xml:space="preserve">De ministers van Buitenlandse Zaken en de ministers van Defensie hebben twee parallelle werkdiners in het World Forum, de locatie van de top. </w:t>
      </w:r>
      <w:r w:rsidRPr="00931CA1" w:rsidR="00F70250">
        <w:rPr>
          <w:rFonts w:ascii="Verdana" w:hAnsi="Verdana"/>
          <w:sz w:val="18"/>
          <w:szCs w:val="18"/>
        </w:rPr>
        <w:t xml:space="preserve">Het diner van de ministers van Buitenlandse Zaken is een </w:t>
      </w:r>
      <w:r w:rsidRPr="00931CA1" w:rsidR="00F70250">
        <w:rPr>
          <w:rFonts w:ascii="Verdana" w:hAnsi="Verdana"/>
          <w:i/>
          <w:iCs/>
          <w:sz w:val="18"/>
          <w:szCs w:val="18"/>
        </w:rPr>
        <w:t xml:space="preserve">NATO-Ukraine Council </w:t>
      </w:r>
      <w:r w:rsidRPr="00931CA1" w:rsidR="00F70250">
        <w:rPr>
          <w:rFonts w:ascii="Verdana" w:hAnsi="Verdana"/>
          <w:sz w:val="18"/>
          <w:szCs w:val="18"/>
        </w:rPr>
        <w:t xml:space="preserve">(NUC). </w:t>
      </w:r>
      <w:r w:rsidRPr="00931CA1">
        <w:rPr>
          <w:rFonts w:ascii="Verdana" w:hAnsi="Verdana"/>
          <w:sz w:val="18"/>
          <w:szCs w:val="18"/>
        </w:rPr>
        <w:t xml:space="preserve">Welke onderwerpen op de agenda zullen staan van </w:t>
      </w:r>
      <w:r w:rsidRPr="00931CA1" w:rsidR="00F70250">
        <w:rPr>
          <w:rFonts w:ascii="Verdana" w:hAnsi="Verdana"/>
          <w:sz w:val="18"/>
          <w:szCs w:val="18"/>
        </w:rPr>
        <w:t xml:space="preserve">het </w:t>
      </w:r>
      <w:r w:rsidRPr="00931CA1">
        <w:rPr>
          <w:rFonts w:ascii="Verdana" w:hAnsi="Verdana"/>
          <w:sz w:val="18"/>
          <w:szCs w:val="18"/>
        </w:rPr>
        <w:t>werkdiner</w:t>
      </w:r>
      <w:r w:rsidRPr="00931CA1" w:rsidR="00F70250">
        <w:rPr>
          <w:rFonts w:ascii="Verdana" w:hAnsi="Verdana"/>
          <w:sz w:val="18"/>
          <w:szCs w:val="18"/>
        </w:rPr>
        <w:t xml:space="preserve"> van de ministers van Defensie</w:t>
      </w:r>
      <w:r w:rsidRPr="00931CA1">
        <w:rPr>
          <w:rFonts w:ascii="Verdana" w:hAnsi="Verdana"/>
          <w:sz w:val="18"/>
          <w:szCs w:val="18"/>
        </w:rPr>
        <w:t xml:space="preserve"> is ten tijde van schrijven nog niet besloten door de NAVO</w:t>
      </w:r>
      <w:r w:rsidRPr="00931CA1" w:rsidR="00F70250">
        <w:rPr>
          <w:rFonts w:ascii="Verdana" w:hAnsi="Verdana"/>
          <w:sz w:val="18"/>
          <w:szCs w:val="18"/>
        </w:rPr>
        <w:t>.</w:t>
      </w:r>
    </w:p>
    <w:p w:rsidRPr="00931CA1" w:rsidR="002C08AF" w:rsidP="0037614E" w:rsidRDefault="002C08AF" w14:paraId="2D35501C" w14:textId="77777777">
      <w:pPr>
        <w:spacing w:line="276" w:lineRule="auto"/>
        <w:rPr>
          <w:rFonts w:ascii="Verdana" w:hAnsi="Verdana"/>
          <w:b/>
          <w:i/>
          <w:sz w:val="18"/>
          <w:szCs w:val="18"/>
        </w:rPr>
      </w:pPr>
      <w:r w:rsidRPr="00931CA1">
        <w:rPr>
          <w:rFonts w:ascii="Verdana" w:hAnsi="Verdana"/>
          <w:b/>
          <w:iCs/>
          <w:sz w:val="18"/>
          <w:szCs w:val="18"/>
        </w:rPr>
        <w:t>Communicatie</w:t>
      </w:r>
    </w:p>
    <w:p w:rsidRPr="00931CA1" w:rsidR="002C08AF" w:rsidP="0037614E" w:rsidRDefault="002C08AF" w14:paraId="714F193C" w14:textId="77777777">
      <w:pPr>
        <w:tabs>
          <w:tab w:val="left" w:pos="4486"/>
          <w:tab w:val="left" w:pos="5076"/>
        </w:tabs>
        <w:spacing w:line="276" w:lineRule="auto"/>
        <w:rPr>
          <w:rFonts w:ascii="Verdana" w:hAnsi="Verdana"/>
          <w:sz w:val="18"/>
          <w:szCs w:val="18"/>
        </w:rPr>
      </w:pPr>
      <w:r w:rsidRPr="00931CA1">
        <w:rPr>
          <w:rFonts w:ascii="Verdana" w:hAnsi="Verdana"/>
          <w:sz w:val="18"/>
          <w:szCs w:val="18"/>
        </w:rPr>
        <w:t xml:space="preserve">Er is in samenwerking met alle betrokken departementen en organisaties een intensieve communicatieaanpak opgezet door het ministerie van Buitenlandse Zaken. Die aanpak is zowel nationaal als internationaal gericht. Nationaal is het doel om bij te dragen aan het draagvlak van de NAVO in het algemeen en voor de top in het bijzonder. Internationaal wordt ingezet op het versterken van de positionering van Nederland als trouwe bondgenoot van de NAVO en </w:t>
      </w:r>
      <w:r w:rsidRPr="00931CA1">
        <w:rPr>
          <w:rFonts w:ascii="Verdana" w:hAnsi="Verdana"/>
          <w:sz w:val="18"/>
          <w:szCs w:val="18"/>
        </w:rPr>
        <w:lastRenderedPageBreak/>
        <w:t>voorvechter voor vrede en veiligheid; daarvoor worden activiteiten ingezet in nauwe samenwerking met de Nederlandse ambassades en consulaten in het buitenland.   </w:t>
      </w:r>
    </w:p>
    <w:p w:rsidRPr="00931CA1" w:rsidR="002C08AF" w:rsidP="0037614E" w:rsidRDefault="002C08AF" w14:paraId="0288158D" w14:textId="26BD9A28">
      <w:pPr>
        <w:tabs>
          <w:tab w:val="left" w:pos="4486"/>
          <w:tab w:val="left" w:pos="5076"/>
        </w:tabs>
        <w:spacing w:line="276" w:lineRule="auto"/>
        <w:rPr>
          <w:rFonts w:ascii="Verdana" w:hAnsi="Verdana"/>
          <w:sz w:val="18"/>
          <w:szCs w:val="18"/>
        </w:rPr>
      </w:pPr>
      <w:r w:rsidRPr="00931CA1">
        <w:rPr>
          <w:rFonts w:ascii="Verdana" w:hAnsi="Verdana"/>
          <w:sz w:val="18"/>
          <w:szCs w:val="18"/>
        </w:rPr>
        <w:t>Nationaal is naast de inzet van reguliere communicatiekanalen van de overheid in samenwerking met het ministerie van Defensie en drie denktanks de tour ‘NAVO door Nederland’ opgezet. De tour bevat tal van activiteiten gericht op verschillende doelgroepen en bezoekt in de aanloop naar de top een aantal Nederlandse steden. De tour wordt zondag 22 juni a</w:t>
      </w:r>
      <w:r w:rsidRPr="00931CA1" w:rsidR="00772088">
        <w:rPr>
          <w:rFonts w:ascii="Verdana" w:hAnsi="Verdana"/>
          <w:sz w:val="18"/>
          <w:szCs w:val="18"/>
        </w:rPr>
        <w:t>.</w:t>
      </w:r>
      <w:r w:rsidRPr="00931CA1">
        <w:rPr>
          <w:rFonts w:ascii="Verdana" w:hAnsi="Verdana"/>
          <w:sz w:val="18"/>
          <w:szCs w:val="18"/>
        </w:rPr>
        <w:t xml:space="preserve">s. afgesloten met een voorstelling voor MBO-studenten in het World Forum. Vanuit het communicatieteam bij de taskforce worden ook de communicatie-inspanningen van alle andere betrokken departementen en organisaties gecoördineerd. Daaronder valt ook de communicatie over bereikbaarheid. Daarbij worden de bestaande (communicatie)lijnen van verantwoordelijkheid gevolgd. De NCTV is verantwoordelijk voor de crisiscommunicatie. </w:t>
      </w:r>
    </w:p>
    <w:p w:rsidRPr="00931CA1" w:rsidR="002C08AF" w:rsidP="0037614E" w:rsidRDefault="002C08AF" w14:paraId="39AF745A" w14:textId="77777777">
      <w:pPr>
        <w:tabs>
          <w:tab w:val="left" w:pos="4486"/>
          <w:tab w:val="left" w:pos="5076"/>
        </w:tabs>
        <w:spacing w:line="276" w:lineRule="auto"/>
        <w:rPr>
          <w:rFonts w:ascii="Verdana" w:hAnsi="Verdana"/>
          <w:sz w:val="18"/>
          <w:szCs w:val="18"/>
        </w:rPr>
      </w:pPr>
      <w:r w:rsidRPr="00931CA1">
        <w:rPr>
          <w:rFonts w:ascii="Verdana" w:hAnsi="Verdana"/>
          <w:sz w:val="18"/>
          <w:szCs w:val="18"/>
        </w:rPr>
        <w:t xml:space="preserve">De aanpak van desinformatie is ook een aandachtspunt. Bij de NAVO-top in de Verenigde Staten (2024) en Litouwen (2023) was hier sprake van. Burgers en media worden daarom in aanloop naar en tijdens de top gewezen op het risico van desinformatie en nepnieuws over de NAVO-top. Hierbij wordt verwezen naar rijksoverheid.nl voor de juiste en actuele informatie. Tijdens de top wordt er in samenwerking met verschillende departementen bepaald hoe er op desinformatie gereageerd kan worden op basis van bestaande structuren en middelen. </w:t>
      </w:r>
    </w:p>
    <w:p w:rsidRPr="00931CA1" w:rsidR="005B3440" w:rsidP="0037614E" w:rsidRDefault="00F70250" w14:paraId="7802F6F7" w14:textId="51B8375B">
      <w:pPr>
        <w:tabs>
          <w:tab w:val="left" w:pos="4486"/>
          <w:tab w:val="left" w:pos="5076"/>
        </w:tabs>
        <w:spacing w:line="276" w:lineRule="auto"/>
        <w:rPr>
          <w:rFonts w:ascii="Verdana" w:hAnsi="Verdana"/>
          <w:b/>
          <w:bCs/>
          <w:sz w:val="18"/>
          <w:szCs w:val="18"/>
        </w:rPr>
      </w:pPr>
      <w:r w:rsidRPr="00931CA1">
        <w:rPr>
          <w:rFonts w:ascii="Verdana" w:hAnsi="Verdana"/>
          <w:b/>
          <w:bCs/>
          <w:sz w:val="18"/>
          <w:szCs w:val="18"/>
        </w:rPr>
        <w:t>Berekeningswijze</w:t>
      </w:r>
    </w:p>
    <w:p w:rsidRPr="00931CA1" w:rsidR="00C832F9" w:rsidP="0037614E" w:rsidRDefault="00C832F9" w14:paraId="4FC501B0" w14:textId="5F5F2731">
      <w:pPr>
        <w:spacing w:line="276" w:lineRule="auto"/>
        <w:rPr>
          <w:rFonts w:ascii="Verdana" w:hAnsi="Verdana"/>
          <w:sz w:val="18"/>
          <w:szCs w:val="18"/>
        </w:rPr>
      </w:pPr>
      <w:r w:rsidRPr="00931CA1">
        <w:rPr>
          <w:rFonts w:ascii="Verdana" w:hAnsi="Verdana"/>
          <w:sz w:val="18"/>
          <w:szCs w:val="18"/>
        </w:rPr>
        <w:t xml:space="preserve">Tot slot geven wij graag invulling aan de toezegging van de </w:t>
      </w:r>
      <w:r w:rsidRPr="00931CA1" w:rsidR="0037614E">
        <w:rPr>
          <w:rFonts w:ascii="Verdana" w:hAnsi="Verdana"/>
          <w:sz w:val="18"/>
          <w:szCs w:val="18"/>
        </w:rPr>
        <w:t>m</w:t>
      </w:r>
      <w:r w:rsidRPr="00931CA1">
        <w:rPr>
          <w:rFonts w:ascii="Verdana" w:hAnsi="Verdana"/>
          <w:sz w:val="18"/>
          <w:szCs w:val="18"/>
        </w:rPr>
        <w:t>inister-</w:t>
      </w:r>
      <w:r w:rsidRPr="00931CA1" w:rsidR="0037614E">
        <w:rPr>
          <w:rFonts w:ascii="Verdana" w:hAnsi="Verdana"/>
          <w:sz w:val="18"/>
          <w:szCs w:val="18"/>
        </w:rPr>
        <w:t>p</w:t>
      </w:r>
      <w:r w:rsidRPr="00931CA1">
        <w:rPr>
          <w:rFonts w:ascii="Verdana" w:hAnsi="Verdana"/>
          <w:sz w:val="18"/>
          <w:szCs w:val="18"/>
        </w:rPr>
        <w:t xml:space="preserve">resident aan uw Kamer voor nadere uitleg rondom de verschillende berekeningswijzen tussen Nederland en de NAVO waarmee de invulling van de </w:t>
      </w:r>
      <w:proofErr w:type="spellStart"/>
      <w:r w:rsidRPr="00931CA1">
        <w:rPr>
          <w:rFonts w:ascii="Verdana" w:hAnsi="Verdana"/>
          <w:i/>
          <w:iCs/>
          <w:sz w:val="18"/>
          <w:szCs w:val="18"/>
        </w:rPr>
        <w:t>Defence</w:t>
      </w:r>
      <w:proofErr w:type="spellEnd"/>
      <w:r w:rsidRPr="00931CA1">
        <w:rPr>
          <w:rFonts w:ascii="Verdana" w:hAnsi="Verdana"/>
          <w:i/>
          <w:iCs/>
          <w:sz w:val="18"/>
          <w:szCs w:val="18"/>
        </w:rPr>
        <w:t xml:space="preserve"> Investment </w:t>
      </w:r>
      <w:proofErr w:type="spellStart"/>
      <w:r w:rsidRPr="00931CA1">
        <w:rPr>
          <w:rFonts w:ascii="Verdana" w:hAnsi="Verdana"/>
          <w:i/>
          <w:iCs/>
          <w:sz w:val="18"/>
          <w:szCs w:val="18"/>
        </w:rPr>
        <w:t>Pledge</w:t>
      </w:r>
      <w:proofErr w:type="spellEnd"/>
      <w:r w:rsidRPr="00931CA1">
        <w:rPr>
          <w:rFonts w:ascii="Verdana" w:hAnsi="Verdana"/>
          <w:i/>
          <w:iCs/>
          <w:sz w:val="18"/>
          <w:szCs w:val="18"/>
        </w:rPr>
        <w:t xml:space="preserve"> </w:t>
      </w:r>
      <w:r w:rsidRPr="00931CA1">
        <w:rPr>
          <w:rFonts w:ascii="Verdana" w:hAnsi="Verdana"/>
          <w:sz w:val="18"/>
          <w:szCs w:val="18"/>
        </w:rPr>
        <w:t>wordt berekend. Vooropgesteld, er is momenteel één norm, te weten 2% van het BBP. Of Nederland deze norm haalt, wordt bepaald door twee factoren: de hoogte van de Defensie-uitgaven en de omvang van de Nederlandse economie (bbp). Beide factoren kunnen op verschillende manier worden berekend.</w:t>
      </w:r>
    </w:p>
    <w:p w:rsidRPr="00931CA1" w:rsidR="00C832F9" w:rsidP="0037614E" w:rsidRDefault="00C832F9" w14:paraId="53DE9521" w14:textId="77777777">
      <w:pPr>
        <w:spacing w:line="276" w:lineRule="auto"/>
        <w:rPr>
          <w:rFonts w:ascii="Verdana" w:hAnsi="Verdana"/>
          <w:sz w:val="18"/>
          <w:szCs w:val="18"/>
        </w:rPr>
      </w:pPr>
      <w:r w:rsidRPr="00931CA1">
        <w:rPr>
          <w:rFonts w:ascii="Verdana" w:hAnsi="Verdana"/>
          <w:sz w:val="18"/>
          <w:szCs w:val="18"/>
        </w:rPr>
        <w:t>Zoals eerder aan uw Kamer</w:t>
      </w:r>
      <w:r w:rsidRPr="00931CA1">
        <w:rPr>
          <w:rStyle w:val="FootnoteReference"/>
          <w:rFonts w:ascii="Verdana" w:hAnsi="Verdana"/>
          <w:sz w:val="18"/>
          <w:szCs w:val="18"/>
        </w:rPr>
        <w:footnoteReference w:id="6"/>
      </w:r>
      <w:r w:rsidRPr="00931CA1">
        <w:rPr>
          <w:rFonts w:ascii="Verdana" w:hAnsi="Verdana"/>
          <w:sz w:val="18"/>
          <w:szCs w:val="18"/>
        </w:rPr>
        <w:t xml:space="preserve"> gemeld verschillen de twee berekeningswijzen van elkaar: </w:t>
      </w:r>
    </w:p>
    <w:p w:rsidRPr="00931CA1" w:rsidR="00C832F9" w:rsidP="0037614E" w:rsidRDefault="00C832F9" w14:paraId="1D0BE4D0" w14:textId="77777777">
      <w:pPr>
        <w:pStyle w:val="ListParagraph"/>
        <w:numPr>
          <w:ilvl w:val="0"/>
          <w:numId w:val="8"/>
        </w:numPr>
        <w:spacing w:line="276" w:lineRule="auto"/>
        <w:rPr>
          <w:rFonts w:ascii="Verdana" w:hAnsi="Verdana"/>
          <w:sz w:val="18"/>
          <w:szCs w:val="18"/>
        </w:rPr>
      </w:pPr>
      <w:r w:rsidRPr="00931CA1">
        <w:rPr>
          <w:rFonts w:ascii="Verdana" w:hAnsi="Verdana"/>
          <w:sz w:val="18"/>
          <w:szCs w:val="18"/>
        </w:rPr>
        <w:t>de defensie-uitgaven en het bbp worden door de NAVO teruggerekend naar een specifiek prijspeil. Hierdoor worden de uitgaven gecorrigeerd voor verschillen in prijseffecten tussen bondgenoten (inflatie), waardoor de volume-effecten inzichtelijk en consistent worden gemaakt. In de Nederlandse berekeningswijze gebeurt dit niet en worden de defensie-uitgaven en het bbp in prijzen van het betreffende begrotingsjaar gepresenteerd. Omdat de NAVO verschillende deflatoren hanteert voor zowel de defensie-uitgaven als het bbp, leidt dit tot een verschil in de Nederlandse en de NAVO-berekeningswijze.</w:t>
      </w:r>
    </w:p>
    <w:p w:rsidRPr="00931CA1" w:rsidR="00C832F9" w:rsidP="0037614E" w:rsidRDefault="00C832F9" w14:paraId="6C55C086" w14:textId="77777777">
      <w:pPr>
        <w:pStyle w:val="ListParagraph"/>
        <w:numPr>
          <w:ilvl w:val="0"/>
          <w:numId w:val="8"/>
        </w:numPr>
        <w:spacing w:line="276" w:lineRule="auto"/>
        <w:rPr>
          <w:rFonts w:ascii="Verdana" w:hAnsi="Verdana"/>
          <w:sz w:val="18"/>
          <w:szCs w:val="18"/>
        </w:rPr>
      </w:pPr>
      <w:r w:rsidRPr="00931CA1">
        <w:rPr>
          <w:rFonts w:ascii="Verdana" w:hAnsi="Verdana"/>
          <w:sz w:val="18"/>
          <w:szCs w:val="18"/>
        </w:rPr>
        <w:t>Daarnaast hanteert de NAVO voor de bbp-raming cijfers van de OESO, waarbij Nederland hiervoor – conform de initiatiefwet en de Wet houdbare overheidsfinanciën</w:t>
      </w:r>
      <w:r w:rsidRPr="00931CA1">
        <w:rPr>
          <w:rStyle w:val="FootnoteReference"/>
          <w:rFonts w:ascii="Verdana" w:hAnsi="Verdana"/>
          <w:sz w:val="18"/>
          <w:szCs w:val="18"/>
        </w:rPr>
        <w:footnoteReference w:id="7"/>
      </w:r>
      <w:r w:rsidRPr="00931CA1">
        <w:rPr>
          <w:rFonts w:ascii="Verdana" w:hAnsi="Verdana"/>
          <w:sz w:val="18"/>
          <w:szCs w:val="18"/>
        </w:rPr>
        <w:t xml:space="preserve">  – gebruik maakt van de CPB-raming.</w:t>
      </w:r>
    </w:p>
    <w:p w:rsidRPr="00931CA1" w:rsidR="00C832F9" w:rsidP="0037614E" w:rsidRDefault="00C832F9" w14:paraId="30C7C107" w14:textId="77777777">
      <w:pPr>
        <w:spacing w:line="276" w:lineRule="auto"/>
        <w:rPr>
          <w:rFonts w:ascii="Verdana" w:hAnsi="Verdana"/>
          <w:sz w:val="18"/>
          <w:szCs w:val="18"/>
        </w:rPr>
      </w:pPr>
      <w:r w:rsidRPr="00931CA1">
        <w:rPr>
          <w:rFonts w:ascii="Verdana" w:hAnsi="Verdana"/>
          <w:bCs/>
          <w:sz w:val="18"/>
          <w:szCs w:val="18"/>
        </w:rPr>
        <w:t xml:space="preserve">We begrijpen dat het gebruik van twee verschillende berekeningswijzen naast elkaar voor verwarring zorgt. </w:t>
      </w:r>
      <w:r w:rsidRPr="00931CA1">
        <w:rPr>
          <w:rFonts w:ascii="Verdana" w:hAnsi="Verdana"/>
          <w:sz w:val="18"/>
          <w:szCs w:val="18"/>
        </w:rPr>
        <w:t xml:space="preserve">Voor de NAVO-norm zijn  echter twee zaken van belang. Ten eerste moet bepaald worden of de norm behaald is. Ten tweede moet geld gereserveerd worden voor de komende jaren op de begroting van defensie. </w:t>
      </w:r>
    </w:p>
    <w:p w:rsidRPr="00931CA1" w:rsidR="00C832F9" w:rsidP="0037614E" w:rsidRDefault="00C832F9" w14:paraId="7A44F631" w14:textId="77777777">
      <w:pPr>
        <w:spacing w:line="276" w:lineRule="auto"/>
        <w:rPr>
          <w:rFonts w:ascii="Verdana" w:hAnsi="Verdana"/>
          <w:sz w:val="18"/>
          <w:szCs w:val="18"/>
        </w:rPr>
      </w:pPr>
      <w:r w:rsidRPr="00931CA1">
        <w:rPr>
          <w:rFonts w:ascii="Verdana" w:hAnsi="Verdana"/>
          <w:sz w:val="18"/>
          <w:szCs w:val="18"/>
        </w:rPr>
        <w:t>Om te bepalen of de NAVO-norm gehaald is, is de rapportage die de NAVO beschikbaar stelt volgens de NAVO berekeningswijze relevant. Deze berekeningswijze geldt voor alle NAVO-bondgenoten en maakt het daarmee mogelijk om de NAVO-prestaties van bondgenoten onderling te vergelijken. Dat is belangrijk, want bondgenoten rekenen elkaar hierop af. Als elk land een individuele systematiek zou hanteren, zou je het niet mogelijk zijn om consistente vergelijkingen te trekken.</w:t>
      </w:r>
    </w:p>
    <w:p w:rsidRPr="00931CA1" w:rsidR="00C832F9" w:rsidP="0037614E" w:rsidRDefault="00C832F9" w14:paraId="6938C236" w14:textId="5A0E9FA2">
      <w:pPr>
        <w:spacing w:line="276" w:lineRule="auto"/>
        <w:rPr>
          <w:rFonts w:ascii="Verdana" w:hAnsi="Verdana"/>
          <w:sz w:val="18"/>
          <w:szCs w:val="18"/>
        </w:rPr>
      </w:pPr>
      <w:r w:rsidRPr="00931CA1">
        <w:rPr>
          <w:rFonts w:ascii="Verdana" w:hAnsi="Verdana"/>
          <w:sz w:val="18"/>
          <w:szCs w:val="18"/>
        </w:rPr>
        <w:lastRenderedPageBreak/>
        <w:t>Bij het opstellen van de begroting maakt Nederland gebruik van de Nederlandse berekeningswijze om de omvang van de defensie-uitgaven te bepalen, zoals is toegelicht in de Voorjaarsnota 2025</w:t>
      </w:r>
      <w:r w:rsidRPr="00931CA1">
        <w:rPr>
          <w:rStyle w:val="FootnoteReference"/>
          <w:rFonts w:ascii="Verdana" w:hAnsi="Verdana"/>
          <w:sz w:val="18"/>
          <w:szCs w:val="18"/>
        </w:rPr>
        <w:footnoteReference w:id="8"/>
      </w:r>
      <w:r w:rsidRPr="00931CA1">
        <w:rPr>
          <w:rFonts w:ascii="Verdana" w:hAnsi="Verdana"/>
          <w:sz w:val="18"/>
          <w:szCs w:val="18"/>
        </w:rPr>
        <w:t>. Dit wordt ook gedaan om de consistentie met andere begrotingen te borgen, en ervoor te zorgen dat deze op basis van dezelfde uniforme uitgangspunten worden opgesteld.</w:t>
      </w:r>
      <w:r w:rsidRPr="00931CA1">
        <w:rPr>
          <w:rFonts w:ascii="Verdana" w:hAnsi="Verdana" w:cs="Times New Roman"/>
          <w:sz w:val="18"/>
          <w:szCs w:val="18"/>
        </w:rPr>
        <w:t xml:space="preserve"> </w:t>
      </w:r>
      <w:r w:rsidRPr="00931CA1">
        <w:rPr>
          <w:rFonts w:ascii="Verdana" w:hAnsi="Verdana"/>
          <w:sz w:val="18"/>
          <w:szCs w:val="18"/>
        </w:rPr>
        <w:t xml:space="preserve">Voor de integrale weging over de besteding van belastinggeld is het belangrijk dat er geen appels met peren worden vergeleken. Daarbij komt ook dat het niet mogelijk is om de NAVO-berekeningswijze te hanteren voor het opstellen van de ontwerpbegrotingen omdat de NAVO geen meerjarencijfers publiceert, en deze dus dit niet gebruikt kunnen worden voor meerjarige prognoses. Het is niet </w:t>
      </w:r>
      <w:r w:rsidRPr="00931CA1">
        <w:rPr>
          <w:rFonts w:ascii="Verdana" w:hAnsi="Verdana"/>
          <w:bCs/>
          <w:sz w:val="18"/>
          <w:szCs w:val="18"/>
        </w:rPr>
        <w:t>uitvoerbaar</w:t>
      </w:r>
      <w:r w:rsidRPr="00931CA1">
        <w:rPr>
          <w:rFonts w:ascii="Verdana" w:hAnsi="Verdana"/>
          <w:sz w:val="18"/>
          <w:szCs w:val="18"/>
        </w:rPr>
        <w:t xml:space="preserve">, noch wenselijk, om </w:t>
      </w:r>
      <w:r w:rsidRPr="00931CA1">
        <w:rPr>
          <w:rFonts w:ascii="Verdana" w:hAnsi="Verdana"/>
          <w:bCs/>
          <w:sz w:val="18"/>
          <w:szCs w:val="18"/>
        </w:rPr>
        <w:t xml:space="preserve">voor de Ontwerpbegroting, Jaarverslag en de Wet Financiële Defensieverplichtingen </w:t>
      </w:r>
      <w:r w:rsidRPr="00931CA1">
        <w:rPr>
          <w:rFonts w:ascii="Verdana" w:hAnsi="Verdana"/>
          <w:sz w:val="18"/>
          <w:szCs w:val="18"/>
        </w:rPr>
        <w:t>gebruik te maken van de NAVO-berekeningswijze.</w:t>
      </w:r>
    </w:p>
    <w:p w:rsidRPr="00931CA1" w:rsidR="00C832F9" w:rsidP="0037614E" w:rsidRDefault="00C832F9" w14:paraId="417F7892" w14:textId="77777777">
      <w:pPr>
        <w:spacing w:line="276" w:lineRule="auto"/>
        <w:rPr>
          <w:rFonts w:ascii="Verdana" w:hAnsi="Verdana"/>
          <w:sz w:val="18"/>
          <w:szCs w:val="18"/>
        </w:rPr>
      </w:pPr>
      <w:r w:rsidRPr="00931CA1">
        <w:rPr>
          <w:rFonts w:ascii="Verdana" w:hAnsi="Verdana"/>
          <w:sz w:val="18"/>
          <w:szCs w:val="18"/>
        </w:rPr>
        <w:t xml:space="preserve">Internationaal blijven de cijfers van de NAVO leidend. Defensie zal uw Kamer blijven informeren over de uitkomsten van de berekeningen van de NAVO en zal met de NAVO in gesprek gaan om mogelijkheden te verkennen de verschillen in de berekeningswijzen te laten convergeren. </w:t>
      </w:r>
    </w:p>
    <w:p w:rsidRPr="00931CA1" w:rsidR="00C832F9" w:rsidP="0037614E" w:rsidRDefault="00C832F9" w14:paraId="5241428B" w14:textId="6656E445">
      <w:pPr>
        <w:spacing w:line="276" w:lineRule="auto"/>
        <w:rPr>
          <w:rFonts w:ascii="Verdana" w:hAnsi="Verdana"/>
          <w:sz w:val="18"/>
          <w:szCs w:val="18"/>
        </w:rPr>
      </w:pPr>
      <w:r w:rsidRPr="00931CA1">
        <w:rPr>
          <w:rFonts w:ascii="Verdana" w:hAnsi="Verdana"/>
          <w:sz w:val="18"/>
          <w:szCs w:val="18"/>
        </w:rPr>
        <w:t xml:space="preserve">Tot slot heeft Nederland voor het jaarverslag van de NAVO de Nederlandse begrotingsstanden aangeleverd inclusief en exclusief uitgaven voor militaire Oekraïne-steun. De NAVO heeft in het jaarverslag </w:t>
      </w:r>
      <w:r w:rsidRPr="00931CA1">
        <w:rPr>
          <w:rStyle w:val="FootnoteReference"/>
          <w:rFonts w:ascii="Verdana" w:hAnsi="Verdana"/>
          <w:sz w:val="18"/>
          <w:szCs w:val="18"/>
        </w:rPr>
        <w:footnoteReference w:id="9"/>
      </w:r>
      <w:r w:rsidRPr="00931CA1">
        <w:rPr>
          <w:rFonts w:ascii="Verdana" w:hAnsi="Verdana"/>
          <w:sz w:val="18"/>
          <w:szCs w:val="18"/>
        </w:rPr>
        <w:t xml:space="preserve"> gebruik gemaakt van de realisatiecijfers inclusief militaire Oekraïne-steun. In lijn met de initiatiefwet wordt het defensiebudget bepaald op basis van 2% bbp exclusief militaire steun aan Oekraïne. </w:t>
      </w:r>
    </w:p>
    <w:p w:rsidRPr="00931CA1" w:rsidR="00C832F9" w:rsidP="0037614E" w:rsidRDefault="00C832F9" w14:paraId="2CA2AF9B" w14:textId="77777777">
      <w:pPr>
        <w:pStyle w:val="Caption"/>
        <w:keepNext/>
        <w:spacing w:line="276" w:lineRule="auto"/>
        <w:rPr>
          <w:rFonts w:ascii="Verdana" w:hAnsi="Verdana"/>
          <w:color w:val="auto"/>
        </w:rPr>
      </w:pPr>
      <w:r w:rsidRPr="00931CA1">
        <w:rPr>
          <w:rFonts w:ascii="Verdana" w:hAnsi="Verdana"/>
          <w:color w:val="auto"/>
        </w:rPr>
        <w:t xml:space="preserve">Tabel </w:t>
      </w:r>
      <w:r w:rsidRPr="00931CA1">
        <w:rPr>
          <w:rFonts w:ascii="Verdana" w:hAnsi="Verdana"/>
          <w:color w:val="auto"/>
        </w:rPr>
        <w:fldChar w:fldCharType="begin"/>
      </w:r>
      <w:r w:rsidRPr="00931CA1">
        <w:rPr>
          <w:rFonts w:ascii="Verdana" w:hAnsi="Verdana"/>
          <w:color w:val="auto"/>
        </w:rPr>
        <w:instrText xml:space="preserve"> SEQ Tabel \* ARABIC </w:instrText>
      </w:r>
      <w:r w:rsidRPr="00931CA1">
        <w:rPr>
          <w:rFonts w:ascii="Verdana" w:hAnsi="Verdana"/>
          <w:color w:val="auto"/>
        </w:rPr>
        <w:fldChar w:fldCharType="separate"/>
      </w:r>
      <w:r w:rsidRPr="00931CA1">
        <w:rPr>
          <w:rFonts w:ascii="Verdana" w:hAnsi="Verdana"/>
          <w:noProof/>
          <w:color w:val="auto"/>
        </w:rPr>
        <w:t>1</w:t>
      </w:r>
      <w:r w:rsidRPr="00931CA1">
        <w:rPr>
          <w:rFonts w:ascii="Verdana" w:hAnsi="Verdana"/>
          <w:noProof/>
          <w:color w:val="auto"/>
        </w:rPr>
        <w:fldChar w:fldCharType="end"/>
      </w:r>
      <w:r w:rsidRPr="00931CA1">
        <w:rPr>
          <w:rFonts w:ascii="Verdana" w:hAnsi="Verdana"/>
          <w:color w:val="auto"/>
        </w:rPr>
        <w:t>. NAVO-percentages cf. verschillende berekeningswijzen.</w:t>
      </w:r>
    </w:p>
    <w:tbl>
      <w:tblPr>
        <w:tblStyle w:val="TableGrid"/>
        <w:tblW w:w="0" w:type="auto"/>
        <w:tblLayout w:type="fixed"/>
        <w:tblLook w:val="04A0" w:firstRow="1" w:lastRow="0" w:firstColumn="1" w:lastColumn="0" w:noHBand="0" w:noVBand="1"/>
      </w:tblPr>
      <w:tblGrid>
        <w:gridCol w:w="1887"/>
        <w:gridCol w:w="1652"/>
        <w:gridCol w:w="647"/>
        <w:gridCol w:w="805"/>
        <w:gridCol w:w="805"/>
        <w:gridCol w:w="805"/>
        <w:gridCol w:w="805"/>
        <w:gridCol w:w="805"/>
        <w:gridCol w:w="805"/>
      </w:tblGrid>
      <w:tr w:rsidRPr="00931CA1" w:rsidR="00C832F9" w:rsidTr="00931CA1" w14:paraId="6EC80BA0" w14:textId="77777777">
        <w:tc>
          <w:tcPr>
            <w:tcW w:w="1887" w:type="dxa"/>
          </w:tcPr>
          <w:p w:rsidRPr="00931CA1" w:rsidR="00C832F9" w:rsidP="0037614E" w:rsidRDefault="00C832F9" w14:paraId="7837905E" w14:textId="77777777">
            <w:pPr>
              <w:spacing w:line="276" w:lineRule="auto"/>
              <w:rPr>
                <w:rFonts w:ascii="Verdana" w:hAnsi="Verdana"/>
                <w:sz w:val="18"/>
                <w:szCs w:val="18"/>
              </w:rPr>
            </w:pPr>
          </w:p>
        </w:tc>
        <w:tc>
          <w:tcPr>
            <w:tcW w:w="1652" w:type="dxa"/>
          </w:tcPr>
          <w:p w:rsidRPr="00931CA1" w:rsidR="00C832F9" w:rsidP="0037614E" w:rsidRDefault="00C832F9" w14:paraId="06AA55CC" w14:textId="77777777">
            <w:pPr>
              <w:spacing w:line="276" w:lineRule="auto"/>
              <w:rPr>
                <w:rFonts w:ascii="Verdana" w:hAnsi="Verdana"/>
                <w:sz w:val="18"/>
                <w:szCs w:val="18"/>
              </w:rPr>
            </w:pPr>
          </w:p>
        </w:tc>
        <w:tc>
          <w:tcPr>
            <w:tcW w:w="647" w:type="dxa"/>
          </w:tcPr>
          <w:p w:rsidRPr="00931CA1" w:rsidR="00C832F9" w:rsidP="0037614E" w:rsidRDefault="00C832F9" w14:paraId="4FAA1919" w14:textId="77777777">
            <w:pPr>
              <w:spacing w:line="276" w:lineRule="auto"/>
              <w:rPr>
                <w:rFonts w:ascii="Verdana" w:hAnsi="Verdana"/>
                <w:sz w:val="18"/>
                <w:szCs w:val="18"/>
              </w:rPr>
            </w:pPr>
            <w:r w:rsidRPr="00931CA1">
              <w:rPr>
                <w:rFonts w:ascii="Verdana" w:hAnsi="Verdana"/>
                <w:sz w:val="18"/>
                <w:szCs w:val="18"/>
              </w:rPr>
              <w:t>2024</w:t>
            </w:r>
          </w:p>
        </w:tc>
        <w:tc>
          <w:tcPr>
            <w:tcW w:w="805" w:type="dxa"/>
            <w:vAlign w:val="center"/>
          </w:tcPr>
          <w:p w:rsidRPr="00931CA1" w:rsidR="00C832F9" w:rsidP="0037614E" w:rsidRDefault="00C832F9" w14:paraId="4B91B171" w14:textId="77777777">
            <w:pPr>
              <w:spacing w:line="276" w:lineRule="auto"/>
              <w:rPr>
                <w:rFonts w:ascii="Verdana" w:hAnsi="Verdana"/>
                <w:sz w:val="18"/>
                <w:szCs w:val="18"/>
              </w:rPr>
            </w:pPr>
            <w:r w:rsidRPr="00931CA1">
              <w:rPr>
                <w:rFonts w:ascii="Verdana" w:hAnsi="Verdana"/>
                <w:sz w:val="18"/>
                <w:szCs w:val="18"/>
              </w:rPr>
              <w:t>2025</w:t>
            </w:r>
          </w:p>
        </w:tc>
        <w:tc>
          <w:tcPr>
            <w:tcW w:w="805" w:type="dxa"/>
            <w:vAlign w:val="center"/>
          </w:tcPr>
          <w:p w:rsidRPr="00931CA1" w:rsidR="00C832F9" w:rsidP="0037614E" w:rsidRDefault="00C832F9" w14:paraId="2F512254" w14:textId="77777777">
            <w:pPr>
              <w:spacing w:line="276" w:lineRule="auto"/>
              <w:rPr>
                <w:rFonts w:ascii="Verdana" w:hAnsi="Verdana"/>
                <w:sz w:val="18"/>
                <w:szCs w:val="18"/>
              </w:rPr>
            </w:pPr>
            <w:r w:rsidRPr="00931CA1">
              <w:rPr>
                <w:rFonts w:ascii="Verdana" w:hAnsi="Verdana"/>
                <w:sz w:val="18"/>
                <w:szCs w:val="18"/>
              </w:rPr>
              <w:t>2026</w:t>
            </w:r>
          </w:p>
        </w:tc>
        <w:tc>
          <w:tcPr>
            <w:tcW w:w="805" w:type="dxa"/>
            <w:vAlign w:val="center"/>
          </w:tcPr>
          <w:p w:rsidRPr="00931CA1" w:rsidR="00C832F9" w:rsidP="0037614E" w:rsidRDefault="00C832F9" w14:paraId="569EC808" w14:textId="77777777">
            <w:pPr>
              <w:spacing w:line="276" w:lineRule="auto"/>
              <w:rPr>
                <w:rFonts w:ascii="Verdana" w:hAnsi="Verdana"/>
                <w:sz w:val="18"/>
                <w:szCs w:val="18"/>
              </w:rPr>
            </w:pPr>
            <w:r w:rsidRPr="00931CA1">
              <w:rPr>
                <w:rFonts w:ascii="Verdana" w:hAnsi="Verdana"/>
                <w:sz w:val="18"/>
                <w:szCs w:val="18"/>
              </w:rPr>
              <w:t>2027</w:t>
            </w:r>
          </w:p>
        </w:tc>
        <w:tc>
          <w:tcPr>
            <w:tcW w:w="805" w:type="dxa"/>
            <w:vAlign w:val="center"/>
          </w:tcPr>
          <w:p w:rsidRPr="00931CA1" w:rsidR="00C832F9" w:rsidP="0037614E" w:rsidRDefault="00C832F9" w14:paraId="246CBABE" w14:textId="77777777">
            <w:pPr>
              <w:spacing w:line="276" w:lineRule="auto"/>
              <w:rPr>
                <w:rFonts w:ascii="Verdana" w:hAnsi="Verdana"/>
                <w:sz w:val="18"/>
                <w:szCs w:val="18"/>
              </w:rPr>
            </w:pPr>
            <w:r w:rsidRPr="00931CA1">
              <w:rPr>
                <w:rFonts w:ascii="Verdana" w:hAnsi="Verdana"/>
                <w:sz w:val="18"/>
                <w:szCs w:val="18"/>
              </w:rPr>
              <w:t>2028</w:t>
            </w:r>
          </w:p>
        </w:tc>
        <w:tc>
          <w:tcPr>
            <w:tcW w:w="805" w:type="dxa"/>
            <w:vAlign w:val="center"/>
          </w:tcPr>
          <w:p w:rsidRPr="00931CA1" w:rsidR="00C832F9" w:rsidP="0037614E" w:rsidRDefault="00C832F9" w14:paraId="7A44CAB6" w14:textId="77777777">
            <w:pPr>
              <w:spacing w:line="276" w:lineRule="auto"/>
              <w:rPr>
                <w:rFonts w:ascii="Verdana" w:hAnsi="Verdana"/>
                <w:sz w:val="18"/>
                <w:szCs w:val="18"/>
              </w:rPr>
            </w:pPr>
            <w:r w:rsidRPr="00931CA1">
              <w:rPr>
                <w:rFonts w:ascii="Verdana" w:hAnsi="Verdana"/>
                <w:sz w:val="18"/>
                <w:szCs w:val="18"/>
              </w:rPr>
              <w:t>2029</w:t>
            </w:r>
          </w:p>
        </w:tc>
        <w:tc>
          <w:tcPr>
            <w:tcW w:w="805" w:type="dxa"/>
            <w:vAlign w:val="center"/>
          </w:tcPr>
          <w:p w:rsidRPr="00931CA1" w:rsidR="00C832F9" w:rsidP="0037614E" w:rsidRDefault="00C832F9" w14:paraId="3C219118" w14:textId="77777777">
            <w:pPr>
              <w:spacing w:line="276" w:lineRule="auto"/>
              <w:rPr>
                <w:rFonts w:ascii="Verdana" w:hAnsi="Verdana"/>
                <w:sz w:val="18"/>
                <w:szCs w:val="18"/>
              </w:rPr>
            </w:pPr>
            <w:r w:rsidRPr="00931CA1">
              <w:rPr>
                <w:rFonts w:ascii="Verdana" w:hAnsi="Verdana"/>
                <w:sz w:val="18"/>
                <w:szCs w:val="18"/>
              </w:rPr>
              <w:t>2030</w:t>
            </w:r>
          </w:p>
        </w:tc>
      </w:tr>
      <w:tr w:rsidRPr="00931CA1" w:rsidR="00C832F9" w:rsidTr="00931CA1" w14:paraId="0086CE23" w14:textId="77777777">
        <w:tc>
          <w:tcPr>
            <w:tcW w:w="1887" w:type="dxa"/>
            <w:vMerge w:val="restart"/>
          </w:tcPr>
          <w:p w:rsidRPr="00931CA1" w:rsidR="00C832F9" w:rsidP="0037614E" w:rsidRDefault="00C832F9" w14:paraId="0B72E506" w14:textId="77777777">
            <w:pPr>
              <w:spacing w:line="276" w:lineRule="auto"/>
              <w:rPr>
                <w:rFonts w:ascii="Verdana" w:hAnsi="Verdana"/>
                <w:sz w:val="18"/>
                <w:szCs w:val="18"/>
              </w:rPr>
            </w:pPr>
            <w:r w:rsidRPr="00931CA1">
              <w:rPr>
                <w:rFonts w:ascii="Verdana" w:hAnsi="Verdana"/>
                <w:sz w:val="18"/>
                <w:szCs w:val="18"/>
              </w:rPr>
              <w:t>Nederlandse berekeningswijze</w:t>
            </w:r>
            <w:r w:rsidRPr="00931CA1">
              <w:rPr>
                <w:rStyle w:val="FootnoteReference"/>
                <w:rFonts w:ascii="Verdana" w:hAnsi="Verdana"/>
                <w:sz w:val="18"/>
                <w:szCs w:val="18"/>
              </w:rPr>
              <w:footnoteReference w:id="10"/>
            </w:r>
          </w:p>
        </w:tc>
        <w:tc>
          <w:tcPr>
            <w:tcW w:w="1652" w:type="dxa"/>
            <w:vAlign w:val="center"/>
          </w:tcPr>
          <w:p w:rsidRPr="00931CA1" w:rsidR="00C832F9" w:rsidP="0037614E" w:rsidRDefault="00C832F9" w14:paraId="51C8E03C" w14:textId="77777777">
            <w:pPr>
              <w:spacing w:line="276" w:lineRule="auto"/>
              <w:rPr>
                <w:rFonts w:ascii="Verdana" w:hAnsi="Verdana"/>
                <w:sz w:val="18"/>
                <w:szCs w:val="18"/>
              </w:rPr>
            </w:pPr>
            <w:r w:rsidRPr="00931CA1">
              <w:rPr>
                <w:rFonts w:ascii="Verdana" w:hAnsi="Verdana"/>
                <w:sz w:val="18"/>
                <w:szCs w:val="18"/>
              </w:rPr>
              <w:t>%-bbp, excl. Oekraïnesteun</w:t>
            </w:r>
          </w:p>
        </w:tc>
        <w:tc>
          <w:tcPr>
            <w:tcW w:w="647" w:type="dxa"/>
          </w:tcPr>
          <w:p w:rsidRPr="00931CA1" w:rsidR="00C832F9" w:rsidP="0037614E" w:rsidRDefault="00C832F9" w14:paraId="224F3B76" w14:textId="77777777">
            <w:pPr>
              <w:spacing w:line="276" w:lineRule="auto"/>
              <w:rPr>
                <w:rFonts w:ascii="Verdana" w:hAnsi="Verdana"/>
                <w:sz w:val="18"/>
                <w:szCs w:val="18"/>
              </w:rPr>
            </w:pPr>
            <w:r w:rsidRPr="00931CA1">
              <w:rPr>
                <w:rFonts w:ascii="Verdana" w:hAnsi="Verdana"/>
                <w:sz w:val="18"/>
                <w:szCs w:val="18"/>
              </w:rPr>
              <w:t>1,56%</w:t>
            </w:r>
          </w:p>
        </w:tc>
        <w:tc>
          <w:tcPr>
            <w:tcW w:w="805" w:type="dxa"/>
          </w:tcPr>
          <w:p w:rsidRPr="00931CA1" w:rsidR="00C832F9" w:rsidP="0037614E" w:rsidRDefault="00C832F9" w14:paraId="54A8D34A" w14:textId="77777777">
            <w:pPr>
              <w:spacing w:line="276" w:lineRule="auto"/>
              <w:rPr>
                <w:rFonts w:ascii="Verdana" w:hAnsi="Verdana"/>
                <w:sz w:val="18"/>
                <w:szCs w:val="18"/>
              </w:rPr>
            </w:pPr>
            <w:r w:rsidRPr="00931CA1">
              <w:rPr>
                <w:rFonts w:ascii="Verdana" w:hAnsi="Verdana"/>
                <w:sz w:val="18"/>
                <w:szCs w:val="18"/>
              </w:rPr>
              <w:t>1,79%</w:t>
            </w:r>
          </w:p>
        </w:tc>
        <w:tc>
          <w:tcPr>
            <w:tcW w:w="805" w:type="dxa"/>
          </w:tcPr>
          <w:p w:rsidRPr="00931CA1" w:rsidR="00C832F9" w:rsidP="0037614E" w:rsidRDefault="00C832F9" w14:paraId="6BBEAB47" w14:textId="77777777">
            <w:pPr>
              <w:spacing w:line="276" w:lineRule="auto"/>
              <w:rPr>
                <w:rFonts w:ascii="Verdana" w:hAnsi="Verdana"/>
                <w:sz w:val="18"/>
                <w:szCs w:val="18"/>
              </w:rPr>
            </w:pPr>
            <w:r w:rsidRPr="00931CA1">
              <w:rPr>
                <w:rFonts w:ascii="Verdana" w:hAnsi="Verdana"/>
                <w:sz w:val="18"/>
                <w:szCs w:val="18"/>
              </w:rPr>
              <w:t>2,00%</w:t>
            </w:r>
          </w:p>
        </w:tc>
        <w:tc>
          <w:tcPr>
            <w:tcW w:w="805" w:type="dxa"/>
          </w:tcPr>
          <w:p w:rsidRPr="00931CA1" w:rsidR="00C832F9" w:rsidP="0037614E" w:rsidRDefault="00C832F9" w14:paraId="0CBDA421" w14:textId="77777777">
            <w:pPr>
              <w:spacing w:line="276" w:lineRule="auto"/>
              <w:rPr>
                <w:rFonts w:ascii="Verdana" w:hAnsi="Verdana"/>
                <w:sz w:val="18"/>
                <w:szCs w:val="18"/>
              </w:rPr>
            </w:pPr>
            <w:r w:rsidRPr="00931CA1">
              <w:rPr>
                <w:rFonts w:ascii="Verdana" w:hAnsi="Verdana"/>
                <w:sz w:val="18"/>
                <w:szCs w:val="18"/>
              </w:rPr>
              <w:t>2,05%</w:t>
            </w:r>
          </w:p>
        </w:tc>
        <w:tc>
          <w:tcPr>
            <w:tcW w:w="805" w:type="dxa"/>
          </w:tcPr>
          <w:p w:rsidRPr="00931CA1" w:rsidR="00C832F9" w:rsidP="0037614E" w:rsidRDefault="00C832F9" w14:paraId="624E37AA" w14:textId="77777777">
            <w:pPr>
              <w:spacing w:line="276" w:lineRule="auto"/>
              <w:rPr>
                <w:rFonts w:ascii="Verdana" w:hAnsi="Verdana"/>
                <w:sz w:val="18"/>
                <w:szCs w:val="18"/>
              </w:rPr>
            </w:pPr>
            <w:r w:rsidRPr="00931CA1">
              <w:rPr>
                <w:rFonts w:ascii="Verdana" w:hAnsi="Verdana"/>
                <w:sz w:val="18"/>
                <w:szCs w:val="18"/>
              </w:rPr>
              <w:t>2,08%</w:t>
            </w:r>
          </w:p>
        </w:tc>
        <w:tc>
          <w:tcPr>
            <w:tcW w:w="805" w:type="dxa"/>
          </w:tcPr>
          <w:p w:rsidRPr="00931CA1" w:rsidR="00C832F9" w:rsidP="0037614E" w:rsidRDefault="00C832F9" w14:paraId="6DBA5F01" w14:textId="77777777">
            <w:pPr>
              <w:spacing w:line="276" w:lineRule="auto"/>
              <w:rPr>
                <w:rFonts w:ascii="Verdana" w:hAnsi="Verdana"/>
                <w:sz w:val="18"/>
                <w:szCs w:val="18"/>
              </w:rPr>
            </w:pPr>
            <w:r w:rsidRPr="00931CA1">
              <w:rPr>
                <w:rFonts w:ascii="Verdana" w:hAnsi="Verdana"/>
                <w:sz w:val="18"/>
                <w:szCs w:val="18"/>
              </w:rPr>
              <w:t>2,09%</w:t>
            </w:r>
          </w:p>
        </w:tc>
        <w:tc>
          <w:tcPr>
            <w:tcW w:w="805" w:type="dxa"/>
          </w:tcPr>
          <w:p w:rsidRPr="00931CA1" w:rsidR="00C832F9" w:rsidP="0037614E" w:rsidRDefault="00C832F9" w14:paraId="21DB98EF" w14:textId="77777777">
            <w:pPr>
              <w:spacing w:line="276" w:lineRule="auto"/>
              <w:rPr>
                <w:rFonts w:ascii="Verdana" w:hAnsi="Verdana"/>
                <w:sz w:val="18"/>
                <w:szCs w:val="18"/>
              </w:rPr>
            </w:pPr>
            <w:r w:rsidRPr="00931CA1">
              <w:rPr>
                <w:rFonts w:ascii="Verdana" w:hAnsi="Verdana"/>
                <w:sz w:val="18"/>
                <w:szCs w:val="18"/>
              </w:rPr>
              <w:t>2,05%</w:t>
            </w:r>
          </w:p>
        </w:tc>
      </w:tr>
      <w:tr w:rsidRPr="00931CA1" w:rsidR="00C832F9" w:rsidTr="00931CA1" w14:paraId="30433BEE" w14:textId="77777777">
        <w:tc>
          <w:tcPr>
            <w:tcW w:w="1887" w:type="dxa"/>
            <w:vMerge/>
          </w:tcPr>
          <w:p w:rsidRPr="00931CA1" w:rsidR="00C832F9" w:rsidP="0037614E" w:rsidRDefault="00C832F9" w14:paraId="4E9EC8DD" w14:textId="77777777">
            <w:pPr>
              <w:spacing w:line="276" w:lineRule="auto"/>
              <w:rPr>
                <w:rFonts w:ascii="Verdana" w:hAnsi="Verdana"/>
                <w:sz w:val="18"/>
                <w:szCs w:val="18"/>
              </w:rPr>
            </w:pPr>
          </w:p>
        </w:tc>
        <w:tc>
          <w:tcPr>
            <w:tcW w:w="1652" w:type="dxa"/>
            <w:vAlign w:val="center"/>
          </w:tcPr>
          <w:p w:rsidRPr="00931CA1" w:rsidR="00C832F9" w:rsidP="0037614E" w:rsidRDefault="00C832F9" w14:paraId="3C8CB04F" w14:textId="77777777">
            <w:pPr>
              <w:spacing w:line="276" w:lineRule="auto"/>
              <w:rPr>
                <w:rFonts w:ascii="Verdana" w:hAnsi="Verdana"/>
                <w:sz w:val="18"/>
                <w:szCs w:val="18"/>
              </w:rPr>
            </w:pPr>
            <w:r w:rsidRPr="00931CA1">
              <w:rPr>
                <w:rFonts w:ascii="Verdana" w:hAnsi="Verdana"/>
                <w:sz w:val="18"/>
                <w:szCs w:val="18"/>
              </w:rPr>
              <w:t>%-bbp, incl. Oekraïnesteun</w:t>
            </w:r>
          </w:p>
        </w:tc>
        <w:tc>
          <w:tcPr>
            <w:tcW w:w="647" w:type="dxa"/>
          </w:tcPr>
          <w:p w:rsidRPr="00931CA1" w:rsidR="00C832F9" w:rsidP="0037614E" w:rsidRDefault="00C832F9" w14:paraId="7C54ACD3" w14:textId="77777777">
            <w:pPr>
              <w:spacing w:line="276" w:lineRule="auto"/>
              <w:rPr>
                <w:rFonts w:ascii="Verdana" w:hAnsi="Verdana"/>
                <w:sz w:val="18"/>
                <w:szCs w:val="18"/>
              </w:rPr>
            </w:pPr>
            <w:r w:rsidRPr="00931CA1">
              <w:rPr>
                <w:rFonts w:ascii="Verdana" w:hAnsi="Verdana"/>
                <w:sz w:val="18"/>
                <w:szCs w:val="18"/>
              </w:rPr>
              <w:t>1,79%</w:t>
            </w:r>
          </w:p>
        </w:tc>
        <w:tc>
          <w:tcPr>
            <w:tcW w:w="805" w:type="dxa"/>
          </w:tcPr>
          <w:p w:rsidRPr="00931CA1" w:rsidR="00C832F9" w:rsidP="0037614E" w:rsidRDefault="00C832F9" w14:paraId="57770A98" w14:textId="77777777">
            <w:pPr>
              <w:spacing w:line="276" w:lineRule="auto"/>
              <w:rPr>
                <w:rFonts w:ascii="Verdana" w:hAnsi="Verdana"/>
                <w:sz w:val="18"/>
                <w:szCs w:val="18"/>
              </w:rPr>
            </w:pPr>
            <w:r w:rsidRPr="00931CA1">
              <w:rPr>
                <w:rFonts w:ascii="Verdana" w:hAnsi="Verdana"/>
                <w:sz w:val="18"/>
                <w:szCs w:val="18"/>
              </w:rPr>
              <w:t>2,19%</w:t>
            </w:r>
          </w:p>
        </w:tc>
        <w:tc>
          <w:tcPr>
            <w:tcW w:w="805" w:type="dxa"/>
          </w:tcPr>
          <w:p w:rsidRPr="00931CA1" w:rsidR="00C832F9" w:rsidP="0037614E" w:rsidRDefault="00C832F9" w14:paraId="0CDE5173" w14:textId="77777777">
            <w:pPr>
              <w:spacing w:line="276" w:lineRule="auto"/>
              <w:rPr>
                <w:rFonts w:ascii="Verdana" w:hAnsi="Verdana"/>
                <w:sz w:val="18"/>
                <w:szCs w:val="18"/>
              </w:rPr>
            </w:pPr>
            <w:r w:rsidRPr="00931CA1">
              <w:rPr>
                <w:rFonts w:ascii="Verdana" w:hAnsi="Verdana"/>
                <w:sz w:val="18"/>
                <w:szCs w:val="18"/>
              </w:rPr>
              <w:t>2,21%</w:t>
            </w:r>
          </w:p>
        </w:tc>
        <w:tc>
          <w:tcPr>
            <w:tcW w:w="805" w:type="dxa"/>
          </w:tcPr>
          <w:p w:rsidRPr="00931CA1" w:rsidR="00C832F9" w:rsidP="0037614E" w:rsidRDefault="00C832F9" w14:paraId="47E74F4A" w14:textId="77777777">
            <w:pPr>
              <w:spacing w:line="276" w:lineRule="auto"/>
              <w:rPr>
                <w:rFonts w:ascii="Verdana" w:hAnsi="Verdana"/>
                <w:sz w:val="18"/>
                <w:szCs w:val="18"/>
              </w:rPr>
            </w:pPr>
            <w:r w:rsidRPr="00931CA1">
              <w:rPr>
                <w:rFonts w:ascii="Verdana" w:hAnsi="Verdana"/>
                <w:sz w:val="18"/>
                <w:szCs w:val="18"/>
              </w:rPr>
              <w:t>2,15%</w:t>
            </w:r>
          </w:p>
        </w:tc>
        <w:tc>
          <w:tcPr>
            <w:tcW w:w="805" w:type="dxa"/>
          </w:tcPr>
          <w:p w:rsidRPr="00931CA1" w:rsidR="00C832F9" w:rsidP="0037614E" w:rsidRDefault="00C832F9" w14:paraId="0FD9B1A9" w14:textId="77777777">
            <w:pPr>
              <w:spacing w:line="276" w:lineRule="auto"/>
              <w:rPr>
                <w:rFonts w:ascii="Verdana" w:hAnsi="Verdana"/>
                <w:sz w:val="18"/>
                <w:szCs w:val="18"/>
              </w:rPr>
            </w:pPr>
            <w:r w:rsidRPr="00931CA1">
              <w:rPr>
                <w:rFonts w:ascii="Verdana" w:hAnsi="Verdana"/>
                <w:sz w:val="18"/>
                <w:szCs w:val="18"/>
              </w:rPr>
              <w:t>2,12%</w:t>
            </w:r>
          </w:p>
        </w:tc>
        <w:tc>
          <w:tcPr>
            <w:tcW w:w="805" w:type="dxa"/>
          </w:tcPr>
          <w:p w:rsidRPr="00931CA1" w:rsidR="00C832F9" w:rsidP="0037614E" w:rsidRDefault="00C832F9" w14:paraId="2D8169D3" w14:textId="77777777">
            <w:pPr>
              <w:spacing w:line="276" w:lineRule="auto"/>
              <w:rPr>
                <w:rFonts w:ascii="Verdana" w:hAnsi="Verdana"/>
                <w:sz w:val="18"/>
                <w:szCs w:val="18"/>
              </w:rPr>
            </w:pPr>
            <w:r w:rsidRPr="00931CA1">
              <w:rPr>
                <w:rFonts w:ascii="Verdana" w:hAnsi="Verdana"/>
                <w:sz w:val="18"/>
                <w:szCs w:val="18"/>
              </w:rPr>
              <w:t>2,09%</w:t>
            </w:r>
          </w:p>
        </w:tc>
        <w:tc>
          <w:tcPr>
            <w:tcW w:w="805" w:type="dxa"/>
          </w:tcPr>
          <w:p w:rsidRPr="00931CA1" w:rsidR="00C832F9" w:rsidP="0037614E" w:rsidRDefault="00C832F9" w14:paraId="58C59DCA" w14:textId="77777777">
            <w:pPr>
              <w:spacing w:line="276" w:lineRule="auto"/>
              <w:rPr>
                <w:rFonts w:ascii="Verdana" w:hAnsi="Verdana"/>
                <w:sz w:val="18"/>
                <w:szCs w:val="18"/>
              </w:rPr>
            </w:pPr>
            <w:r w:rsidRPr="00931CA1">
              <w:rPr>
                <w:rFonts w:ascii="Verdana" w:hAnsi="Verdana"/>
                <w:sz w:val="18"/>
                <w:szCs w:val="18"/>
              </w:rPr>
              <w:t>2,06%</w:t>
            </w:r>
          </w:p>
        </w:tc>
      </w:tr>
      <w:tr w:rsidRPr="0037614E" w:rsidR="00C832F9" w:rsidTr="00931CA1" w14:paraId="5EC1DBA4" w14:textId="77777777">
        <w:tc>
          <w:tcPr>
            <w:tcW w:w="1887" w:type="dxa"/>
          </w:tcPr>
          <w:p w:rsidRPr="00931CA1" w:rsidR="00C832F9" w:rsidP="0037614E" w:rsidRDefault="00C832F9" w14:paraId="1E5EE25E" w14:textId="77777777">
            <w:pPr>
              <w:spacing w:line="276" w:lineRule="auto"/>
              <w:rPr>
                <w:rFonts w:ascii="Verdana" w:hAnsi="Verdana"/>
                <w:sz w:val="18"/>
                <w:szCs w:val="18"/>
              </w:rPr>
            </w:pPr>
            <w:r w:rsidRPr="00931CA1">
              <w:rPr>
                <w:rFonts w:ascii="Verdana" w:hAnsi="Verdana"/>
                <w:sz w:val="18"/>
                <w:szCs w:val="18"/>
              </w:rPr>
              <w:t>NAVO berekeningswijze</w:t>
            </w:r>
            <w:r w:rsidRPr="00931CA1">
              <w:rPr>
                <w:rStyle w:val="FootnoteReference"/>
                <w:rFonts w:ascii="Verdana" w:hAnsi="Verdana"/>
                <w:sz w:val="18"/>
                <w:szCs w:val="18"/>
              </w:rPr>
              <w:footnoteReference w:id="11"/>
            </w:r>
          </w:p>
        </w:tc>
        <w:tc>
          <w:tcPr>
            <w:tcW w:w="1652" w:type="dxa"/>
          </w:tcPr>
          <w:p w:rsidRPr="00931CA1" w:rsidR="00C832F9" w:rsidP="0037614E" w:rsidRDefault="00C832F9" w14:paraId="391EFFDF" w14:textId="77777777">
            <w:pPr>
              <w:spacing w:line="276" w:lineRule="auto"/>
              <w:rPr>
                <w:rFonts w:ascii="Verdana" w:hAnsi="Verdana"/>
                <w:sz w:val="18"/>
                <w:szCs w:val="18"/>
              </w:rPr>
            </w:pPr>
            <w:r w:rsidRPr="00931CA1">
              <w:rPr>
                <w:rFonts w:ascii="Verdana" w:hAnsi="Verdana"/>
                <w:sz w:val="18"/>
                <w:szCs w:val="18"/>
              </w:rPr>
              <w:t>%-bbp, incl. Oekraïnesteun</w:t>
            </w:r>
          </w:p>
        </w:tc>
        <w:tc>
          <w:tcPr>
            <w:tcW w:w="647" w:type="dxa"/>
          </w:tcPr>
          <w:p w:rsidRPr="0037614E" w:rsidR="00C832F9" w:rsidP="0037614E" w:rsidRDefault="00C832F9" w14:paraId="754AF20A" w14:textId="77777777">
            <w:pPr>
              <w:spacing w:line="276" w:lineRule="auto"/>
              <w:rPr>
                <w:rFonts w:ascii="Verdana" w:hAnsi="Verdana"/>
                <w:sz w:val="18"/>
                <w:szCs w:val="18"/>
              </w:rPr>
            </w:pPr>
            <w:r w:rsidRPr="00931CA1">
              <w:rPr>
                <w:rFonts w:ascii="Verdana" w:hAnsi="Verdana"/>
                <w:sz w:val="18"/>
                <w:szCs w:val="18"/>
              </w:rPr>
              <w:t>2,06%</w:t>
            </w:r>
          </w:p>
        </w:tc>
        <w:tc>
          <w:tcPr>
            <w:tcW w:w="805" w:type="dxa"/>
          </w:tcPr>
          <w:p w:rsidRPr="0037614E" w:rsidR="00C832F9" w:rsidP="0037614E" w:rsidRDefault="00C832F9" w14:paraId="57345647" w14:textId="77777777">
            <w:pPr>
              <w:spacing w:line="276" w:lineRule="auto"/>
              <w:rPr>
                <w:rFonts w:ascii="Verdana" w:hAnsi="Verdana"/>
                <w:sz w:val="18"/>
                <w:szCs w:val="18"/>
              </w:rPr>
            </w:pPr>
          </w:p>
        </w:tc>
        <w:tc>
          <w:tcPr>
            <w:tcW w:w="805" w:type="dxa"/>
          </w:tcPr>
          <w:p w:rsidRPr="0037614E" w:rsidR="00C832F9" w:rsidP="0037614E" w:rsidRDefault="00C832F9" w14:paraId="0DDECA52" w14:textId="77777777">
            <w:pPr>
              <w:spacing w:line="276" w:lineRule="auto"/>
              <w:rPr>
                <w:rFonts w:ascii="Verdana" w:hAnsi="Verdana"/>
                <w:sz w:val="18"/>
                <w:szCs w:val="18"/>
              </w:rPr>
            </w:pPr>
          </w:p>
        </w:tc>
        <w:tc>
          <w:tcPr>
            <w:tcW w:w="805" w:type="dxa"/>
          </w:tcPr>
          <w:p w:rsidRPr="0037614E" w:rsidR="00C832F9" w:rsidP="0037614E" w:rsidRDefault="00C832F9" w14:paraId="37046E2D" w14:textId="77777777">
            <w:pPr>
              <w:spacing w:line="276" w:lineRule="auto"/>
              <w:rPr>
                <w:rFonts w:ascii="Verdana" w:hAnsi="Verdana"/>
                <w:sz w:val="18"/>
                <w:szCs w:val="18"/>
              </w:rPr>
            </w:pPr>
          </w:p>
        </w:tc>
        <w:tc>
          <w:tcPr>
            <w:tcW w:w="805" w:type="dxa"/>
          </w:tcPr>
          <w:p w:rsidRPr="0037614E" w:rsidR="00C832F9" w:rsidP="0037614E" w:rsidRDefault="00C832F9" w14:paraId="40038BA4" w14:textId="77777777">
            <w:pPr>
              <w:spacing w:line="276" w:lineRule="auto"/>
              <w:rPr>
                <w:rFonts w:ascii="Verdana" w:hAnsi="Verdana"/>
                <w:sz w:val="18"/>
                <w:szCs w:val="18"/>
              </w:rPr>
            </w:pPr>
          </w:p>
        </w:tc>
        <w:tc>
          <w:tcPr>
            <w:tcW w:w="805" w:type="dxa"/>
          </w:tcPr>
          <w:p w:rsidRPr="0037614E" w:rsidR="00C832F9" w:rsidP="0037614E" w:rsidRDefault="00C832F9" w14:paraId="6310DD81" w14:textId="77777777">
            <w:pPr>
              <w:spacing w:line="276" w:lineRule="auto"/>
              <w:rPr>
                <w:rFonts w:ascii="Verdana" w:hAnsi="Verdana"/>
                <w:sz w:val="18"/>
                <w:szCs w:val="18"/>
              </w:rPr>
            </w:pPr>
          </w:p>
        </w:tc>
        <w:tc>
          <w:tcPr>
            <w:tcW w:w="805" w:type="dxa"/>
          </w:tcPr>
          <w:p w:rsidRPr="0037614E" w:rsidR="00C832F9" w:rsidP="0037614E" w:rsidRDefault="00C832F9" w14:paraId="190E9048" w14:textId="77777777">
            <w:pPr>
              <w:spacing w:line="276" w:lineRule="auto"/>
              <w:rPr>
                <w:rFonts w:ascii="Verdana" w:hAnsi="Verdana"/>
                <w:sz w:val="18"/>
                <w:szCs w:val="18"/>
              </w:rPr>
            </w:pPr>
          </w:p>
        </w:tc>
      </w:tr>
    </w:tbl>
    <w:p w:rsidRPr="0037614E" w:rsidR="00C832F9" w:rsidP="0037614E" w:rsidRDefault="00C832F9" w14:paraId="4E141957" w14:textId="77777777">
      <w:pPr>
        <w:spacing w:line="276" w:lineRule="auto"/>
        <w:rPr>
          <w:rFonts w:ascii="Verdana" w:hAnsi="Verdana"/>
          <w:sz w:val="18"/>
          <w:szCs w:val="18"/>
        </w:rPr>
      </w:pPr>
    </w:p>
    <w:p w:rsidRPr="0037614E" w:rsidR="005B3440" w:rsidP="0037614E" w:rsidRDefault="005B3440" w14:paraId="433C49CA" w14:textId="77777777">
      <w:pPr>
        <w:spacing w:line="276" w:lineRule="auto"/>
        <w:rPr>
          <w:rFonts w:ascii="Verdana" w:hAnsi="Verdana"/>
          <w:sz w:val="18"/>
          <w:szCs w:val="18"/>
        </w:rPr>
      </w:pPr>
    </w:p>
    <w:p w:rsidRPr="0037614E" w:rsidR="005B3440" w:rsidP="0037614E" w:rsidRDefault="005B3440" w14:paraId="7AE79861" w14:textId="77777777">
      <w:pPr>
        <w:spacing w:line="276" w:lineRule="auto"/>
        <w:rPr>
          <w:rFonts w:ascii="Verdana" w:hAnsi="Verdana"/>
          <w:sz w:val="18"/>
          <w:szCs w:val="18"/>
        </w:rPr>
      </w:pPr>
    </w:p>
    <w:p w:rsidRPr="0037614E" w:rsidR="00497F1A" w:rsidP="0037614E" w:rsidRDefault="00497F1A" w14:paraId="07FB8C58" w14:textId="77777777">
      <w:pPr>
        <w:spacing w:line="276" w:lineRule="auto"/>
        <w:rPr>
          <w:rFonts w:ascii="Verdana" w:hAnsi="Verdana"/>
          <w:sz w:val="18"/>
          <w:szCs w:val="18"/>
        </w:rPr>
      </w:pPr>
    </w:p>
    <w:sectPr w:rsidRPr="0037614E" w:rsidR="00497F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ECAA5" w14:textId="77777777" w:rsidR="00CD2DD0" w:rsidRDefault="00CD2DD0" w:rsidP="007B228D">
      <w:pPr>
        <w:spacing w:after="0" w:line="240" w:lineRule="auto"/>
      </w:pPr>
      <w:r>
        <w:separator/>
      </w:r>
    </w:p>
  </w:endnote>
  <w:endnote w:type="continuationSeparator" w:id="0">
    <w:p w14:paraId="0FF3EA42" w14:textId="77777777" w:rsidR="00CD2DD0" w:rsidRDefault="00CD2DD0" w:rsidP="007B228D">
      <w:pPr>
        <w:spacing w:after="0" w:line="240" w:lineRule="auto"/>
      </w:pPr>
      <w:r>
        <w:continuationSeparator/>
      </w:r>
    </w:p>
  </w:endnote>
  <w:endnote w:type="continuationNotice" w:id="1">
    <w:p w14:paraId="7C1053AC" w14:textId="77777777" w:rsidR="00CD2DD0" w:rsidRDefault="00CD2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71D9" w14:textId="77777777" w:rsidR="00FE60A9" w:rsidRDefault="00FE6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627186"/>
      <w:docPartObj>
        <w:docPartGallery w:val="Page Numbers (Bottom of Page)"/>
        <w:docPartUnique/>
      </w:docPartObj>
    </w:sdtPr>
    <w:sdtEndPr/>
    <w:sdtContent>
      <w:sdt>
        <w:sdtPr>
          <w:id w:val="-1769616900"/>
          <w:docPartObj>
            <w:docPartGallery w:val="Page Numbers (Top of Page)"/>
            <w:docPartUnique/>
          </w:docPartObj>
        </w:sdtPr>
        <w:sdtEndPr/>
        <w:sdtContent>
          <w:p w14:paraId="4DD412A8" w14:textId="6BBD920D" w:rsidR="00FE60A9" w:rsidRDefault="00FE60A9">
            <w:pPr>
              <w:pStyle w:val="Footer"/>
              <w:jc w:val="right"/>
            </w:pPr>
            <w:r w:rsidRPr="00FE60A9">
              <w:rPr>
                <w:sz w:val="16"/>
                <w:szCs w:val="16"/>
              </w:rPr>
              <w:t xml:space="preserve">Pagina </w:t>
            </w:r>
            <w:r w:rsidRPr="00FE60A9">
              <w:rPr>
                <w:sz w:val="18"/>
                <w:szCs w:val="18"/>
              </w:rPr>
              <w:fldChar w:fldCharType="begin"/>
            </w:r>
            <w:r w:rsidRPr="00FE60A9">
              <w:rPr>
                <w:sz w:val="16"/>
                <w:szCs w:val="16"/>
              </w:rPr>
              <w:instrText>PAGE</w:instrText>
            </w:r>
            <w:r w:rsidRPr="00FE60A9">
              <w:rPr>
                <w:sz w:val="18"/>
                <w:szCs w:val="18"/>
              </w:rPr>
              <w:fldChar w:fldCharType="separate"/>
            </w:r>
            <w:r w:rsidRPr="00FE60A9">
              <w:rPr>
                <w:sz w:val="16"/>
                <w:szCs w:val="16"/>
              </w:rPr>
              <w:t>2</w:t>
            </w:r>
            <w:r w:rsidRPr="00FE60A9">
              <w:rPr>
                <w:sz w:val="18"/>
                <w:szCs w:val="18"/>
              </w:rPr>
              <w:fldChar w:fldCharType="end"/>
            </w:r>
            <w:r w:rsidRPr="00FE60A9">
              <w:rPr>
                <w:sz w:val="16"/>
                <w:szCs w:val="16"/>
              </w:rPr>
              <w:t xml:space="preserve"> van </w:t>
            </w:r>
            <w:r w:rsidRPr="00FE60A9">
              <w:rPr>
                <w:sz w:val="18"/>
                <w:szCs w:val="18"/>
              </w:rPr>
              <w:fldChar w:fldCharType="begin"/>
            </w:r>
            <w:r w:rsidRPr="00FE60A9">
              <w:rPr>
                <w:sz w:val="16"/>
                <w:szCs w:val="16"/>
              </w:rPr>
              <w:instrText>NUMPAGES</w:instrText>
            </w:r>
            <w:r w:rsidRPr="00FE60A9">
              <w:rPr>
                <w:sz w:val="18"/>
                <w:szCs w:val="18"/>
              </w:rPr>
              <w:fldChar w:fldCharType="separate"/>
            </w:r>
            <w:r w:rsidRPr="00FE60A9">
              <w:rPr>
                <w:sz w:val="16"/>
                <w:szCs w:val="16"/>
              </w:rPr>
              <w:t>2</w:t>
            </w:r>
            <w:r w:rsidRPr="00FE60A9">
              <w:rPr>
                <w:sz w:val="18"/>
                <w:szCs w:val="18"/>
              </w:rPr>
              <w:fldChar w:fldCharType="end"/>
            </w:r>
          </w:p>
        </w:sdtContent>
      </w:sdt>
    </w:sdtContent>
  </w:sdt>
  <w:p w14:paraId="4B0A5B2A" w14:textId="77777777" w:rsidR="00FE60A9" w:rsidRDefault="00FE6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D923" w14:textId="77777777" w:rsidR="00FE60A9" w:rsidRDefault="00FE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36D7" w14:textId="77777777" w:rsidR="00CD2DD0" w:rsidRDefault="00CD2DD0" w:rsidP="007B228D">
      <w:pPr>
        <w:spacing w:after="0" w:line="240" w:lineRule="auto"/>
      </w:pPr>
      <w:r>
        <w:separator/>
      </w:r>
    </w:p>
  </w:footnote>
  <w:footnote w:type="continuationSeparator" w:id="0">
    <w:p w14:paraId="22793CC3" w14:textId="77777777" w:rsidR="00CD2DD0" w:rsidRDefault="00CD2DD0" w:rsidP="007B228D">
      <w:pPr>
        <w:spacing w:after="0" w:line="240" w:lineRule="auto"/>
      </w:pPr>
      <w:r>
        <w:continuationSeparator/>
      </w:r>
    </w:p>
  </w:footnote>
  <w:footnote w:type="continuationNotice" w:id="1">
    <w:p w14:paraId="0D21DBB3" w14:textId="77777777" w:rsidR="00CD2DD0" w:rsidRDefault="00CD2DD0">
      <w:pPr>
        <w:spacing w:after="0" w:line="240" w:lineRule="auto"/>
      </w:pPr>
    </w:p>
  </w:footnote>
  <w:footnote w:id="2">
    <w:p w14:paraId="1B0F6808" w14:textId="77777777" w:rsidR="002C08AF" w:rsidRPr="00340E9E" w:rsidRDefault="002C08AF" w:rsidP="002C08AF">
      <w:pPr>
        <w:pStyle w:val="FootnoteText"/>
        <w:rPr>
          <w:rFonts w:ascii="Verdana" w:hAnsi="Verdana"/>
          <w:sz w:val="16"/>
          <w:szCs w:val="16"/>
        </w:rPr>
      </w:pPr>
      <w:r w:rsidRPr="00340E9E">
        <w:rPr>
          <w:rStyle w:val="FootnoteReference"/>
          <w:rFonts w:ascii="Verdana" w:hAnsi="Verdana"/>
          <w:sz w:val="16"/>
          <w:szCs w:val="16"/>
        </w:rPr>
        <w:footnoteRef/>
      </w:r>
      <w:r w:rsidRPr="00340E9E">
        <w:rPr>
          <w:rFonts w:ascii="Verdana" w:hAnsi="Verdana"/>
          <w:sz w:val="16"/>
          <w:szCs w:val="16"/>
        </w:rPr>
        <w:t xml:space="preserve"> Kamerstuk 28676-504 van 20 mei 2025</w:t>
      </w:r>
    </w:p>
  </w:footnote>
  <w:footnote w:id="3">
    <w:p w14:paraId="3916C263" w14:textId="77777777" w:rsidR="002C08AF" w:rsidRDefault="002C08AF" w:rsidP="002C08AF">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Kamerstuk 31125, nr. 134</w:t>
      </w:r>
    </w:p>
  </w:footnote>
  <w:footnote w:id="4">
    <w:p w14:paraId="392C34BE" w14:textId="0E7EF997" w:rsidR="002C08AF" w:rsidRPr="0037614E" w:rsidRDefault="002C08AF" w:rsidP="002C08AF">
      <w:pPr>
        <w:pStyle w:val="FootnoteText"/>
        <w:rPr>
          <w:rFonts w:ascii="Verdana" w:hAnsi="Verdana"/>
          <w:sz w:val="16"/>
          <w:szCs w:val="16"/>
          <w:lang w:val="en-US"/>
        </w:rPr>
      </w:pPr>
      <w:r w:rsidRPr="0037614E">
        <w:rPr>
          <w:rStyle w:val="FootnoteReference"/>
          <w:rFonts w:ascii="Verdana" w:hAnsi="Verdana"/>
          <w:sz w:val="16"/>
          <w:szCs w:val="16"/>
        </w:rPr>
        <w:footnoteRef/>
      </w:r>
      <w:r w:rsidRPr="0037614E">
        <w:rPr>
          <w:rFonts w:ascii="Verdana" w:hAnsi="Verdana"/>
          <w:sz w:val="16"/>
          <w:szCs w:val="16"/>
          <w:lang w:val="en-US"/>
        </w:rPr>
        <w:t xml:space="preserve"> </w:t>
      </w:r>
      <w:hyperlink r:id="rId1" w:history="1">
        <w:r w:rsidR="00F70250" w:rsidRPr="0037614E">
          <w:rPr>
            <w:rStyle w:val="Hyperlink"/>
            <w:rFonts w:ascii="Verdana" w:hAnsi="Verdana"/>
            <w:sz w:val="16"/>
            <w:szCs w:val="16"/>
            <w:lang w:val="en-US"/>
          </w:rPr>
          <w:t xml:space="preserve">NATO Summit </w:t>
        </w:r>
        <w:proofErr w:type="spellStart"/>
        <w:r w:rsidR="00F70250" w:rsidRPr="0037614E">
          <w:rPr>
            <w:rStyle w:val="Hyperlink"/>
            <w:rFonts w:ascii="Verdana" w:hAnsi="Verdana"/>
            <w:sz w:val="16"/>
            <w:szCs w:val="16"/>
            <w:lang w:val="en-US"/>
          </w:rPr>
          <w:t>Defence</w:t>
        </w:r>
        <w:proofErr w:type="spellEnd"/>
        <w:r w:rsidR="00F70250" w:rsidRPr="0037614E">
          <w:rPr>
            <w:rStyle w:val="Hyperlink"/>
            <w:rFonts w:ascii="Verdana" w:hAnsi="Verdana"/>
            <w:sz w:val="16"/>
            <w:szCs w:val="16"/>
            <w:lang w:val="en-US"/>
          </w:rPr>
          <w:t xml:space="preserve"> Industry Forum | NAVO-top 2025 | Defensie.nl</w:t>
        </w:r>
      </w:hyperlink>
      <w:r w:rsidRPr="0037614E">
        <w:rPr>
          <w:rFonts w:ascii="Verdana" w:hAnsi="Verdana"/>
          <w:sz w:val="16"/>
          <w:szCs w:val="16"/>
          <w:lang w:val="en-US"/>
        </w:rPr>
        <w:t>;</w:t>
      </w:r>
    </w:p>
  </w:footnote>
  <w:footnote w:id="5">
    <w:p w14:paraId="6F38D9A6" w14:textId="285A8CCB" w:rsidR="002C08AF" w:rsidRPr="00EE4406" w:rsidRDefault="002C08AF" w:rsidP="002C08AF">
      <w:pPr>
        <w:pStyle w:val="FootnoteText"/>
        <w:rPr>
          <w:lang w:val="en-US"/>
        </w:rPr>
      </w:pPr>
      <w:r w:rsidRPr="0037614E">
        <w:rPr>
          <w:rStyle w:val="FootnoteReference"/>
          <w:rFonts w:ascii="Verdana" w:hAnsi="Verdana"/>
          <w:sz w:val="16"/>
          <w:szCs w:val="16"/>
        </w:rPr>
        <w:footnoteRef/>
      </w:r>
      <w:r w:rsidRPr="0037614E">
        <w:rPr>
          <w:rFonts w:ascii="Verdana" w:hAnsi="Verdana"/>
          <w:sz w:val="16"/>
          <w:szCs w:val="16"/>
          <w:lang w:val="en-US"/>
        </w:rPr>
        <w:t xml:space="preserve"> </w:t>
      </w:r>
      <w:hyperlink r:id="rId2" w:history="1">
        <w:proofErr w:type="spellStart"/>
        <w:r w:rsidR="00AC688A" w:rsidRPr="0037614E">
          <w:rPr>
            <w:rStyle w:val="Hyperlink"/>
            <w:rFonts w:ascii="Verdana" w:hAnsi="Verdana"/>
            <w:sz w:val="16"/>
            <w:szCs w:val="16"/>
            <w:lang w:val="en-US"/>
          </w:rPr>
          <w:t>Nato</w:t>
        </w:r>
        <w:proofErr w:type="spellEnd"/>
        <w:r w:rsidR="00AC688A" w:rsidRPr="0037614E">
          <w:rPr>
            <w:rStyle w:val="Hyperlink"/>
            <w:rFonts w:ascii="Verdana" w:hAnsi="Verdana"/>
            <w:sz w:val="16"/>
            <w:szCs w:val="16"/>
            <w:lang w:val="en-US"/>
          </w:rPr>
          <w:t xml:space="preserve"> Public Forum</w:t>
        </w:r>
      </w:hyperlink>
      <w:r w:rsidR="00AC688A" w:rsidRPr="0037614E">
        <w:rPr>
          <w:rFonts w:ascii="Verdana" w:hAnsi="Verdana"/>
          <w:sz w:val="16"/>
          <w:szCs w:val="16"/>
          <w:lang w:val="en-US"/>
        </w:rPr>
        <w:t xml:space="preserve">. </w:t>
      </w:r>
      <w:proofErr w:type="spellStart"/>
      <w:r w:rsidRPr="0037614E">
        <w:rPr>
          <w:rFonts w:ascii="Verdana" w:hAnsi="Verdana"/>
          <w:sz w:val="16"/>
          <w:szCs w:val="16"/>
          <w:lang w:val="en-US"/>
        </w:rPr>
        <w:t>Zie</w:t>
      </w:r>
      <w:proofErr w:type="spellEnd"/>
      <w:r w:rsidRPr="0037614E">
        <w:rPr>
          <w:rFonts w:ascii="Verdana" w:hAnsi="Verdana"/>
          <w:sz w:val="16"/>
          <w:szCs w:val="16"/>
          <w:lang w:val="en-US"/>
        </w:rPr>
        <w:t xml:space="preserve"> </w:t>
      </w:r>
      <w:proofErr w:type="spellStart"/>
      <w:r w:rsidRPr="0037614E">
        <w:rPr>
          <w:rFonts w:ascii="Verdana" w:hAnsi="Verdana"/>
          <w:sz w:val="16"/>
          <w:szCs w:val="16"/>
          <w:lang w:val="en-US"/>
        </w:rPr>
        <w:t>ook</w:t>
      </w:r>
      <w:proofErr w:type="spellEnd"/>
      <w:r w:rsidRPr="0037614E">
        <w:rPr>
          <w:rFonts w:ascii="Verdana" w:hAnsi="Verdana"/>
          <w:sz w:val="16"/>
          <w:szCs w:val="16"/>
          <w:lang w:val="en-US"/>
        </w:rPr>
        <w:t xml:space="preserve">: </w:t>
      </w:r>
      <w:hyperlink r:id="rId3" w:history="1">
        <w:r w:rsidRPr="0037614E">
          <w:rPr>
            <w:rStyle w:val="Hyperlink"/>
            <w:rFonts w:ascii="Verdana" w:hAnsi="Verdana"/>
            <w:sz w:val="16"/>
            <w:szCs w:val="16"/>
            <w:lang w:val="en-US"/>
          </w:rPr>
          <w:t>NATO Public Forum | NAVO-top 2025 | Rijksoverheid.nl</w:t>
        </w:r>
      </w:hyperlink>
    </w:p>
  </w:footnote>
  <w:footnote w:id="6">
    <w:p w14:paraId="741CF49F" w14:textId="77777777" w:rsidR="00C832F9" w:rsidRPr="0037614E" w:rsidRDefault="00C832F9" w:rsidP="00C832F9">
      <w:pPr>
        <w:pStyle w:val="FootnoteText"/>
        <w:rPr>
          <w:rFonts w:ascii="Verdana" w:hAnsi="Verdana"/>
          <w:sz w:val="16"/>
          <w:szCs w:val="16"/>
        </w:rPr>
      </w:pPr>
      <w:r w:rsidRPr="0037614E">
        <w:rPr>
          <w:rStyle w:val="FootnoteReference"/>
          <w:rFonts w:ascii="Verdana" w:hAnsi="Verdana"/>
          <w:sz w:val="16"/>
          <w:szCs w:val="16"/>
        </w:rPr>
        <w:footnoteRef/>
      </w:r>
      <w:r w:rsidRPr="0037614E">
        <w:rPr>
          <w:rFonts w:ascii="Verdana" w:hAnsi="Verdana"/>
          <w:sz w:val="16"/>
          <w:szCs w:val="16"/>
        </w:rPr>
        <w:t xml:space="preserve"> </w:t>
      </w:r>
      <w:hyperlink r:id="rId4" w:history="1">
        <w:r w:rsidRPr="0037614E">
          <w:rPr>
            <w:rStyle w:val="Hyperlink"/>
            <w:rFonts w:ascii="Verdana" w:hAnsi="Verdana"/>
            <w:sz w:val="16"/>
            <w:szCs w:val="16"/>
          </w:rPr>
          <w:t>Voorjaarsnota 2024</w:t>
        </w:r>
      </w:hyperlink>
      <w:r w:rsidRPr="0037614E">
        <w:rPr>
          <w:rFonts w:ascii="Verdana" w:hAnsi="Verdana"/>
          <w:sz w:val="16"/>
          <w:szCs w:val="16"/>
        </w:rPr>
        <w:t xml:space="preserve">, </w:t>
      </w:r>
      <w:hyperlink r:id="rId5" w:history="1">
        <w:r w:rsidRPr="0037614E">
          <w:rPr>
            <w:rStyle w:val="Hyperlink"/>
            <w:rFonts w:ascii="Verdana" w:hAnsi="Verdana"/>
            <w:sz w:val="16"/>
            <w:szCs w:val="16"/>
          </w:rPr>
          <w:t>Defensiebegroting 2025</w:t>
        </w:r>
      </w:hyperlink>
      <w:r w:rsidRPr="0037614E">
        <w:rPr>
          <w:rFonts w:ascii="Verdana" w:hAnsi="Verdana"/>
          <w:sz w:val="16"/>
          <w:szCs w:val="16"/>
        </w:rPr>
        <w:t xml:space="preserve"> en </w:t>
      </w:r>
      <w:hyperlink r:id="rId6" w:history="1">
        <w:r w:rsidRPr="0037614E">
          <w:rPr>
            <w:rStyle w:val="Hyperlink"/>
            <w:rFonts w:ascii="Verdana" w:hAnsi="Verdana"/>
            <w:sz w:val="16"/>
            <w:szCs w:val="16"/>
          </w:rPr>
          <w:t>Beantwoording Feitelijke Vragen Jaarverslag Defensie 2024</w:t>
        </w:r>
      </w:hyperlink>
    </w:p>
  </w:footnote>
  <w:footnote w:id="7">
    <w:p w14:paraId="15E165AF" w14:textId="77777777" w:rsidR="00C832F9" w:rsidRPr="00040E5B" w:rsidRDefault="00C832F9" w:rsidP="00C832F9">
      <w:pPr>
        <w:pStyle w:val="FootnoteText"/>
      </w:pPr>
      <w:r w:rsidRPr="0037614E">
        <w:rPr>
          <w:rStyle w:val="FootnoteReference"/>
          <w:rFonts w:ascii="Verdana" w:hAnsi="Verdana"/>
          <w:sz w:val="16"/>
          <w:szCs w:val="16"/>
        </w:rPr>
        <w:footnoteRef/>
      </w:r>
      <w:r w:rsidRPr="0037614E">
        <w:rPr>
          <w:rFonts w:ascii="Verdana" w:hAnsi="Verdana"/>
          <w:sz w:val="16"/>
          <w:szCs w:val="16"/>
        </w:rPr>
        <w:t xml:space="preserve"> </w:t>
      </w:r>
      <w:hyperlink r:id="rId7" w:history="1">
        <w:r w:rsidRPr="0037614E">
          <w:rPr>
            <w:rStyle w:val="Hyperlink"/>
            <w:rFonts w:ascii="Verdana" w:hAnsi="Verdana"/>
            <w:sz w:val="16"/>
            <w:szCs w:val="16"/>
          </w:rPr>
          <w:t>Wet houdbare overheidsfinanciën</w:t>
        </w:r>
      </w:hyperlink>
      <w:r w:rsidRPr="0037614E">
        <w:rPr>
          <w:rFonts w:ascii="Verdana" w:hAnsi="Verdana"/>
          <w:sz w:val="16"/>
          <w:szCs w:val="16"/>
        </w:rPr>
        <w:t xml:space="preserve"> (artikel 2.2 lid c)</w:t>
      </w:r>
    </w:p>
  </w:footnote>
  <w:footnote w:id="8">
    <w:p w14:paraId="0306B009" w14:textId="77777777" w:rsidR="00C832F9" w:rsidRPr="0037614E" w:rsidRDefault="00C832F9" w:rsidP="00C832F9">
      <w:pPr>
        <w:pStyle w:val="FootnoteText"/>
        <w:rPr>
          <w:rFonts w:ascii="Verdana" w:hAnsi="Verdana"/>
          <w:sz w:val="16"/>
          <w:szCs w:val="16"/>
        </w:rPr>
      </w:pPr>
      <w:r w:rsidRPr="0037614E">
        <w:rPr>
          <w:rStyle w:val="FootnoteReference"/>
          <w:rFonts w:ascii="Verdana" w:hAnsi="Verdana"/>
          <w:sz w:val="16"/>
          <w:szCs w:val="16"/>
        </w:rPr>
        <w:footnoteRef/>
      </w:r>
      <w:r w:rsidRPr="0037614E">
        <w:rPr>
          <w:rFonts w:ascii="Verdana" w:hAnsi="Verdana"/>
          <w:sz w:val="16"/>
          <w:szCs w:val="16"/>
        </w:rPr>
        <w:t xml:space="preserve"> </w:t>
      </w:r>
      <w:hyperlink r:id="rId8" w:history="1">
        <w:r w:rsidRPr="0037614E">
          <w:rPr>
            <w:rStyle w:val="Hyperlink"/>
            <w:rFonts w:ascii="Verdana" w:hAnsi="Verdana"/>
            <w:sz w:val="16"/>
            <w:szCs w:val="16"/>
          </w:rPr>
          <w:t>BIJLAGE 5 - DEFENSIE KOPPELING 2% BBP | Ministerie van Financiën - Rijksoverheid</w:t>
        </w:r>
      </w:hyperlink>
    </w:p>
  </w:footnote>
  <w:footnote w:id="9">
    <w:p w14:paraId="329C0B5C" w14:textId="77777777" w:rsidR="00C832F9" w:rsidRPr="0037614E" w:rsidRDefault="00C832F9" w:rsidP="00C832F9">
      <w:pPr>
        <w:pStyle w:val="FootnoteText"/>
        <w:rPr>
          <w:rFonts w:ascii="Verdana" w:hAnsi="Verdana"/>
          <w:sz w:val="16"/>
          <w:szCs w:val="16"/>
        </w:rPr>
      </w:pPr>
      <w:r w:rsidRPr="0037614E">
        <w:rPr>
          <w:rStyle w:val="FootnoteReference"/>
          <w:rFonts w:ascii="Verdana" w:hAnsi="Verdana"/>
          <w:sz w:val="16"/>
          <w:szCs w:val="16"/>
        </w:rPr>
        <w:footnoteRef/>
      </w:r>
      <w:r w:rsidRPr="0037614E">
        <w:rPr>
          <w:rFonts w:ascii="Verdana" w:hAnsi="Verdana"/>
          <w:sz w:val="16"/>
          <w:szCs w:val="16"/>
        </w:rPr>
        <w:t xml:space="preserve"> </w:t>
      </w:r>
      <w:hyperlink r:id="rId9" w:history="1">
        <w:proofErr w:type="spellStart"/>
        <w:r w:rsidRPr="0037614E">
          <w:rPr>
            <w:rStyle w:val="Hyperlink"/>
            <w:rFonts w:ascii="Verdana" w:hAnsi="Verdana"/>
            <w:sz w:val="16"/>
            <w:szCs w:val="16"/>
          </w:rPr>
          <w:t>Secretary</w:t>
        </w:r>
        <w:proofErr w:type="spellEnd"/>
        <w:r w:rsidRPr="0037614E">
          <w:rPr>
            <w:rStyle w:val="Hyperlink"/>
            <w:rFonts w:ascii="Verdana" w:hAnsi="Verdana"/>
            <w:sz w:val="16"/>
            <w:szCs w:val="16"/>
          </w:rPr>
          <w:t xml:space="preserve"> General </w:t>
        </w:r>
        <w:proofErr w:type="spellStart"/>
        <w:r w:rsidRPr="0037614E">
          <w:rPr>
            <w:rStyle w:val="Hyperlink"/>
            <w:rFonts w:ascii="Verdana" w:hAnsi="Verdana"/>
            <w:sz w:val="16"/>
            <w:szCs w:val="16"/>
          </w:rPr>
          <w:t>Annual</w:t>
        </w:r>
        <w:proofErr w:type="spellEnd"/>
        <w:r w:rsidRPr="0037614E">
          <w:rPr>
            <w:rStyle w:val="Hyperlink"/>
            <w:rFonts w:ascii="Verdana" w:hAnsi="Verdana"/>
            <w:sz w:val="16"/>
            <w:szCs w:val="16"/>
          </w:rPr>
          <w:t xml:space="preserve"> Report 2024</w:t>
        </w:r>
      </w:hyperlink>
    </w:p>
  </w:footnote>
  <w:footnote w:id="10">
    <w:p w14:paraId="276C83D8" w14:textId="77777777" w:rsidR="00C832F9" w:rsidRPr="0037614E" w:rsidRDefault="00C832F9" w:rsidP="00C832F9">
      <w:pPr>
        <w:pStyle w:val="FootnoteText"/>
        <w:rPr>
          <w:rFonts w:ascii="Verdana" w:hAnsi="Verdana"/>
          <w:sz w:val="16"/>
          <w:szCs w:val="16"/>
        </w:rPr>
      </w:pPr>
      <w:r w:rsidRPr="0037614E">
        <w:rPr>
          <w:rStyle w:val="FootnoteReference"/>
          <w:rFonts w:ascii="Verdana" w:hAnsi="Verdana"/>
          <w:sz w:val="16"/>
          <w:szCs w:val="16"/>
        </w:rPr>
        <w:footnoteRef/>
      </w:r>
      <w:r w:rsidRPr="0037614E">
        <w:rPr>
          <w:rFonts w:ascii="Verdana" w:hAnsi="Verdana"/>
          <w:sz w:val="16"/>
          <w:szCs w:val="16"/>
        </w:rPr>
        <w:t xml:space="preserve"> </w:t>
      </w:r>
      <w:hyperlink r:id="rId10" w:history="1">
        <w:r w:rsidRPr="0037614E">
          <w:rPr>
            <w:rStyle w:val="Hyperlink"/>
            <w:rFonts w:ascii="Verdana" w:hAnsi="Verdana"/>
            <w:sz w:val="16"/>
            <w:szCs w:val="16"/>
          </w:rPr>
          <w:t>Jaarverslag Defensie 2024</w:t>
        </w:r>
      </w:hyperlink>
      <w:r w:rsidRPr="0037614E">
        <w:rPr>
          <w:rFonts w:ascii="Verdana" w:hAnsi="Verdana"/>
          <w:sz w:val="16"/>
          <w:szCs w:val="16"/>
        </w:rPr>
        <w:t xml:space="preserve"> en </w:t>
      </w:r>
      <w:hyperlink r:id="rId11" w:history="1">
        <w:r w:rsidRPr="0037614E">
          <w:rPr>
            <w:rStyle w:val="Hyperlink"/>
            <w:rFonts w:ascii="Verdana" w:hAnsi="Verdana"/>
            <w:sz w:val="16"/>
            <w:szCs w:val="16"/>
          </w:rPr>
          <w:t>Voorjaarsnota 2025</w:t>
        </w:r>
      </w:hyperlink>
    </w:p>
  </w:footnote>
  <w:footnote w:id="11">
    <w:p w14:paraId="090AC186" w14:textId="77777777" w:rsidR="00C832F9" w:rsidRPr="002819DD" w:rsidRDefault="00C832F9" w:rsidP="00C832F9">
      <w:pPr>
        <w:pStyle w:val="FootnoteText"/>
        <w:rPr>
          <w:sz w:val="14"/>
          <w:szCs w:val="14"/>
        </w:rPr>
      </w:pPr>
      <w:r w:rsidRPr="0037614E">
        <w:rPr>
          <w:rStyle w:val="FootnoteReference"/>
          <w:rFonts w:ascii="Verdana" w:hAnsi="Verdana"/>
          <w:sz w:val="16"/>
          <w:szCs w:val="16"/>
        </w:rPr>
        <w:footnoteRef/>
      </w:r>
      <w:r w:rsidRPr="0037614E">
        <w:rPr>
          <w:rFonts w:ascii="Verdana" w:hAnsi="Verdana"/>
          <w:sz w:val="16"/>
          <w:szCs w:val="16"/>
        </w:rPr>
        <w:t xml:space="preserve"> De NAVO publiceert geen meerjarig cijfers van het NAVO-percentages cf. de NAVO-berekeningswijze.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BFB2" w14:textId="77777777" w:rsidR="00FE60A9" w:rsidRDefault="00FE6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4AF6" w14:textId="77777777" w:rsidR="00FE60A9" w:rsidRDefault="00FE6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FFAD" w14:textId="77777777" w:rsidR="00FE60A9" w:rsidRDefault="00FE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9D9"/>
    <w:multiLevelType w:val="hybridMultilevel"/>
    <w:tmpl w:val="25160AC4"/>
    <w:lvl w:ilvl="0" w:tplc="55F8606E">
      <w:start w:val="1"/>
      <w:numFmt w:val="bullet"/>
      <w:lvlText w:val=""/>
      <w:lvlJc w:val="left"/>
      <w:pPr>
        <w:ind w:left="1440" w:hanging="360"/>
      </w:pPr>
      <w:rPr>
        <w:rFonts w:ascii="Symbol" w:hAnsi="Symbol"/>
      </w:rPr>
    </w:lvl>
    <w:lvl w:ilvl="1" w:tplc="F23817C6">
      <w:start w:val="1"/>
      <w:numFmt w:val="bullet"/>
      <w:lvlText w:val=""/>
      <w:lvlJc w:val="left"/>
      <w:pPr>
        <w:ind w:left="1440" w:hanging="360"/>
      </w:pPr>
      <w:rPr>
        <w:rFonts w:ascii="Symbol" w:hAnsi="Symbol"/>
      </w:rPr>
    </w:lvl>
    <w:lvl w:ilvl="2" w:tplc="59AA49DA">
      <w:start w:val="1"/>
      <w:numFmt w:val="bullet"/>
      <w:lvlText w:val=""/>
      <w:lvlJc w:val="left"/>
      <w:pPr>
        <w:ind w:left="1440" w:hanging="360"/>
      </w:pPr>
      <w:rPr>
        <w:rFonts w:ascii="Symbol" w:hAnsi="Symbol"/>
      </w:rPr>
    </w:lvl>
    <w:lvl w:ilvl="3" w:tplc="8F9020C0">
      <w:start w:val="1"/>
      <w:numFmt w:val="bullet"/>
      <w:lvlText w:val=""/>
      <w:lvlJc w:val="left"/>
      <w:pPr>
        <w:ind w:left="1440" w:hanging="360"/>
      </w:pPr>
      <w:rPr>
        <w:rFonts w:ascii="Symbol" w:hAnsi="Symbol"/>
      </w:rPr>
    </w:lvl>
    <w:lvl w:ilvl="4" w:tplc="CF520368">
      <w:start w:val="1"/>
      <w:numFmt w:val="bullet"/>
      <w:lvlText w:val=""/>
      <w:lvlJc w:val="left"/>
      <w:pPr>
        <w:ind w:left="1440" w:hanging="360"/>
      </w:pPr>
      <w:rPr>
        <w:rFonts w:ascii="Symbol" w:hAnsi="Symbol"/>
      </w:rPr>
    </w:lvl>
    <w:lvl w:ilvl="5" w:tplc="182820EE">
      <w:start w:val="1"/>
      <w:numFmt w:val="bullet"/>
      <w:lvlText w:val=""/>
      <w:lvlJc w:val="left"/>
      <w:pPr>
        <w:ind w:left="1440" w:hanging="360"/>
      </w:pPr>
      <w:rPr>
        <w:rFonts w:ascii="Symbol" w:hAnsi="Symbol"/>
      </w:rPr>
    </w:lvl>
    <w:lvl w:ilvl="6" w:tplc="9D462590">
      <w:start w:val="1"/>
      <w:numFmt w:val="bullet"/>
      <w:lvlText w:val=""/>
      <w:lvlJc w:val="left"/>
      <w:pPr>
        <w:ind w:left="1440" w:hanging="360"/>
      </w:pPr>
      <w:rPr>
        <w:rFonts w:ascii="Symbol" w:hAnsi="Symbol"/>
      </w:rPr>
    </w:lvl>
    <w:lvl w:ilvl="7" w:tplc="73A4DDB8">
      <w:start w:val="1"/>
      <w:numFmt w:val="bullet"/>
      <w:lvlText w:val=""/>
      <w:lvlJc w:val="left"/>
      <w:pPr>
        <w:ind w:left="1440" w:hanging="360"/>
      </w:pPr>
      <w:rPr>
        <w:rFonts w:ascii="Symbol" w:hAnsi="Symbol"/>
      </w:rPr>
    </w:lvl>
    <w:lvl w:ilvl="8" w:tplc="731A26A0">
      <w:start w:val="1"/>
      <w:numFmt w:val="bullet"/>
      <w:lvlText w:val=""/>
      <w:lvlJc w:val="left"/>
      <w:pPr>
        <w:ind w:left="1440" w:hanging="360"/>
      </w:pPr>
      <w:rPr>
        <w:rFonts w:ascii="Symbol" w:hAnsi="Symbol"/>
      </w:rPr>
    </w:lvl>
  </w:abstractNum>
  <w:abstractNum w:abstractNumId="1" w15:restartNumberingAfterBreak="0">
    <w:nsid w:val="18C26FB6"/>
    <w:multiLevelType w:val="hybridMultilevel"/>
    <w:tmpl w:val="D570B510"/>
    <w:lvl w:ilvl="0" w:tplc="9B1851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FC5C53"/>
    <w:multiLevelType w:val="hybridMultilevel"/>
    <w:tmpl w:val="ADE00AB8"/>
    <w:lvl w:ilvl="0" w:tplc="1DCCA65C">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A52616"/>
    <w:multiLevelType w:val="hybridMultilevel"/>
    <w:tmpl w:val="A6EE8A0C"/>
    <w:lvl w:ilvl="0" w:tplc="7B04CC14">
      <w:start w:val="1"/>
      <w:numFmt w:val="bullet"/>
      <w:lvlText w:val=""/>
      <w:lvlJc w:val="left"/>
      <w:pPr>
        <w:ind w:left="1440" w:hanging="360"/>
      </w:pPr>
      <w:rPr>
        <w:rFonts w:ascii="Symbol" w:hAnsi="Symbol"/>
      </w:rPr>
    </w:lvl>
    <w:lvl w:ilvl="1" w:tplc="999C99F2">
      <w:start w:val="1"/>
      <w:numFmt w:val="bullet"/>
      <w:lvlText w:val=""/>
      <w:lvlJc w:val="left"/>
      <w:pPr>
        <w:ind w:left="1440" w:hanging="360"/>
      </w:pPr>
      <w:rPr>
        <w:rFonts w:ascii="Symbol" w:hAnsi="Symbol"/>
      </w:rPr>
    </w:lvl>
    <w:lvl w:ilvl="2" w:tplc="5A40DA36">
      <w:start w:val="1"/>
      <w:numFmt w:val="bullet"/>
      <w:lvlText w:val=""/>
      <w:lvlJc w:val="left"/>
      <w:pPr>
        <w:ind w:left="1440" w:hanging="360"/>
      </w:pPr>
      <w:rPr>
        <w:rFonts w:ascii="Symbol" w:hAnsi="Symbol"/>
      </w:rPr>
    </w:lvl>
    <w:lvl w:ilvl="3" w:tplc="D4CAE8DA">
      <w:start w:val="1"/>
      <w:numFmt w:val="bullet"/>
      <w:lvlText w:val=""/>
      <w:lvlJc w:val="left"/>
      <w:pPr>
        <w:ind w:left="1440" w:hanging="360"/>
      </w:pPr>
      <w:rPr>
        <w:rFonts w:ascii="Symbol" w:hAnsi="Symbol"/>
      </w:rPr>
    </w:lvl>
    <w:lvl w:ilvl="4" w:tplc="9CC24292">
      <w:start w:val="1"/>
      <w:numFmt w:val="bullet"/>
      <w:lvlText w:val=""/>
      <w:lvlJc w:val="left"/>
      <w:pPr>
        <w:ind w:left="1440" w:hanging="360"/>
      </w:pPr>
      <w:rPr>
        <w:rFonts w:ascii="Symbol" w:hAnsi="Symbol"/>
      </w:rPr>
    </w:lvl>
    <w:lvl w:ilvl="5" w:tplc="376E048A">
      <w:start w:val="1"/>
      <w:numFmt w:val="bullet"/>
      <w:lvlText w:val=""/>
      <w:lvlJc w:val="left"/>
      <w:pPr>
        <w:ind w:left="1440" w:hanging="360"/>
      </w:pPr>
      <w:rPr>
        <w:rFonts w:ascii="Symbol" w:hAnsi="Symbol"/>
      </w:rPr>
    </w:lvl>
    <w:lvl w:ilvl="6" w:tplc="650ABB84">
      <w:start w:val="1"/>
      <w:numFmt w:val="bullet"/>
      <w:lvlText w:val=""/>
      <w:lvlJc w:val="left"/>
      <w:pPr>
        <w:ind w:left="1440" w:hanging="360"/>
      </w:pPr>
      <w:rPr>
        <w:rFonts w:ascii="Symbol" w:hAnsi="Symbol"/>
      </w:rPr>
    </w:lvl>
    <w:lvl w:ilvl="7" w:tplc="472499F6">
      <w:start w:val="1"/>
      <w:numFmt w:val="bullet"/>
      <w:lvlText w:val=""/>
      <w:lvlJc w:val="left"/>
      <w:pPr>
        <w:ind w:left="1440" w:hanging="360"/>
      </w:pPr>
      <w:rPr>
        <w:rFonts w:ascii="Symbol" w:hAnsi="Symbol"/>
      </w:rPr>
    </w:lvl>
    <w:lvl w:ilvl="8" w:tplc="E1B0DD66">
      <w:start w:val="1"/>
      <w:numFmt w:val="bullet"/>
      <w:lvlText w:val=""/>
      <w:lvlJc w:val="left"/>
      <w:pPr>
        <w:ind w:left="1440" w:hanging="360"/>
      </w:pPr>
      <w:rPr>
        <w:rFonts w:ascii="Symbol" w:hAnsi="Symbol"/>
      </w:rPr>
    </w:lvl>
  </w:abstractNum>
  <w:abstractNum w:abstractNumId="4" w15:restartNumberingAfterBreak="0">
    <w:nsid w:val="2C1317B2"/>
    <w:multiLevelType w:val="hybridMultilevel"/>
    <w:tmpl w:val="9820849C"/>
    <w:lvl w:ilvl="0" w:tplc="F59E6E24">
      <w:start w:val="1"/>
      <w:numFmt w:val="bullet"/>
      <w:lvlText w:val=""/>
      <w:lvlJc w:val="left"/>
      <w:pPr>
        <w:ind w:left="1440" w:hanging="360"/>
      </w:pPr>
      <w:rPr>
        <w:rFonts w:ascii="Symbol" w:hAnsi="Symbol"/>
      </w:rPr>
    </w:lvl>
    <w:lvl w:ilvl="1" w:tplc="C55005C0">
      <w:start w:val="1"/>
      <w:numFmt w:val="bullet"/>
      <w:lvlText w:val=""/>
      <w:lvlJc w:val="left"/>
      <w:pPr>
        <w:ind w:left="1440" w:hanging="360"/>
      </w:pPr>
      <w:rPr>
        <w:rFonts w:ascii="Symbol" w:hAnsi="Symbol"/>
      </w:rPr>
    </w:lvl>
    <w:lvl w:ilvl="2" w:tplc="D2464170">
      <w:start w:val="1"/>
      <w:numFmt w:val="bullet"/>
      <w:lvlText w:val=""/>
      <w:lvlJc w:val="left"/>
      <w:pPr>
        <w:ind w:left="1440" w:hanging="360"/>
      </w:pPr>
      <w:rPr>
        <w:rFonts w:ascii="Symbol" w:hAnsi="Symbol"/>
      </w:rPr>
    </w:lvl>
    <w:lvl w:ilvl="3" w:tplc="C1B84F48">
      <w:start w:val="1"/>
      <w:numFmt w:val="bullet"/>
      <w:lvlText w:val=""/>
      <w:lvlJc w:val="left"/>
      <w:pPr>
        <w:ind w:left="1440" w:hanging="360"/>
      </w:pPr>
      <w:rPr>
        <w:rFonts w:ascii="Symbol" w:hAnsi="Symbol"/>
      </w:rPr>
    </w:lvl>
    <w:lvl w:ilvl="4" w:tplc="0C52168A">
      <w:start w:val="1"/>
      <w:numFmt w:val="bullet"/>
      <w:lvlText w:val=""/>
      <w:lvlJc w:val="left"/>
      <w:pPr>
        <w:ind w:left="1440" w:hanging="360"/>
      </w:pPr>
      <w:rPr>
        <w:rFonts w:ascii="Symbol" w:hAnsi="Symbol"/>
      </w:rPr>
    </w:lvl>
    <w:lvl w:ilvl="5" w:tplc="FAECD9B8">
      <w:start w:val="1"/>
      <w:numFmt w:val="bullet"/>
      <w:lvlText w:val=""/>
      <w:lvlJc w:val="left"/>
      <w:pPr>
        <w:ind w:left="1440" w:hanging="360"/>
      </w:pPr>
      <w:rPr>
        <w:rFonts w:ascii="Symbol" w:hAnsi="Symbol"/>
      </w:rPr>
    </w:lvl>
    <w:lvl w:ilvl="6" w:tplc="E990E074">
      <w:start w:val="1"/>
      <w:numFmt w:val="bullet"/>
      <w:lvlText w:val=""/>
      <w:lvlJc w:val="left"/>
      <w:pPr>
        <w:ind w:left="1440" w:hanging="360"/>
      </w:pPr>
      <w:rPr>
        <w:rFonts w:ascii="Symbol" w:hAnsi="Symbol"/>
      </w:rPr>
    </w:lvl>
    <w:lvl w:ilvl="7" w:tplc="3E2C9658">
      <w:start w:val="1"/>
      <w:numFmt w:val="bullet"/>
      <w:lvlText w:val=""/>
      <w:lvlJc w:val="left"/>
      <w:pPr>
        <w:ind w:left="1440" w:hanging="360"/>
      </w:pPr>
      <w:rPr>
        <w:rFonts w:ascii="Symbol" w:hAnsi="Symbol"/>
      </w:rPr>
    </w:lvl>
    <w:lvl w:ilvl="8" w:tplc="5642AE98">
      <w:start w:val="1"/>
      <w:numFmt w:val="bullet"/>
      <w:lvlText w:val=""/>
      <w:lvlJc w:val="left"/>
      <w:pPr>
        <w:ind w:left="1440" w:hanging="360"/>
      </w:pPr>
      <w:rPr>
        <w:rFonts w:ascii="Symbol" w:hAnsi="Symbol"/>
      </w:rPr>
    </w:lvl>
  </w:abstractNum>
  <w:abstractNum w:abstractNumId="5" w15:restartNumberingAfterBreak="0">
    <w:nsid w:val="5C0D2A02"/>
    <w:multiLevelType w:val="hybridMultilevel"/>
    <w:tmpl w:val="438A621E"/>
    <w:lvl w:ilvl="0" w:tplc="04A4815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6D3EDD"/>
    <w:multiLevelType w:val="hybridMultilevel"/>
    <w:tmpl w:val="CADA9E52"/>
    <w:lvl w:ilvl="0" w:tplc="0F7EC2F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E82783"/>
    <w:multiLevelType w:val="hybridMultilevel"/>
    <w:tmpl w:val="EDD47D04"/>
    <w:lvl w:ilvl="0" w:tplc="677462B2">
      <w:start w:val="1"/>
      <w:numFmt w:val="bullet"/>
      <w:lvlText w:val=""/>
      <w:lvlJc w:val="left"/>
      <w:pPr>
        <w:ind w:left="1440" w:hanging="360"/>
      </w:pPr>
      <w:rPr>
        <w:rFonts w:ascii="Symbol" w:hAnsi="Symbol"/>
      </w:rPr>
    </w:lvl>
    <w:lvl w:ilvl="1" w:tplc="BB565E3A">
      <w:start w:val="1"/>
      <w:numFmt w:val="bullet"/>
      <w:lvlText w:val=""/>
      <w:lvlJc w:val="left"/>
      <w:pPr>
        <w:ind w:left="1440" w:hanging="360"/>
      </w:pPr>
      <w:rPr>
        <w:rFonts w:ascii="Symbol" w:hAnsi="Symbol"/>
      </w:rPr>
    </w:lvl>
    <w:lvl w:ilvl="2" w:tplc="2E7E10C0">
      <w:start w:val="1"/>
      <w:numFmt w:val="bullet"/>
      <w:lvlText w:val=""/>
      <w:lvlJc w:val="left"/>
      <w:pPr>
        <w:ind w:left="1440" w:hanging="360"/>
      </w:pPr>
      <w:rPr>
        <w:rFonts w:ascii="Symbol" w:hAnsi="Symbol"/>
      </w:rPr>
    </w:lvl>
    <w:lvl w:ilvl="3" w:tplc="0480FAA0">
      <w:start w:val="1"/>
      <w:numFmt w:val="bullet"/>
      <w:lvlText w:val=""/>
      <w:lvlJc w:val="left"/>
      <w:pPr>
        <w:ind w:left="1440" w:hanging="360"/>
      </w:pPr>
      <w:rPr>
        <w:rFonts w:ascii="Symbol" w:hAnsi="Symbol"/>
      </w:rPr>
    </w:lvl>
    <w:lvl w:ilvl="4" w:tplc="6E0AED2A">
      <w:start w:val="1"/>
      <w:numFmt w:val="bullet"/>
      <w:lvlText w:val=""/>
      <w:lvlJc w:val="left"/>
      <w:pPr>
        <w:ind w:left="1440" w:hanging="360"/>
      </w:pPr>
      <w:rPr>
        <w:rFonts w:ascii="Symbol" w:hAnsi="Symbol"/>
      </w:rPr>
    </w:lvl>
    <w:lvl w:ilvl="5" w:tplc="E6B8C4F8">
      <w:start w:val="1"/>
      <w:numFmt w:val="bullet"/>
      <w:lvlText w:val=""/>
      <w:lvlJc w:val="left"/>
      <w:pPr>
        <w:ind w:left="1440" w:hanging="360"/>
      </w:pPr>
      <w:rPr>
        <w:rFonts w:ascii="Symbol" w:hAnsi="Symbol"/>
      </w:rPr>
    </w:lvl>
    <w:lvl w:ilvl="6" w:tplc="11983202">
      <w:start w:val="1"/>
      <w:numFmt w:val="bullet"/>
      <w:lvlText w:val=""/>
      <w:lvlJc w:val="left"/>
      <w:pPr>
        <w:ind w:left="1440" w:hanging="360"/>
      </w:pPr>
      <w:rPr>
        <w:rFonts w:ascii="Symbol" w:hAnsi="Symbol"/>
      </w:rPr>
    </w:lvl>
    <w:lvl w:ilvl="7" w:tplc="D258FDE4">
      <w:start w:val="1"/>
      <w:numFmt w:val="bullet"/>
      <w:lvlText w:val=""/>
      <w:lvlJc w:val="left"/>
      <w:pPr>
        <w:ind w:left="1440" w:hanging="360"/>
      </w:pPr>
      <w:rPr>
        <w:rFonts w:ascii="Symbol" w:hAnsi="Symbol"/>
      </w:rPr>
    </w:lvl>
    <w:lvl w:ilvl="8" w:tplc="B400E3EC">
      <w:start w:val="1"/>
      <w:numFmt w:val="bullet"/>
      <w:lvlText w:val=""/>
      <w:lvlJc w:val="left"/>
      <w:pPr>
        <w:ind w:left="1440" w:hanging="360"/>
      </w:pPr>
      <w:rPr>
        <w:rFonts w:ascii="Symbol" w:hAnsi="Symbol"/>
      </w:rPr>
    </w:lvl>
  </w:abstractNum>
  <w:num w:numId="1" w16cid:durableId="1396900980">
    <w:abstractNumId w:val="6"/>
  </w:num>
  <w:num w:numId="2" w16cid:durableId="1794009997">
    <w:abstractNumId w:val="3"/>
  </w:num>
  <w:num w:numId="3" w16cid:durableId="1698771434">
    <w:abstractNumId w:val="4"/>
  </w:num>
  <w:num w:numId="4" w16cid:durableId="1362852207">
    <w:abstractNumId w:val="0"/>
  </w:num>
  <w:num w:numId="5" w16cid:durableId="899176150">
    <w:abstractNumId w:val="7"/>
  </w:num>
  <w:num w:numId="6" w16cid:durableId="1592928230">
    <w:abstractNumId w:val="2"/>
  </w:num>
  <w:num w:numId="7" w16cid:durableId="262105484">
    <w:abstractNumId w:val="5"/>
  </w:num>
  <w:num w:numId="8" w16cid:durableId="1995572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FE"/>
    <w:rsid w:val="00003772"/>
    <w:rsid w:val="00005334"/>
    <w:rsid w:val="00013F30"/>
    <w:rsid w:val="00024935"/>
    <w:rsid w:val="00031C8E"/>
    <w:rsid w:val="00033617"/>
    <w:rsid w:val="000379BF"/>
    <w:rsid w:val="00041864"/>
    <w:rsid w:val="0004388B"/>
    <w:rsid w:val="00043B75"/>
    <w:rsid w:val="00055086"/>
    <w:rsid w:val="00055346"/>
    <w:rsid w:val="00062FB8"/>
    <w:rsid w:val="000637DB"/>
    <w:rsid w:val="00067874"/>
    <w:rsid w:val="000757CF"/>
    <w:rsid w:val="00085705"/>
    <w:rsid w:val="00087716"/>
    <w:rsid w:val="00090774"/>
    <w:rsid w:val="000A47EF"/>
    <w:rsid w:val="000D7CF9"/>
    <w:rsid w:val="000E27EA"/>
    <w:rsid w:val="000F370F"/>
    <w:rsid w:val="000F3C88"/>
    <w:rsid w:val="000F7DFB"/>
    <w:rsid w:val="00104019"/>
    <w:rsid w:val="00111D5C"/>
    <w:rsid w:val="00142A05"/>
    <w:rsid w:val="001501D0"/>
    <w:rsid w:val="00151182"/>
    <w:rsid w:val="00151FC5"/>
    <w:rsid w:val="00157818"/>
    <w:rsid w:val="00167A18"/>
    <w:rsid w:val="001713B7"/>
    <w:rsid w:val="0017368A"/>
    <w:rsid w:val="001A0B9F"/>
    <w:rsid w:val="001A5560"/>
    <w:rsid w:val="001A6F48"/>
    <w:rsid w:val="001B0DAA"/>
    <w:rsid w:val="001B12C3"/>
    <w:rsid w:val="001B1C7E"/>
    <w:rsid w:val="001C079D"/>
    <w:rsid w:val="001C0955"/>
    <w:rsid w:val="001D0D17"/>
    <w:rsid w:val="001E04DC"/>
    <w:rsid w:val="00202B9E"/>
    <w:rsid w:val="00220BCC"/>
    <w:rsid w:val="00232167"/>
    <w:rsid w:val="00236E4E"/>
    <w:rsid w:val="002426BD"/>
    <w:rsid w:val="0026022D"/>
    <w:rsid w:val="00266927"/>
    <w:rsid w:val="00271139"/>
    <w:rsid w:val="00275D14"/>
    <w:rsid w:val="002767AE"/>
    <w:rsid w:val="00280AD8"/>
    <w:rsid w:val="00281A76"/>
    <w:rsid w:val="00281F69"/>
    <w:rsid w:val="00286781"/>
    <w:rsid w:val="00291478"/>
    <w:rsid w:val="00292388"/>
    <w:rsid w:val="00293C15"/>
    <w:rsid w:val="002954BE"/>
    <w:rsid w:val="002B697F"/>
    <w:rsid w:val="002B6E39"/>
    <w:rsid w:val="002C08AF"/>
    <w:rsid w:val="002C7885"/>
    <w:rsid w:val="002D652F"/>
    <w:rsid w:val="002E0C75"/>
    <w:rsid w:val="002E1537"/>
    <w:rsid w:val="002E5BCC"/>
    <w:rsid w:val="002E77E2"/>
    <w:rsid w:val="00302DDF"/>
    <w:rsid w:val="00311B10"/>
    <w:rsid w:val="00314120"/>
    <w:rsid w:val="003151E1"/>
    <w:rsid w:val="00316F2F"/>
    <w:rsid w:val="0033271B"/>
    <w:rsid w:val="00334D85"/>
    <w:rsid w:val="00340E9E"/>
    <w:rsid w:val="00346729"/>
    <w:rsid w:val="003546A2"/>
    <w:rsid w:val="00355450"/>
    <w:rsid w:val="00357F1F"/>
    <w:rsid w:val="003627C6"/>
    <w:rsid w:val="0037614E"/>
    <w:rsid w:val="00381328"/>
    <w:rsid w:val="003957C1"/>
    <w:rsid w:val="003B3A57"/>
    <w:rsid w:val="003D36D7"/>
    <w:rsid w:val="003E2E60"/>
    <w:rsid w:val="003E3C67"/>
    <w:rsid w:val="003E58EC"/>
    <w:rsid w:val="003F0AE0"/>
    <w:rsid w:val="00400EF0"/>
    <w:rsid w:val="00404567"/>
    <w:rsid w:val="00404D6D"/>
    <w:rsid w:val="00414753"/>
    <w:rsid w:val="0044171E"/>
    <w:rsid w:val="00442967"/>
    <w:rsid w:val="0045380D"/>
    <w:rsid w:val="004563DD"/>
    <w:rsid w:val="00461EA4"/>
    <w:rsid w:val="00477C7D"/>
    <w:rsid w:val="00480D6A"/>
    <w:rsid w:val="004835FF"/>
    <w:rsid w:val="0048360F"/>
    <w:rsid w:val="0049229C"/>
    <w:rsid w:val="00497F1A"/>
    <w:rsid w:val="004A032D"/>
    <w:rsid w:val="004A19F3"/>
    <w:rsid w:val="004B63E5"/>
    <w:rsid w:val="004B6C34"/>
    <w:rsid w:val="004D7AFE"/>
    <w:rsid w:val="004E3DDA"/>
    <w:rsid w:val="004F7AFC"/>
    <w:rsid w:val="00504FE9"/>
    <w:rsid w:val="0051314A"/>
    <w:rsid w:val="00513669"/>
    <w:rsid w:val="0052032B"/>
    <w:rsid w:val="00521DE0"/>
    <w:rsid w:val="00531F4B"/>
    <w:rsid w:val="00537BC2"/>
    <w:rsid w:val="00554B50"/>
    <w:rsid w:val="005569D1"/>
    <w:rsid w:val="0057364B"/>
    <w:rsid w:val="00576E9E"/>
    <w:rsid w:val="00583831"/>
    <w:rsid w:val="00586649"/>
    <w:rsid w:val="005910B7"/>
    <w:rsid w:val="00592CD1"/>
    <w:rsid w:val="00593CB6"/>
    <w:rsid w:val="00594202"/>
    <w:rsid w:val="005A0AEB"/>
    <w:rsid w:val="005A410E"/>
    <w:rsid w:val="005B04C6"/>
    <w:rsid w:val="005B3440"/>
    <w:rsid w:val="005D300C"/>
    <w:rsid w:val="005D3E2F"/>
    <w:rsid w:val="005E6B64"/>
    <w:rsid w:val="005F01AB"/>
    <w:rsid w:val="005F1C85"/>
    <w:rsid w:val="005F5562"/>
    <w:rsid w:val="005F584D"/>
    <w:rsid w:val="00603153"/>
    <w:rsid w:val="00610671"/>
    <w:rsid w:val="00613AFB"/>
    <w:rsid w:val="00614F33"/>
    <w:rsid w:val="0062478F"/>
    <w:rsid w:val="006359D6"/>
    <w:rsid w:val="006416F0"/>
    <w:rsid w:val="006522F5"/>
    <w:rsid w:val="00654254"/>
    <w:rsid w:val="00671F21"/>
    <w:rsid w:val="00680E96"/>
    <w:rsid w:val="0068239C"/>
    <w:rsid w:val="006874D3"/>
    <w:rsid w:val="0069106D"/>
    <w:rsid w:val="00691204"/>
    <w:rsid w:val="0069212A"/>
    <w:rsid w:val="00696164"/>
    <w:rsid w:val="00697036"/>
    <w:rsid w:val="006A37F3"/>
    <w:rsid w:val="006B53B0"/>
    <w:rsid w:val="006C3231"/>
    <w:rsid w:val="006C7C1C"/>
    <w:rsid w:val="006D6E64"/>
    <w:rsid w:val="006F5A2C"/>
    <w:rsid w:val="006F793B"/>
    <w:rsid w:val="0070285E"/>
    <w:rsid w:val="007104CC"/>
    <w:rsid w:val="007116B5"/>
    <w:rsid w:val="00736C0F"/>
    <w:rsid w:val="00740ED7"/>
    <w:rsid w:val="00744602"/>
    <w:rsid w:val="007541F9"/>
    <w:rsid w:val="00757D5B"/>
    <w:rsid w:val="00767F50"/>
    <w:rsid w:val="00772088"/>
    <w:rsid w:val="00785037"/>
    <w:rsid w:val="007B228D"/>
    <w:rsid w:val="007B6064"/>
    <w:rsid w:val="007B73B9"/>
    <w:rsid w:val="007B7BA7"/>
    <w:rsid w:val="007C02E6"/>
    <w:rsid w:val="007C5360"/>
    <w:rsid w:val="007D22BC"/>
    <w:rsid w:val="007D62FB"/>
    <w:rsid w:val="007E4341"/>
    <w:rsid w:val="007E4F18"/>
    <w:rsid w:val="00803CFE"/>
    <w:rsid w:val="00812029"/>
    <w:rsid w:val="00815044"/>
    <w:rsid w:val="00830DA7"/>
    <w:rsid w:val="008348A7"/>
    <w:rsid w:val="00836F1B"/>
    <w:rsid w:val="008502EC"/>
    <w:rsid w:val="00853AA7"/>
    <w:rsid w:val="00854ED6"/>
    <w:rsid w:val="0086297D"/>
    <w:rsid w:val="008660E7"/>
    <w:rsid w:val="0086694E"/>
    <w:rsid w:val="00874441"/>
    <w:rsid w:val="00874552"/>
    <w:rsid w:val="008859BA"/>
    <w:rsid w:val="00886158"/>
    <w:rsid w:val="00890ADA"/>
    <w:rsid w:val="008B1A3B"/>
    <w:rsid w:val="008C56EC"/>
    <w:rsid w:val="008D16D7"/>
    <w:rsid w:val="008D330C"/>
    <w:rsid w:val="008D3455"/>
    <w:rsid w:val="008E18DB"/>
    <w:rsid w:val="008F09D0"/>
    <w:rsid w:val="008F6571"/>
    <w:rsid w:val="009006E9"/>
    <w:rsid w:val="00900FE1"/>
    <w:rsid w:val="00921E0C"/>
    <w:rsid w:val="009260B1"/>
    <w:rsid w:val="009265E7"/>
    <w:rsid w:val="00931CA1"/>
    <w:rsid w:val="009346E2"/>
    <w:rsid w:val="009361C0"/>
    <w:rsid w:val="00950344"/>
    <w:rsid w:val="009517D1"/>
    <w:rsid w:val="00955E63"/>
    <w:rsid w:val="0095758B"/>
    <w:rsid w:val="00961809"/>
    <w:rsid w:val="00961AFD"/>
    <w:rsid w:val="009643EC"/>
    <w:rsid w:val="009675E3"/>
    <w:rsid w:val="00990DD9"/>
    <w:rsid w:val="009A4B79"/>
    <w:rsid w:val="009A51BD"/>
    <w:rsid w:val="009B53D3"/>
    <w:rsid w:val="009B5A90"/>
    <w:rsid w:val="009C205C"/>
    <w:rsid w:val="009E078E"/>
    <w:rsid w:val="009E6E8D"/>
    <w:rsid w:val="009F152D"/>
    <w:rsid w:val="009F5333"/>
    <w:rsid w:val="009F755D"/>
    <w:rsid w:val="00A00E45"/>
    <w:rsid w:val="00A07CAB"/>
    <w:rsid w:val="00A10124"/>
    <w:rsid w:val="00A15261"/>
    <w:rsid w:val="00A16630"/>
    <w:rsid w:val="00A367D4"/>
    <w:rsid w:val="00A5085B"/>
    <w:rsid w:val="00A56E9E"/>
    <w:rsid w:val="00A64AFF"/>
    <w:rsid w:val="00A72286"/>
    <w:rsid w:val="00A803AB"/>
    <w:rsid w:val="00A8198C"/>
    <w:rsid w:val="00A879EE"/>
    <w:rsid w:val="00A879FB"/>
    <w:rsid w:val="00A94665"/>
    <w:rsid w:val="00AA06C7"/>
    <w:rsid w:val="00AC688A"/>
    <w:rsid w:val="00AC7984"/>
    <w:rsid w:val="00AD06B8"/>
    <w:rsid w:val="00AE4CFC"/>
    <w:rsid w:val="00AF04B7"/>
    <w:rsid w:val="00B01F1A"/>
    <w:rsid w:val="00B02339"/>
    <w:rsid w:val="00B039F8"/>
    <w:rsid w:val="00B20B34"/>
    <w:rsid w:val="00B4050D"/>
    <w:rsid w:val="00B442C0"/>
    <w:rsid w:val="00B45598"/>
    <w:rsid w:val="00B61954"/>
    <w:rsid w:val="00B61A85"/>
    <w:rsid w:val="00B74672"/>
    <w:rsid w:val="00B87F9E"/>
    <w:rsid w:val="00B93551"/>
    <w:rsid w:val="00BB2941"/>
    <w:rsid w:val="00BB587F"/>
    <w:rsid w:val="00BC5046"/>
    <w:rsid w:val="00BD0C01"/>
    <w:rsid w:val="00BD1558"/>
    <w:rsid w:val="00BD7F01"/>
    <w:rsid w:val="00BE4B0F"/>
    <w:rsid w:val="00BF6F24"/>
    <w:rsid w:val="00BF7EA9"/>
    <w:rsid w:val="00C038FA"/>
    <w:rsid w:val="00C159DA"/>
    <w:rsid w:val="00C22397"/>
    <w:rsid w:val="00C244F8"/>
    <w:rsid w:val="00C247D2"/>
    <w:rsid w:val="00C25688"/>
    <w:rsid w:val="00C334A2"/>
    <w:rsid w:val="00C33C17"/>
    <w:rsid w:val="00C3554D"/>
    <w:rsid w:val="00C372EA"/>
    <w:rsid w:val="00C4395E"/>
    <w:rsid w:val="00C562D6"/>
    <w:rsid w:val="00C56C05"/>
    <w:rsid w:val="00C72B4D"/>
    <w:rsid w:val="00C7535D"/>
    <w:rsid w:val="00C832F9"/>
    <w:rsid w:val="00C90A8B"/>
    <w:rsid w:val="00CA194E"/>
    <w:rsid w:val="00CA5100"/>
    <w:rsid w:val="00CB7195"/>
    <w:rsid w:val="00CC0C97"/>
    <w:rsid w:val="00CC6137"/>
    <w:rsid w:val="00CD2DD0"/>
    <w:rsid w:val="00CD6579"/>
    <w:rsid w:val="00CF4DDE"/>
    <w:rsid w:val="00D1030E"/>
    <w:rsid w:val="00D15DA0"/>
    <w:rsid w:val="00D16D19"/>
    <w:rsid w:val="00D21BE5"/>
    <w:rsid w:val="00D260F5"/>
    <w:rsid w:val="00D350BE"/>
    <w:rsid w:val="00D35856"/>
    <w:rsid w:val="00D35D82"/>
    <w:rsid w:val="00D56B4B"/>
    <w:rsid w:val="00D65CFB"/>
    <w:rsid w:val="00D66410"/>
    <w:rsid w:val="00D67E4E"/>
    <w:rsid w:val="00D749B2"/>
    <w:rsid w:val="00D77FD5"/>
    <w:rsid w:val="00D80C8C"/>
    <w:rsid w:val="00D87C73"/>
    <w:rsid w:val="00D93A5D"/>
    <w:rsid w:val="00DA21DB"/>
    <w:rsid w:val="00DB1C97"/>
    <w:rsid w:val="00DB5835"/>
    <w:rsid w:val="00DB7313"/>
    <w:rsid w:val="00DB7B0D"/>
    <w:rsid w:val="00DC13DC"/>
    <w:rsid w:val="00DC216E"/>
    <w:rsid w:val="00DC370E"/>
    <w:rsid w:val="00DC7FBF"/>
    <w:rsid w:val="00DD3575"/>
    <w:rsid w:val="00DD35EE"/>
    <w:rsid w:val="00DE0AA1"/>
    <w:rsid w:val="00DE7BC2"/>
    <w:rsid w:val="00DE7D09"/>
    <w:rsid w:val="00DE7E21"/>
    <w:rsid w:val="00DE7FD0"/>
    <w:rsid w:val="00E0177E"/>
    <w:rsid w:val="00E02B9C"/>
    <w:rsid w:val="00E1340B"/>
    <w:rsid w:val="00E2032E"/>
    <w:rsid w:val="00E203C3"/>
    <w:rsid w:val="00E233A4"/>
    <w:rsid w:val="00E310E9"/>
    <w:rsid w:val="00E31573"/>
    <w:rsid w:val="00E363EA"/>
    <w:rsid w:val="00E4463D"/>
    <w:rsid w:val="00E458A4"/>
    <w:rsid w:val="00E46237"/>
    <w:rsid w:val="00E6367E"/>
    <w:rsid w:val="00E65830"/>
    <w:rsid w:val="00E67D5D"/>
    <w:rsid w:val="00E754F1"/>
    <w:rsid w:val="00E814ED"/>
    <w:rsid w:val="00E82F96"/>
    <w:rsid w:val="00E84519"/>
    <w:rsid w:val="00E85B67"/>
    <w:rsid w:val="00E867FE"/>
    <w:rsid w:val="00E964D0"/>
    <w:rsid w:val="00EA15B1"/>
    <w:rsid w:val="00EA307A"/>
    <w:rsid w:val="00EA5DA1"/>
    <w:rsid w:val="00ED0222"/>
    <w:rsid w:val="00ED6374"/>
    <w:rsid w:val="00EE2A88"/>
    <w:rsid w:val="00EE4406"/>
    <w:rsid w:val="00EE6406"/>
    <w:rsid w:val="00EE6A0D"/>
    <w:rsid w:val="00EF6F8C"/>
    <w:rsid w:val="00F0071A"/>
    <w:rsid w:val="00F035C4"/>
    <w:rsid w:val="00F42702"/>
    <w:rsid w:val="00F46CFB"/>
    <w:rsid w:val="00F47D32"/>
    <w:rsid w:val="00F50F2A"/>
    <w:rsid w:val="00F5663B"/>
    <w:rsid w:val="00F66A21"/>
    <w:rsid w:val="00F67EF9"/>
    <w:rsid w:val="00F70250"/>
    <w:rsid w:val="00F74E7B"/>
    <w:rsid w:val="00F75E4C"/>
    <w:rsid w:val="00F77250"/>
    <w:rsid w:val="00F8500A"/>
    <w:rsid w:val="00F90308"/>
    <w:rsid w:val="00F9081F"/>
    <w:rsid w:val="00F9622A"/>
    <w:rsid w:val="00FA1712"/>
    <w:rsid w:val="00FA1767"/>
    <w:rsid w:val="00FA1BBB"/>
    <w:rsid w:val="00FA6C3C"/>
    <w:rsid w:val="00FB07A9"/>
    <w:rsid w:val="00FB6E24"/>
    <w:rsid w:val="00FB7B6C"/>
    <w:rsid w:val="00FC02CC"/>
    <w:rsid w:val="00FD0B2D"/>
    <w:rsid w:val="00FD3F46"/>
    <w:rsid w:val="00FD630F"/>
    <w:rsid w:val="00FE60A9"/>
    <w:rsid w:val="00FE74DA"/>
    <w:rsid w:val="00FF0E1E"/>
    <w:rsid w:val="00FF53F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3D290"/>
  <w15:docId w15:val="{F8A0E892-187B-427D-B64F-24EC155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440"/>
  </w:style>
  <w:style w:type="paragraph" w:styleId="Heading1">
    <w:name w:val="heading 1"/>
    <w:basedOn w:val="Normal"/>
    <w:next w:val="Normal"/>
    <w:link w:val="Heading1Char"/>
    <w:uiPriority w:val="9"/>
    <w:qFormat/>
    <w:rsid w:val="00803C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C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3C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C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C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C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C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C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C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C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C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C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C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C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C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C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C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CFE"/>
    <w:rPr>
      <w:rFonts w:eastAsiaTheme="majorEastAsia" w:cstheme="majorBidi"/>
      <w:color w:val="272727" w:themeColor="text1" w:themeTint="D8"/>
    </w:rPr>
  </w:style>
  <w:style w:type="paragraph" w:styleId="Title">
    <w:name w:val="Title"/>
    <w:basedOn w:val="Normal"/>
    <w:next w:val="Normal"/>
    <w:link w:val="TitleChar"/>
    <w:uiPriority w:val="10"/>
    <w:qFormat/>
    <w:rsid w:val="00803C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C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C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CFE"/>
    <w:pPr>
      <w:spacing w:before="160"/>
      <w:jc w:val="center"/>
    </w:pPr>
    <w:rPr>
      <w:i/>
      <w:iCs/>
      <w:color w:val="404040" w:themeColor="text1" w:themeTint="BF"/>
    </w:rPr>
  </w:style>
  <w:style w:type="character" w:customStyle="1" w:styleId="QuoteChar">
    <w:name w:val="Quote Char"/>
    <w:basedOn w:val="DefaultParagraphFont"/>
    <w:link w:val="Quote"/>
    <w:uiPriority w:val="29"/>
    <w:rsid w:val="00803CFE"/>
    <w:rPr>
      <w:i/>
      <w:iCs/>
      <w:color w:val="404040" w:themeColor="text1" w:themeTint="BF"/>
    </w:rPr>
  </w:style>
  <w:style w:type="paragraph" w:styleId="ListParagraph">
    <w:name w:val="List Paragraph"/>
    <w:basedOn w:val="Normal"/>
    <w:uiPriority w:val="34"/>
    <w:qFormat/>
    <w:rsid w:val="00803CFE"/>
    <w:pPr>
      <w:ind w:left="720"/>
      <w:contextualSpacing/>
    </w:pPr>
  </w:style>
  <w:style w:type="character" w:styleId="IntenseEmphasis">
    <w:name w:val="Intense Emphasis"/>
    <w:basedOn w:val="DefaultParagraphFont"/>
    <w:uiPriority w:val="21"/>
    <w:qFormat/>
    <w:rsid w:val="00803CFE"/>
    <w:rPr>
      <w:i/>
      <w:iCs/>
      <w:color w:val="2F5496" w:themeColor="accent1" w:themeShade="BF"/>
    </w:rPr>
  </w:style>
  <w:style w:type="paragraph" w:styleId="IntenseQuote">
    <w:name w:val="Intense Quote"/>
    <w:basedOn w:val="Normal"/>
    <w:next w:val="Normal"/>
    <w:link w:val="IntenseQuoteChar"/>
    <w:uiPriority w:val="30"/>
    <w:qFormat/>
    <w:rsid w:val="00803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CFE"/>
    <w:rPr>
      <w:i/>
      <w:iCs/>
      <w:color w:val="2F5496" w:themeColor="accent1" w:themeShade="BF"/>
    </w:rPr>
  </w:style>
  <w:style w:type="character" w:styleId="IntenseReference">
    <w:name w:val="Intense Reference"/>
    <w:basedOn w:val="DefaultParagraphFont"/>
    <w:uiPriority w:val="32"/>
    <w:qFormat/>
    <w:rsid w:val="00803CFE"/>
    <w:rPr>
      <w:b/>
      <w:bCs/>
      <w:smallCaps/>
      <w:color w:val="2F5496" w:themeColor="accent1" w:themeShade="BF"/>
      <w:spacing w:val="5"/>
    </w:rPr>
  </w:style>
  <w:style w:type="paragraph" w:styleId="FootnoteText">
    <w:name w:val="footnote text"/>
    <w:basedOn w:val="Normal"/>
    <w:link w:val="FootnoteTextChar"/>
    <w:uiPriority w:val="99"/>
    <w:semiHidden/>
    <w:unhideWhenUsed/>
    <w:rsid w:val="007B2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28D"/>
    <w:rPr>
      <w:sz w:val="20"/>
      <w:szCs w:val="20"/>
    </w:rPr>
  </w:style>
  <w:style w:type="character" w:styleId="FootnoteReference">
    <w:name w:val="footnote reference"/>
    <w:basedOn w:val="DefaultParagraphFont"/>
    <w:uiPriority w:val="99"/>
    <w:semiHidden/>
    <w:unhideWhenUsed/>
    <w:rsid w:val="007B228D"/>
    <w:rPr>
      <w:vertAlign w:val="superscript"/>
    </w:rPr>
  </w:style>
  <w:style w:type="character" w:styleId="CommentReference">
    <w:name w:val="annotation reference"/>
    <w:basedOn w:val="DefaultParagraphFont"/>
    <w:uiPriority w:val="99"/>
    <w:semiHidden/>
    <w:unhideWhenUsed/>
    <w:rsid w:val="00497F1A"/>
    <w:rPr>
      <w:sz w:val="16"/>
      <w:szCs w:val="16"/>
    </w:rPr>
  </w:style>
  <w:style w:type="paragraph" w:styleId="CommentText">
    <w:name w:val="annotation text"/>
    <w:basedOn w:val="Normal"/>
    <w:link w:val="CommentTextChar"/>
    <w:uiPriority w:val="99"/>
    <w:unhideWhenUsed/>
    <w:rsid w:val="00497F1A"/>
    <w:pPr>
      <w:spacing w:line="240" w:lineRule="auto"/>
    </w:pPr>
    <w:rPr>
      <w:sz w:val="20"/>
      <w:szCs w:val="20"/>
    </w:rPr>
  </w:style>
  <w:style w:type="character" w:customStyle="1" w:styleId="CommentTextChar">
    <w:name w:val="Comment Text Char"/>
    <w:basedOn w:val="DefaultParagraphFont"/>
    <w:link w:val="CommentText"/>
    <w:uiPriority w:val="99"/>
    <w:rsid w:val="00497F1A"/>
    <w:rPr>
      <w:sz w:val="20"/>
      <w:szCs w:val="20"/>
    </w:rPr>
  </w:style>
  <w:style w:type="paragraph" w:styleId="CommentSubject">
    <w:name w:val="annotation subject"/>
    <w:basedOn w:val="CommentText"/>
    <w:next w:val="CommentText"/>
    <w:link w:val="CommentSubjectChar"/>
    <w:uiPriority w:val="99"/>
    <w:semiHidden/>
    <w:unhideWhenUsed/>
    <w:rsid w:val="00497F1A"/>
    <w:rPr>
      <w:b/>
      <w:bCs/>
    </w:rPr>
  </w:style>
  <w:style w:type="character" w:customStyle="1" w:styleId="CommentSubjectChar">
    <w:name w:val="Comment Subject Char"/>
    <w:basedOn w:val="CommentTextChar"/>
    <w:link w:val="CommentSubject"/>
    <w:uiPriority w:val="99"/>
    <w:semiHidden/>
    <w:rsid w:val="00497F1A"/>
    <w:rPr>
      <w:b/>
      <w:bCs/>
      <w:sz w:val="20"/>
      <w:szCs w:val="20"/>
    </w:rPr>
  </w:style>
  <w:style w:type="paragraph" w:styleId="Revision">
    <w:name w:val="Revision"/>
    <w:hidden/>
    <w:uiPriority w:val="99"/>
    <w:semiHidden/>
    <w:rsid w:val="00281A76"/>
    <w:pPr>
      <w:spacing w:after="0" w:line="240" w:lineRule="auto"/>
    </w:pPr>
  </w:style>
  <w:style w:type="paragraph" w:styleId="NoSpacing">
    <w:name w:val="No Spacing"/>
    <w:basedOn w:val="Normal"/>
    <w:uiPriority w:val="1"/>
    <w:qFormat/>
    <w:rsid w:val="00D56B4B"/>
    <w:pPr>
      <w:spacing w:after="0" w:line="240" w:lineRule="auto"/>
    </w:pPr>
    <w:rPr>
      <w:rFonts w:ascii="Aptos" w:hAnsi="Aptos" w:cs="Aptos"/>
      <w:kern w:val="0"/>
      <w14:ligatures w14:val="none"/>
    </w:rPr>
  </w:style>
  <w:style w:type="paragraph" w:styleId="Header">
    <w:name w:val="header"/>
    <w:basedOn w:val="Normal"/>
    <w:link w:val="HeaderChar"/>
    <w:uiPriority w:val="99"/>
    <w:unhideWhenUsed/>
    <w:rsid w:val="00754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1F9"/>
  </w:style>
  <w:style w:type="paragraph" w:styleId="Footer">
    <w:name w:val="footer"/>
    <w:basedOn w:val="Normal"/>
    <w:link w:val="FooterChar"/>
    <w:uiPriority w:val="99"/>
    <w:unhideWhenUsed/>
    <w:rsid w:val="00754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1F9"/>
  </w:style>
  <w:style w:type="character" w:styleId="Hyperlink">
    <w:name w:val="Hyperlink"/>
    <w:basedOn w:val="DefaultParagraphFont"/>
    <w:uiPriority w:val="99"/>
    <w:unhideWhenUsed/>
    <w:rsid w:val="00414753"/>
    <w:rPr>
      <w:color w:val="0563C1" w:themeColor="hyperlink"/>
      <w:u w:val="single"/>
    </w:rPr>
  </w:style>
  <w:style w:type="character" w:customStyle="1" w:styleId="Onopgelostemelding1">
    <w:name w:val="Onopgeloste melding1"/>
    <w:basedOn w:val="DefaultParagraphFont"/>
    <w:uiPriority w:val="99"/>
    <w:semiHidden/>
    <w:unhideWhenUsed/>
    <w:rsid w:val="00414753"/>
    <w:rPr>
      <w:color w:val="605E5C"/>
      <w:shd w:val="clear" w:color="auto" w:fill="E1DFDD"/>
    </w:rPr>
  </w:style>
  <w:style w:type="paragraph" w:styleId="BalloonText">
    <w:name w:val="Balloon Text"/>
    <w:basedOn w:val="Normal"/>
    <w:link w:val="BalloonTextChar"/>
    <w:uiPriority w:val="99"/>
    <w:semiHidden/>
    <w:unhideWhenUsed/>
    <w:rsid w:val="003E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C67"/>
    <w:rPr>
      <w:rFonts w:ascii="Tahoma" w:hAnsi="Tahoma" w:cs="Tahoma"/>
      <w:sz w:val="16"/>
      <w:szCs w:val="16"/>
    </w:rPr>
  </w:style>
  <w:style w:type="character" w:styleId="FollowedHyperlink">
    <w:name w:val="FollowedHyperlink"/>
    <w:basedOn w:val="DefaultParagraphFont"/>
    <w:uiPriority w:val="99"/>
    <w:semiHidden/>
    <w:unhideWhenUsed/>
    <w:rsid w:val="00BF6F24"/>
    <w:rPr>
      <w:color w:val="954F72" w:themeColor="followedHyperlink"/>
      <w:u w:val="single"/>
    </w:rPr>
  </w:style>
  <w:style w:type="character" w:styleId="UnresolvedMention">
    <w:name w:val="Unresolved Mention"/>
    <w:basedOn w:val="DefaultParagraphFont"/>
    <w:uiPriority w:val="99"/>
    <w:semiHidden/>
    <w:unhideWhenUsed/>
    <w:rsid w:val="00AC688A"/>
    <w:rPr>
      <w:color w:val="605E5C"/>
      <w:shd w:val="clear" w:color="auto" w:fill="E1DFDD"/>
    </w:rPr>
  </w:style>
  <w:style w:type="table" w:styleId="TableGrid">
    <w:name w:val="Table Grid"/>
    <w:basedOn w:val="TableNormal"/>
    <w:uiPriority w:val="39"/>
    <w:rsid w:val="00B93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355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2213">
      <w:bodyDiv w:val="1"/>
      <w:marLeft w:val="0"/>
      <w:marRight w:val="0"/>
      <w:marTop w:val="0"/>
      <w:marBottom w:val="0"/>
      <w:divBdr>
        <w:top w:val="none" w:sz="0" w:space="0" w:color="auto"/>
        <w:left w:val="none" w:sz="0" w:space="0" w:color="auto"/>
        <w:bottom w:val="none" w:sz="0" w:space="0" w:color="auto"/>
        <w:right w:val="none" w:sz="0" w:space="0" w:color="auto"/>
      </w:divBdr>
    </w:div>
    <w:div w:id="95828679">
      <w:bodyDiv w:val="1"/>
      <w:marLeft w:val="0"/>
      <w:marRight w:val="0"/>
      <w:marTop w:val="0"/>
      <w:marBottom w:val="0"/>
      <w:divBdr>
        <w:top w:val="none" w:sz="0" w:space="0" w:color="auto"/>
        <w:left w:val="none" w:sz="0" w:space="0" w:color="auto"/>
        <w:bottom w:val="none" w:sz="0" w:space="0" w:color="auto"/>
        <w:right w:val="none" w:sz="0" w:space="0" w:color="auto"/>
      </w:divBdr>
    </w:div>
    <w:div w:id="210460717">
      <w:bodyDiv w:val="1"/>
      <w:marLeft w:val="0"/>
      <w:marRight w:val="0"/>
      <w:marTop w:val="0"/>
      <w:marBottom w:val="0"/>
      <w:divBdr>
        <w:top w:val="none" w:sz="0" w:space="0" w:color="auto"/>
        <w:left w:val="none" w:sz="0" w:space="0" w:color="auto"/>
        <w:bottom w:val="none" w:sz="0" w:space="0" w:color="auto"/>
        <w:right w:val="none" w:sz="0" w:space="0" w:color="auto"/>
      </w:divBdr>
    </w:div>
    <w:div w:id="280232216">
      <w:bodyDiv w:val="1"/>
      <w:marLeft w:val="0"/>
      <w:marRight w:val="0"/>
      <w:marTop w:val="0"/>
      <w:marBottom w:val="0"/>
      <w:divBdr>
        <w:top w:val="none" w:sz="0" w:space="0" w:color="auto"/>
        <w:left w:val="none" w:sz="0" w:space="0" w:color="auto"/>
        <w:bottom w:val="none" w:sz="0" w:space="0" w:color="auto"/>
        <w:right w:val="none" w:sz="0" w:space="0" w:color="auto"/>
      </w:divBdr>
    </w:div>
    <w:div w:id="310519791">
      <w:bodyDiv w:val="1"/>
      <w:marLeft w:val="0"/>
      <w:marRight w:val="0"/>
      <w:marTop w:val="0"/>
      <w:marBottom w:val="0"/>
      <w:divBdr>
        <w:top w:val="none" w:sz="0" w:space="0" w:color="auto"/>
        <w:left w:val="none" w:sz="0" w:space="0" w:color="auto"/>
        <w:bottom w:val="none" w:sz="0" w:space="0" w:color="auto"/>
        <w:right w:val="none" w:sz="0" w:space="0" w:color="auto"/>
      </w:divBdr>
    </w:div>
    <w:div w:id="354772979">
      <w:bodyDiv w:val="1"/>
      <w:marLeft w:val="0"/>
      <w:marRight w:val="0"/>
      <w:marTop w:val="0"/>
      <w:marBottom w:val="0"/>
      <w:divBdr>
        <w:top w:val="none" w:sz="0" w:space="0" w:color="auto"/>
        <w:left w:val="none" w:sz="0" w:space="0" w:color="auto"/>
        <w:bottom w:val="none" w:sz="0" w:space="0" w:color="auto"/>
        <w:right w:val="none" w:sz="0" w:space="0" w:color="auto"/>
      </w:divBdr>
    </w:div>
    <w:div w:id="440074603">
      <w:bodyDiv w:val="1"/>
      <w:marLeft w:val="0"/>
      <w:marRight w:val="0"/>
      <w:marTop w:val="0"/>
      <w:marBottom w:val="0"/>
      <w:divBdr>
        <w:top w:val="none" w:sz="0" w:space="0" w:color="auto"/>
        <w:left w:val="none" w:sz="0" w:space="0" w:color="auto"/>
        <w:bottom w:val="none" w:sz="0" w:space="0" w:color="auto"/>
        <w:right w:val="none" w:sz="0" w:space="0" w:color="auto"/>
      </w:divBdr>
    </w:div>
    <w:div w:id="465708936">
      <w:bodyDiv w:val="1"/>
      <w:marLeft w:val="0"/>
      <w:marRight w:val="0"/>
      <w:marTop w:val="0"/>
      <w:marBottom w:val="0"/>
      <w:divBdr>
        <w:top w:val="none" w:sz="0" w:space="0" w:color="auto"/>
        <w:left w:val="none" w:sz="0" w:space="0" w:color="auto"/>
        <w:bottom w:val="none" w:sz="0" w:space="0" w:color="auto"/>
        <w:right w:val="none" w:sz="0" w:space="0" w:color="auto"/>
      </w:divBdr>
    </w:div>
    <w:div w:id="673070900">
      <w:bodyDiv w:val="1"/>
      <w:marLeft w:val="0"/>
      <w:marRight w:val="0"/>
      <w:marTop w:val="0"/>
      <w:marBottom w:val="0"/>
      <w:divBdr>
        <w:top w:val="none" w:sz="0" w:space="0" w:color="auto"/>
        <w:left w:val="none" w:sz="0" w:space="0" w:color="auto"/>
        <w:bottom w:val="none" w:sz="0" w:space="0" w:color="auto"/>
        <w:right w:val="none" w:sz="0" w:space="0" w:color="auto"/>
      </w:divBdr>
    </w:div>
    <w:div w:id="733509505">
      <w:bodyDiv w:val="1"/>
      <w:marLeft w:val="0"/>
      <w:marRight w:val="0"/>
      <w:marTop w:val="0"/>
      <w:marBottom w:val="0"/>
      <w:divBdr>
        <w:top w:val="none" w:sz="0" w:space="0" w:color="auto"/>
        <w:left w:val="none" w:sz="0" w:space="0" w:color="auto"/>
        <w:bottom w:val="none" w:sz="0" w:space="0" w:color="auto"/>
        <w:right w:val="none" w:sz="0" w:space="0" w:color="auto"/>
      </w:divBdr>
    </w:div>
    <w:div w:id="812983678">
      <w:bodyDiv w:val="1"/>
      <w:marLeft w:val="0"/>
      <w:marRight w:val="0"/>
      <w:marTop w:val="0"/>
      <w:marBottom w:val="0"/>
      <w:divBdr>
        <w:top w:val="none" w:sz="0" w:space="0" w:color="auto"/>
        <w:left w:val="none" w:sz="0" w:space="0" w:color="auto"/>
        <w:bottom w:val="none" w:sz="0" w:space="0" w:color="auto"/>
        <w:right w:val="none" w:sz="0" w:space="0" w:color="auto"/>
      </w:divBdr>
    </w:div>
    <w:div w:id="1033111975">
      <w:bodyDiv w:val="1"/>
      <w:marLeft w:val="0"/>
      <w:marRight w:val="0"/>
      <w:marTop w:val="0"/>
      <w:marBottom w:val="0"/>
      <w:divBdr>
        <w:top w:val="none" w:sz="0" w:space="0" w:color="auto"/>
        <w:left w:val="none" w:sz="0" w:space="0" w:color="auto"/>
        <w:bottom w:val="none" w:sz="0" w:space="0" w:color="auto"/>
        <w:right w:val="none" w:sz="0" w:space="0" w:color="auto"/>
      </w:divBdr>
    </w:div>
    <w:div w:id="1164978711">
      <w:bodyDiv w:val="1"/>
      <w:marLeft w:val="0"/>
      <w:marRight w:val="0"/>
      <w:marTop w:val="0"/>
      <w:marBottom w:val="0"/>
      <w:divBdr>
        <w:top w:val="none" w:sz="0" w:space="0" w:color="auto"/>
        <w:left w:val="none" w:sz="0" w:space="0" w:color="auto"/>
        <w:bottom w:val="none" w:sz="0" w:space="0" w:color="auto"/>
        <w:right w:val="none" w:sz="0" w:space="0" w:color="auto"/>
      </w:divBdr>
    </w:div>
    <w:div w:id="1192189759">
      <w:bodyDiv w:val="1"/>
      <w:marLeft w:val="0"/>
      <w:marRight w:val="0"/>
      <w:marTop w:val="0"/>
      <w:marBottom w:val="0"/>
      <w:divBdr>
        <w:top w:val="none" w:sz="0" w:space="0" w:color="auto"/>
        <w:left w:val="none" w:sz="0" w:space="0" w:color="auto"/>
        <w:bottom w:val="none" w:sz="0" w:space="0" w:color="auto"/>
        <w:right w:val="none" w:sz="0" w:space="0" w:color="auto"/>
      </w:divBdr>
    </w:div>
    <w:div w:id="1226527436">
      <w:bodyDiv w:val="1"/>
      <w:marLeft w:val="0"/>
      <w:marRight w:val="0"/>
      <w:marTop w:val="0"/>
      <w:marBottom w:val="0"/>
      <w:divBdr>
        <w:top w:val="none" w:sz="0" w:space="0" w:color="auto"/>
        <w:left w:val="none" w:sz="0" w:space="0" w:color="auto"/>
        <w:bottom w:val="none" w:sz="0" w:space="0" w:color="auto"/>
        <w:right w:val="none" w:sz="0" w:space="0" w:color="auto"/>
      </w:divBdr>
    </w:div>
    <w:div w:id="1567691101">
      <w:bodyDiv w:val="1"/>
      <w:marLeft w:val="0"/>
      <w:marRight w:val="0"/>
      <w:marTop w:val="0"/>
      <w:marBottom w:val="0"/>
      <w:divBdr>
        <w:top w:val="none" w:sz="0" w:space="0" w:color="auto"/>
        <w:left w:val="none" w:sz="0" w:space="0" w:color="auto"/>
        <w:bottom w:val="none" w:sz="0" w:space="0" w:color="auto"/>
        <w:right w:val="none" w:sz="0" w:space="0" w:color="auto"/>
      </w:divBdr>
    </w:div>
    <w:div w:id="1617787764">
      <w:bodyDiv w:val="1"/>
      <w:marLeft w:val="0"/>
      <w:marRight w:val="0"/>
      <w:marTop w:val="0"/>
      <w:marBottom w:val="0"/>
      <w:divBdr>
        <w:top w:val="none" w:sz="0" w:space="0" w:color="auto"/>
        <w:left w:val="none" w:sz="0" w:space="0" w:color="auto"/>
        <w:bottom w:val="none" w:sz="0" w:space="0" w:color="auto"/>
        <w:right w:val="none" w:sz="0" w:space="0" w:color="auto"/>
      </w:divBdr>
    </w:div>
    <w:div w:id="1647314246">
      <w:bodyDiv w:val="1"/>
      <w:marLeft w:val="0"/>
      <w:marRight w:val="0"/>
      <w:marTop w:val="0"/>
      <w:marBottom w:val="0"/>
      <w:divBdr>
        <w:top w:val="none" w:sz="0" w:space="0" w:color="auto"/>
        <w:left w:val="none" w:sz="0" w:space="0" w:color="auto"/>
        <w:bottom w:val="none" w:sz="0" w:space="0" w:color="auto"/>
        <w:right w:val="none" w:sz="0" w:space="0" w:color="auto"/>
      </w:divBdr>
    </w:div>
    <w:div w:id="1647464970">
      <w:bodyDiv w:val="1"/>
      <w:marLeft w:val="0"/>
      <w:marRight w:val="0"/>
      <w:marTop w:val="0"/>
      <w:marBottom w:val="0"/>
      <w:divBdr>
        <w:top w:val="none" w:sz="0" w:space="0" w:color="auto"/>
        <w:left w:val="none" w:sz="0" w:space="0" w:color="auto"/>
        <w:bottom w:val="none" w:sz="0" w:space="0" w:color="auto"/>
        <w:right w:val="none" w:sz="0" w:space="0" w:color="auto"/>
      </w:divBdr>
    </w:div>
    <w:div w:id="1651599031">
      <w:bodyDiv w:val="1"/>
      <w:marLeft w:val="0"/>
      <w:marRight w:val="0"/>
      <w:marTop w:val="0"/>
      <w:marBottom w:val="0"/>
      <w:divBdr>
        <w:top w:val="none" w:sz="0" w:space="0" w:color="auto"/>
        <w:left w:val="none" w:sz="0" w:space="0" w:color="auto"/>
        <w:bottom w:val="none" w:sz="0" w:space="0" w:color="auto"/>
        <w:right w:val="none" w:sz="0" w:space="0" w:color="auto"/>
      </w:divBdr>
    </w:div>
    <w:div w:id="1691299003">
      <w:bodyDiv w:val="1"/>
      <w:marLeft w:val="0"/>
      <w:marRight w:val="0"/>
      <w:marTop w:val="0"/>
      <w:marBottom w:val="0"/>
      <w:divBdr>
        <w:top w:val="none" w:sz="0" w:space="0" w:color="auto"/>
        <w:left w:val="none" w:sz="0" w:space="0" w:color="auto"/>
        <w:bottom w:val="none" w:sz="0" w:space="0" w:color="auto"/>
        <w:right w:val="none" w:sz="0" w:space="0" w:color="auto"/>
      </w:divBdr>
    </w:div>
    <w:div w:id="1719356616">
      <w:bodyDiv w:val="1"/>
      <w:marLeft w:val="0"/>
      <w:marRight w:val="0"/>
      <w:marTop w:val="0"/>
      <w:marBottom w:val="0"/>
      <w:divBdr>
        <w:top w:val="none" w:sz="0" w:space="0" w:color="auto"/>
        <w:left w:val="none" w:sz="0" w:space="0" w:color="auto"/>
        <w:bottom w:val="none" w:sz="0" w:space="0" w:color="auto"/>
        <w:right w:val="none" w:sz="0" w:space="0" w:color="auto"/>
      </w:divBdr>
    </w:div>
    <w:div w:id="2032409217">
      <w:bodyDiv w:val="1"/>
      <w:marLeft w:val="0"/>
      <w:marRight w:val="0"/>
      <w:marTop w:val="0"/>
      <w:marBottom w:val="0"/>
      <w:divBdr>
        <w:top w:val="none" w:sz="0" w:space="0" w:color="auto"/>
        <w:left w:val="none" w:sz="0" w:space="0" w:color="auto"/>
        <w:bottom w:val="none" w:sz="0" w:space="0" w:color="auto"/>
        <w:right w:val="none" w:sz="0" w:space="0" w:color="auto"/>
      </w:divBdr>
    </w:div>
    <w:div w:id="2053454924">
      <w:bodyDiv w:val="1"/>
      <w:marLeft w:val="0"/>
      <w:marRight w:val="0"/>
      <w:marTop w:val="0"/>
      <w:marBottom w:val="0"/>
      <w:divBdr>
        <w:top w:val="none" w:sz="0" w:space="0" w:color="auto"/>
        <w:left w:val="none" w:sz="0" w:space="0" w:color="auto"/>
        <w:bottom w:val="none" w:sz="0" w:space="0" w:color="auto"/>
        <w:right w:val="none" w:sz="0" w:space="0" w:color="auto"/>
      </w:divBdr>
    </w:div>
    <w:div w:id="21317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financien.nl/voorjaarsnota/2025/7816576" TargetMode="External"/><Relationship Id="rId3" Type="http://schemas.openxmlformats.org/officeDocument/2006/relationships/hyperlink" Target="https://www.rijksoverheid.nl/onderwerpen/navo-top-2025/nato-public-forum" TargetMode="External"/><Relationship Id="rId7" Type="http://schemas.openxmlformats.org/officeDocument/2006/relationships/hyperlink" Target="https://wetten.overheid.nl/BWBR0034360/2019-01-01" TargetMode="External"/><Relationship Id="rId2" Type="http://schemas.openxmlformats.org/officeDocument/2006/relationships/hyperlink" Target="https://www.natopublicforum.org/" TargetMode="External"/><Relationship Id="rId1" Type="http://schemas.openxmlformats.org/officeDocument/2006/relationships/hyperlink" Target="https://www.defensie.nl/onderwerpen/navo-top-2025/nato-summit-defence-industry-forum" TargetMode="External"/><Relationship Id="rId6" Type="http://schemas.openxmlformats.org/officeDocument/2006/relationships/hyperlink" Target="https://www.tweedekamer.nl/kamerstukken/brieven_regering/detail?id=2025D27021&amp;did=2025D27021" TargetMode="External"/><Relationship Id="rId11" Type="http://schemas.openxmlformats.org/officeDocument/2006/relationships/hyperlink" Target="https://www.rijksfinancien.nl/voorjaarsnota/2025/7816041" TargetMode="External"/><Relationship Id="rId5" Type="http://schemas.openxmlformats.org/officeDocument/2006/relationships/hyperlink" Target="https://www.rijksfinancien.nl/memorie-van-toelichting/2025/OWB/X/onderdeel/3156428" TargetMode="External"/><Relationship Id="rId10" Type="http://schemas.openxmlformats.org/officeDocument/2006/relationships/hyperlink" Target="https://www.rijksfinancien.nl/jaarverslag/2024/X/onderdeel/7888193" TargetMode="External"/><Relationship Id="rId4" Type="http://schemas.openxmlformats.org/officeDocument/2006/relationships/hyperlink" Target="https://www.rijksfinancien.nl/voorjaarsnota/2024/2744679" TargetMode="External"/><Relationship Id="rId9" Type="http://schemas.openxmlformats.org/officeDocument/2006/relationships/hyperlink" Target="https://www.nato.int/nato_static_fl2014/assets/pdf/2025/4/pdf/sgar2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2591</ap:Words>
  <ap:Characters>14254</ap:Characters>
  <ap:DocSecurity>0</ap:DocSecurity>
  <ap:Lines>118</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16812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2025-06-06T15:09:00.0000000Z</lastPrinted>
  <dcterms:created xsi:type="dcterms:W3CDTF">2025-06-13T14:16:00.0000000Z</dcterms:created>
  <dcterms:modified xsi:type="dcterms:W3CDTF">2025-06-13T14:16:00.0000000Z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0x0101009C7CE436063D44E9BE7DC0259EF7C32F006EB9F9836A634AE58B6169785FD3936F003FD5B2F9E986EC4490E3A24B9BD4DE1C</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f48b0cb2-080f-499b-b9dc-33faa32a9870</vt:lpwstr>
  </property>
  <property fmtid="{D5CDD505-2E9C-101B-9397-08002B2CF9AE}" pid="8" name="BZClassification">
    <vt:lpwstr>4;#UNCLASSIFIED (U)|284e6a62-15ab-4017-be27-a1e965f4e940</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256f556a7b748329ab47889947c7d40">
    <vt:lpwstr/>
  </property>
  <property fmtid="{D5CDD505-2E9C-101B-9397-08002B2CF9AE}" pid="19" name="ed9282a3f18446ec8c17c7829edf82dd">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