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1095" w:rsidR="00A7252C" w:rsidP="00231095" w:rsidRDefault="00A7252C" w14:paraId="5763775D" w14:textId="44BD0310">
      <w:pPr>
        <w:ind w:left="1416" w:hanging="1416"/>
        <w:rPr>
          <w:rFonts w:ascii="Times New Roman" w:hAnsi="Times New Roman" w:cs="Times New Roman"/>
          <w:sz w:val="24"/>
          <w:szCs w:val="24"/>
        </w:rPr>
      </w:pPr>
      <w:r w:rsidRPr="00231095">
        <w:rPr>
          <w:rFonts w:ascii="Times New Roman" w:hAnsi="Times New Roman" w:cs="Times New Roman"/>
          <w:b/>
          <w:sz w:val="24"/>
          <w:szCs w:val="24"/>
        </w:rPr>
        <w:t>36</w:t>
      </w:r>
      <w:r w:rsidR="00231095">
        <w:rPr>
          <w:rFonts w:ascii="Times New Roman" w:hAnsi="Times New Roman" w:cs="Times New Roman"/>
          <w:b/>
          <w:sz w:val="24"/>
          <w:szCs w:val="24"/>
        </w:rPr>
        <w:t xml:space="preserve"> </w:t>
      </w:r>
      <w:r w:rsidRPr="00231095">
        <w:rPr>
          <w:rFonts w:ascii="Times New Roman" w:hAnsi="Times New Roman" w:cs="Times New Roman"/>
          <w:b/>
          <w:sz w:val="24"/>
          <w:szCs w:val="24"/>
        </w:rPr>
        <w:t>7</w:t>
      </w:r>
      <w:r w:rsidRPr="00231095" w:rsidR="001733F1">
        <w:rPr>
          <w:rFonts w:ascii="Times New Roman" w:hAnsi="Times New Roman" w:cs="Times New Roman"/>
          <w:b/>
          <w:sz w:val="24"/>
          <w:szCs w:val="24"/>
        </w:rPr>
        <w:t>4</w:t>
      </w:r>
      <w:r w:rsidRPr="00231095">
        <w:rPr>
          <w:rFonts w:ascii="Times New Roman" w:hAnsi="Times New Roman" w:cs="Times New Roman"/>
          <w:b/>
          <w:sz w:val="24"/>
          <w:szCs w:val="24"/>
        </w:rPr>
        <w:t>3</w:t>
      </w:r>
      <w:r w:rsidRPr="00231095">
        <w:rPr>
          <w:rFonts w:ascii="Times New Roman" w:hAnsi="Times New Roman" w:cs="Times New Roman"/>
          <w:b/>
          <w:sz w:val="24"/>
          <w:szCs w:val="24"/>
        </w:rPr>
        <w:tab/>
      </w:r>
      <w:r w:rsidRPr="00231095" w:rsidR="00231095">
        <w:rPr>
          <w:rFonts w:ascii="Times New Roman" w:hAnsi="Times New Roman" w:cs="Times New Roman"/>
          <w:b/>
          <w:bCs/>
          <w:sz w:val="24"/>
          <w:szCs w:val="24"/>
        </w:rPr>
        <w:t>Wijziging van Boek 8 van het Burgerlijk Wetboek in verband met de invoering van  het elektronisch cognossement</w:t>
      </w:r>
    </w:p>
    <w:p w:rsidRPr="00231095" w:rsidR="00A7252C" w:rsidP="00231095" w:rsidRDefault="00A7252C" w14:paraId="1DE718B5" w14:textId="07A6BFB8">
      <w:pPr>
        <w:spacing w:after="0"/>
        <w:rPr>
          <w:rFonts w:ascii="Times New Roman" w:hAnsi="Times New Roman" w:cs="Times New Roman"/>
          <w:b/>
          <w:sz w:val="24"/>
          <w:szCs w:val="24"/>
        </w:rPr>
      </w:pPr>
      <w:r w:rsidRPr="00231095">
        <w:rPr>
          <w:rFonts w:ascii="Times New Roman" w:hAnsi="Times New Roman" w:cs="Times New Roman"/>
          <w:b/>
          <w:sz w:val="24"/>
          <w:szCs w:val="24"/>
        </w:rPr>
        <w:t>Nr.</w:t>
      </w:r>
      <w:r w:rsidRPr="00231095" w:rsidR="00231095">
        <w:rPr>
          <w:rFonts w:ascii="Times New Roman" w:hAnsi="Times New Roman" w:cs="Times New Roman"/>
          <w:b/>
          <w:sz w:val="24"/>
          <w:szCs w:val="24"/>
        </w:rPr>
        <w:t xml:space="preserve"> 5</w:t>
      </w:r>
      <w:r w:rsidRPr="00231095">
        <w:rPr>
          <w:rFonts w:ascii="Times New Roman" w:hAnsi="Times New Roman" w:cs="Times New Roman"/>
          <w:b/>
          <w:sz w:val="24"/>
          <w:szCs w:val="24"/>
        </w:rPr>
        <w:tab/>
      </w:r>
      <w:r w:rsidRPr="00231095">
        <w:rPr>
          <w:rFonts w:ascii="Times New Roman" w:hAnsi="Times New Roman" w:cs="Times New Roman"/>
          <w:b/>
          <w:sz w:val="24"/>
          <w:szCs w:val="24"/>
        </w:rPr>
        <w:tab/>
        <w:t>Verslag</w:t>
      </w:r>
    </w:p>
    <w:p w:rsidRPr="00231095" w:rsidR="00A7252C" w:rsidP="00231095" w:rsidRDefault="00A7252C" w14:paraId="45AB9D23" w14:textId="207B0672">
      <w:pPr>
        <w:spacing w:after="0"/>
        <w:rPr>
          <w:rFonts w:ascii="Times New Roman" w:hAnsi="Times New Roman" w:cs="Times New Roman"/>
          <w:sz w:val="24"/>
          <w:szCs w:val="24"/>
        </w:rPr>
      </w:pPr>
      <w:r w:rsidRPr="00231095">
        <w:rPr>
          <w:rFonts w:ascii="Times New Roman" w:hAnsi="Times New Roman" w:cs="Times New Roman"/>
          <w:b/>
          <w:sz w:val="24"/>
          <w:szCs w:val="24"/>
        </w:rPr>
        <w:tab/>
      </w:r>
      <w:r w:rsidRPr="00231095">
        <w:rPr>
          <w:rFonts w:ascii="Times New Roman" w:hAnsi="Times New Roman" w:cs="Times New Roman"/>
          <w:b/>
          <w:sz w:val="24"/>
          <w:szCs w:val="24"/>
        </w:rPr>
        <w:tab/>
      </w:r>
      <w:r w:rsidRPr="00231095">
        <w:rPr>
          <w:rFonts w:ascii="Times New Roman" w:hAnsi="Times New Roman" w:cs="Times New Roman"/>
          <w:sz w:val="24"/>
          <w:szCs w:val="24"/>
        </w:rPr>
        <w:t xml:space="preserve">Vastgesteld </w:t>
      </w:r>
      <w:r w:rsidRPr="00231095" w:rsidR="00231095">
        <w:rPr>
          <w:rFonts w:ascii="Times New Roman" w:hAnsi="Times New Roman" w:cs="Times New Roman"/>
          <w:sz w:val="24"/>
          <w:szCs w:val="24"/>
        </w:rPr>
        <w:t>6 juni 2025</w:t>
      </w:r>
      <w:r w:rsidRPr="00231095" w:rsidR="00231095">
        <w:rPr>
          <w:rFonts w:ascii="Times New Roman" w:hAnsi="Times New Roman" w:cs="Times New Roman"/>
          <w:sz w:val="24"/>
          <w:szCs w:val="24"/>
        </w:rPr>
        <w:br/>
      </w:r>
    </w:p>
    <w:p w:rsidRPr="00231095" w:rsidR="00844E28" w:rsidP="00A7252C" w:rsidRDefault="00A7252C" w14:paraId="6BD49968" w14:textId="36207F81">
      <w:pPr>
        <w:ind w:left="1416"/>
        <w:rPr>
          <w:rFonts w:ascii="Times New Roman" w:hAnsi="Times New Roman" w:cs="Times New Roman"/>
          <w:sz w:val="24"/>
          <w:szCs w:val="24"/>
        </w:rPr>
      </w:pPr>
      <w:r w:rsidRPr="00231095">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231095" w:rsidR="00844E28" w:rsidP="00844E28" w:rsidRDefault="00844E28" w14:paraId="51309725" w14:textId="77777777">
      <w:pPr>
        <w:rPr>
          <w:rFonts w:ascii="Times New Roman" w:hAnsi="Times New Roman" w:cs="Times New Roman"/>
          <w:sz w:val="24"/>
          <w:szCs w:val="24"/>
          <w:lang w:eastAsia="nl-NL"/>
        </w:rPr>
      </w:pPr>
    </w:p>
    <w:p w:rsidRPr="00231095" w:rsidR="00EF7F86" w:rsidP="00A82B67" w:rsidRDefault="00A7252C" w14:paraId="4142C6CE" w14:textId="77777777">
      <w:pPr>
        <w:spacing w:after="0" w:line="240" w:lineRule="auto"/>
        <w:ind w:left="1416"/>
        <w:rPr>
          <w:rFonts w:ascii="Times New Roman" w:hAnsi="Times New Roman" w:cs="Times New Roman"/>
          <w:i/>
          <w:iCs/>
          <w:sz w:val="24"/>
          <w:szCs w:val="24"/>
        </w:rPr>
      </w:pPr>
      <w:r w:rsidRPr="00231095">
        <w:rPr>
          <w:rFonts w:ascii="Times New Roman" w:hAnsi="Times New Roman" w:cs="Times New Roman"/>
          <w:b/>
          <w:sz w:val="24"/>
          <w:szCs w:val="24"/>
          <w:lang w:eastAsia="nl-NL"/>
        </w:rPr>
        <w:t>INHOUDSOPGAVE</w:t>
      </w:r>
      <w:r w:rsidRPr="00231095">
        <w:rPr>
          <w:rFonts w:ascii="Times New Roman" w:hAnsi="Times New Roman" w:cs="Times New Roman"/>
          <w:b/>
          <w:sz w:val="24"/>
          <w:szCs w:val="24"/>
          <w:lang w:eastAsia="nl-NL"/>
        </w:rPr>
        <w:br/>
      </w:r>
      <w:r w:rsidRPr="00231095">
        <w:rPr>
          <w:rFonts w:ascii="Times New Roman" w:hAnsi="Times New Roman" w:cs="Times New Roman"/>
          <w:b/>
          <w:sz w:val="24"/>
          <w:szCs w:val="24"/>
          <w:lang w:eastAsia="nl-NL"/>
        </w:rPr>
        <w:br/>
      </w:r>
      <w:r w:rsidRPr="00231095" w:rsidR="00C836F1">
        <w:rPr>
          <w:rFonts w:ascii="Times New Roman" w:hAnsi="Times New Roman" w:cs="Times New Roman"/>
          <w:b/>
          <w:sz w:val="24"/>
          <w:szCs w:val="24"/>
          <w:lang w:eastAsia="nl-NL"/>
        </w:rPr>
        <w:t xml:space="preserve">I. </w:t>
      </w:r>
      <w:r w:rsidRPr="00231095" w:rsidR="00844E28">
        <w:rPr>
          <w:rFonts w:ascii="Times New Roman" w:hAnsi="Times New Roman" w:cs="Times New Roman"/>
          <w:b/>
          <w:sz w:val="24"/>
          <w:szCs w:val="24"/>
          <w:lang w:eastAsia="nl-NL"/>
        </w:rPr>
        <w:t>ALGEMEEN</w:t>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DF1FA6">
        <w:rPr>
          <w:rFonts w:ascii="Times New Roman" w:hAnsi="Times New Roman" w:cs="Times New Roman"/>
          <w:bCs/>
          <w:sz w:val="24"/>
          <w:szCs w:val="24"/>
          <w:lang w:eastAsia="nl-NL"/>
        </w:rPr>
        <w:t>1</w:t>
      </w:r>
      <w:r w:rsidRPr="00231095" w:rsidR="00844E28">
        <w:rPr>
          <w:rFonts w:ascii="Times New Roman" w:hAnsi="Times New Roman" w:cs="Times New Roman"/>
          <w:b/>
          <w:sz w:val="24"/>
          <w:szCs w:val="24"/>
          <w:lang w:eastAsia="nl-NL"/>
        </w:rPr>
        <w:br/>
      </w:r>
      <w:r w:rsidRPr="00231095" w:rsidR="00844E28">
        <w:rPr>
          <w:rFonts w:ascii="Times New Roman" w:hAnsi="Times New Roman" w:cs="Times New Roman"/>
          <w:b/>
          <w:sz w:val="24"/>
          <w:szCs w:val="24"/>
          <w:lang w:eastAsia="nl-NL"/>
        </w:rPr>
        <w:br/>
        <w:t>1. Inleiding</w:t>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847ED2">
        <w:rPr>
          <w:rFonts w:ascii="Times New Roman" w:hAnsi="Times New Roman" w:cs="Times New Roman"/>
          <w:b/>
          <w:sz w:val="24"/>
          <w:szCs w:val="24"/>
          <w:lang w:eastAsia="nl-NL"/>
        </w:rPr>
        <w:tab/>
      </w:r>
      <w:r w:rsidRPr="00231095" w:rsidR="00DF1FA6">
        <w:rPr>
          <w:rFonts w:ascii="Times New Roman" w:hAnsi="Times New Roman" w:cs="Times New Roman"/>
          <w:bCs/>
          <w:sz w:val="24"/>
          <w:szCs w:val="24"/>
          <w:lang w:eastAsia="nl-NL"/>
        </w:rPr>
        <w:t>1</w:t>
      </w:r>
      <w:r w:rsidRPr="00231095" w:rsidR="00844E28">
        <w:rPr>
          <w:rFonts w:ascii="Times New Roman" w:hAnsi="Times New Roman" w:cs="Times New Roman"/>
          <w:b/>
          <w:sz w:val="24"/>
          <w:szCs w:val="24"/>
          <w:lang w:eastAsia="nl-NL"/>
        </w:rPr>
        <w:br/>
      </w:r>
      <w:r w:rsidRPr="00231095" w:rsidR="00844E28">
        <w:rPr>
          <w:rFonts w:ascii="Times New Roman" w:hAnsi="Times New Roman" w:cs="Times New Roman"/>
          <w:b/>
          <w:sz w:val="24"/>
          <w:szCs w:val="24"/>
          <w:lang w:eastAsia="nl-NL"/>
        </w:rPr>
        <w:br/>
        <w:t xml:space="preserve">2. </w:t>
      </w:r>
      <w:r w:rsidRPr="00231095" w:rsidR="00C836F1">
        <w:rPr>
          <w:rFonts w:ascii="Times New Roman" w:hAnsi="Times New Roman" w:cs="Times New Roman"/>
          <w:b/>
          <w:bCs/>
          <w:sz w:val="24"/>
          <w:szCs w:val="24"/>
        </w:rPr>
        <w:t>Hoofdlijnen van het voorstel</w:t>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DF1FA6">
        <w:rPr>
          <w:rFonts w:ascii="Times New Roman" w:hAnsi="Times New Roman" w:cs="Times New Roman"/>
          <w:sz w:val="24"/>
          <w:szCs w:val="24"/>
        </w:rPr>
        <w:t>2</w:t>
      </w:r>
      <w:r w:rsidRPr="00231095" w:rsidR="00C836F1">
        <w:rPr>
          <w:rFonts w:ascii="Times New Roman" w:hAnsi="Times New Roman" w:cs="Times New Roman"/>
          <w:b/>
          <w:bCs/>
          <w:sz w:val="24"/>
          <w:szCs w:val="24"/>
        </w:rPr>
        <w:br/>
      </w:r>
      <w:r w:rsidRPr="00231095" w:rsidR="00C836F1">
        <w:rPr>
          <w:rFonts w:ascii="Times New Roman" w:hAnsi="Times New Roman" w:cs="Times New Roman"/>
          <w:i/>
          <w:iCs/>
          <w:sz w:val="24"/>
          <w:szCs w:val="24"/>
        </w:rPr>
        <w:t>2.1 Algemene ontwikkelingen t</w:t>
      </w:r>
      <w:r w:rsidRPr="00231095" w:rsidR="00EF7F86">
        <w:rPr>
          <w:rFonts w:ascii="Times New Roman" w:hAnsi="Times New Roman" w:cs="Times New Roman"/>
          <w:i/>
          <w:iCs/>
          <w:sz w:val="24"/>
          <w:szCs w:val="24"/>
        </w:rPr>
        <w:t>en aanzien van</w:t>
      </w:r>
      <w:r w:rsidRPr="00231095" w:rsidR="00C836F1">
        <w:rPr>
          <w:rFonts w:ascii="Times New Roman" w:hAnsi="Times New Roman" w:cs="Times New Roman"/>
          <w:i/>
          <w:iCs/>
          <w:sz w:val="24"/>
          <w:szCs w:val="24"/>
        </w:rPr>
        <w:t xml:space="preserve"> elektronische </w:t>
      </w:r>
    </w:p>
    <w:p w:rsidRPr="00231095" w:rsidR="00C836F1" w:rsidP="00A82B67" w:rsidRDefault="00C836F1" w14:paraId="7B327920" w14:textId="0F160937">
      <w:pPr>
        <w:spacing w:after="0" w:line="240" w:lineRule="auto"/>
        <w:ind w:left="1416"/>
        <w:rPr>
          <w:rFonts w:ascii="Times New Roman" w:hAnsi="Times New Roman" w:cs="Times New Roman"/>
          <w:i/>
          <w:iCs/>
          <w:sz w:val="24"/>
          <w:szCs w:val="24"/>
        </w:rPr>
      </w:pPr>
      <w:r w:rsidRPr="00231095">
        <w:rPr>
          <w:rFonts w:ascii="Times New Roman" w:hAnsi="Times New Roman" w:cs="Times New Roman"/>
          <w:i/>
          <w:iCs/>
          <w:sz w:val="24"/>
          <w:szCs w:val="24"/>
        </w:rPr>
        <w:t>cognossementen</w:t>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EF7F86">
        <w:rPr>
          <w:rFonts w:ascii="Times New Roman" w:hAnsi="Times New Roman" w:cs="Times New Roman"/>
          <w:i/>
          <w:iCs/>
          <w:sz w:val="24"/>
          <w:szCs w:val="24"/>
        </w:rPr>
        <w:tab/>
      </w:r>
      <w:r w:rsidRPr="00231095" w:rsidR="00EF7F86">
        <w:rPr>
          <w:rFonts w:ascii="Times New Roman" w:hAnsi="Times New Roman" w:cs="Times New Roman"/>
          <w:i/>
          <w:iCs/>
          <w:sz w:val="24"/>
          <w:szCs w:val="24"/>
        </w:rPr>
        <w:tab/>
      </w:r>
      <w:r w:rsidRPr="00231095" w:rsidR="00EF7F86">
        <w:rPr>
          <w:rFonts w:ascii="Times New Roman" w:hAnsi="Times New Roman" w:cs="Times New Roman"/>
          <w:i/>
          <w:iCs/>
          <w:sz w:val="24"/>
          <w:szCs w:val="24"/>
        </w:rPr>
        <w:tab/>
      </w:r>
      <w:r w:rsidRPr="00231095" w:rsidR="00EF7F86">
        <w:rPr>
          <w:rFonts w:ascii="Times New Roman" w:hAnsi="Times New Roman" w:cs="Times New Roman"/>
          <w:i/>
          <w:iCs/>
          <w:sz w:val="24"/>
          <w:szCs w:val="24"/>
        </w:rPr>
        <w:tab/>
      </w:r>
      <w:r w:rsidRPr="00231095" w:rsidR="00EF7F86">
        <w:rPr>
          <w:rFonts w:ascii="Times New Roman" w:hAnsi="Times New Roman" w:cs="Times New Roman"/>
          <w:i/>
          <w:iCs/>
          <w:sz w:val="24"/>
          <w:szCs w:val="24"/>
        </w:rPr>
        <w:tab/>
      </w:r>
      <w:r w:rsidRPr="00231095" w:rsidR="00EF7F86">
        <w:rPr>
          <w:rFonts w:ascii="Times New Roman" w:hAnsi="Times New Roman" w:cs="Times New Roman"/>
          <w:i/>
          <w:iCs/>
          <w:sz w:val="24"/>
          <w:szCs w:val="24"/>
        </w:rPr>
        <w:tab/>
      </w:r>
      <w:r w:rsidRPr="00231095" w:rsidR="00DF1FA6">
        <w:rPr>
          <w:rFonts w:ascii="Times New Roman" w:hAnsi="Times New Roman" w:cs="Times New Roman"/>
          <w:sz w:val="24"/>
          <w:szCs w:val="24"/>
        </w:rPr>
        <w:t>2</w:t>
      </w:r>
      <w:r w:rsidRPr="00231095">
        <w:rPr>
          <w:rFonts w:ascii="Times New Roman" w:hAnsi="Times New Roman" w:cs="Times New Roman"/>
          <w:i/>
          <w:iCs/>
          <w:sz w:val="24"/>
          <w:szCs w:val="24"/>
        </w:rPr>
        <w:br/>
      </w:r>
      <w:r w:rsidRPr="00231095">
        <w:rPr>
          <w:rFonts w:ascii="Times New Roman" w:hAnsi="Times New Roman" w:cs="Times New Roman"/>
          <w:i/>
          <w:iCs/>
          <w:sz w:val="24"/>
          <w:szCs w:val="24"/>
        </w:rPr>
        <w:br/>
      </w:r>
      <w:r w:rsidRPr="00231095">
        <w:rPr>
          <w:rFonts w:ascii="Times New Roman" w:hAnsi="Times New Roman" w:cs="Times New Roman"/>
          <w:b/>
          <w:bCs/>
          <w:sz w:val="24"/>
          <w:szCs w:val="24"/>
        </w:rPr>
        <w:t>3. De verhouding met andere regelgeving</w:t>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297B40">
        <w:rPr>
          <w:rFonts w:ascii="Times New Roman" w:hAnsi="Times New Roman" w:cs="Times New Roman"/>
          <w:sz w:val="24"/>
          <w:szCs w:val="24"/>
        </w:rPr>
        <w:t>3</w:t>
      </w:r>
      <w:r w:rsidRPr="00231095">
        <w:rPr>
          <w:rFonts w:ascii="Times New Roman" w:hAnsi="Times New Roman" w:cs="Times New Roman"/>
          <w:b/>
          <w:bCs/>
          <w:sz w:val="24"/>
          <w:szCs w:val="24"/>
        </w:rPr>
        <w:br/>
      </w:r>
      <w:r w:rsidRPr="00231095">
        <w:rPr>
          <w:rFonts w:ascii="Times New Roman" w:hAnsi="Times New Roman" w:cs="Times New Roman"/>
          <w:i/>
          <w:iCs/>
          <w:sz w:val="24"/>
          <w:szCs w:val="24"/>
        </w:rPr>
        <w:t xml:space="preserve">3.1 Aansluiting bij de </w:t>
      </w:r>
      <w:r w:rsidRPr="00231095" w:rsidR="00516208">
        <w:rPr>
          <w:rFonts w:ascii="Times New Roman" w:hAnsi="Times New Roman" w:cs="Times New Roman"/>
          <w:bCs/>
          <w:i/>
          <w:iCs/>
          <w:sz w:val="24"/>
          <w:szCs w:val="24"/>
        </w:rPr>
        <w:t xml:space="preserve">Model </w:t>
      </w:r>
      <w:proofErr w:type="spellStart"/>
      <w:r w:rsidRPr="00231095" w:rsidR="00516208">
        <w:rPr>
          <w:rFonts w:ascii="Times New Roman" w:hAnsi="Times New Roman" w:cs="Times New Roman"/>
          <w:bCs/>
          <w:i/>
          <w:iCs/>
          <w:sz w:val="24"/>
          <w:szCs w:val="24"/>
        </w:rPr>
        <w:t>Law</w:t>
      </w:r>
      <w:proofErr w:type="spellEnd"/>
      <w:r w:rsidRPr="00231095" w:rsidR="00516208">
        <w:rPr>
          <w:rFonts w:ascii="Times New Roman" w:hAnsi="Times New Roman" w:cs="Times New Roman"/>
          <w:bCs/>
          <w:i/>
          <w:iCs/>
          <w:sz w:val="24"/>
          <w:szCs w:val="24"/>
        </w:rPr>
        <w:t xml:space="preserve"> on Electronic </w:t>
      </w:r>
      <w:proofErr w:type="spellStart"/>
      <w:r w:rsidRPr="00231095" w:rsidR="00516208">
        <w:rPr>
          <w:rFonts w:ascii="Times New Roman" w:hAnsi="Times New Roman" w:cs="Times New Roman"/>
          <w:bCs/>
          <w:i/>
          <w:iCs/>
          <w:sz w:val="24"/>
          <w:szCs w:val="24"/>
        </w:rPr>
        <w:t>Transferable</w:t>
      </w:r>
      <w:proofErr w:type="spellEnd"/>
      <w:r w:rsidRPr="00231095" w:rsidR="00516208">
        <w:rPr>
          <w:rFonts w:ascii="Times New Roman" w:hAnsi="Times New Roman" w:cs="Times New Roman"/>
          <w:bCs/>
          <w:i/>
          <w:iCs/>
          <w:sz w:val="24"/>
          <w:szCs w:val="24"/>
        </w:rPr>
        <w:t xml:space="preserve"> Records </w:t>
      </w:r>
      <w:r w:rsidRPr="00231095" w:rsidR="00516208">
        <w:rPr>
          <w:rFonts w:ascii="Times New Roman" w:hAnsi="Times New Roman" w:cs="Times New Roman"/>
          <w:bCs/>
          <w:i/>
          <w:iCs/>
          <w:sz w:val="24"/>
          <w:szCs w:val="24"/>
        </w:rPr>
        <w:br/>
      </w:r>
      <w:r w:rsidRPr="00231095">
        <w:rPr>
          <w:rFonts w:ascii="Times New Roman" w:hAnsi="Times New Roman" w:cs="Times New Roman"/>
          <w:i/>
          <w:iCs/>
          <w:sz w:val="24"/>
          <w:szCs w:val="24"/>
        </w:rPr>
        <w:t>en de Rotterdam Rules</w:t>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9E41E4">
        <w:rPr>
          <w:rFonts w:ascii="Times New Roman" w:hAnsi="Times New Roman" w:cs="Times New Roman"/>
          <w:i/>
          <w:iCs/>
          <w:sz w:val="24"/>
          <w:szCs w:val="24"/>
        </w:rPr>
        <w:tab/>
      </w:r>
      <w:r w:rsidRPr="00231095" w:rsidR="009E41E4">
        <w:rPr>
          <w:rFonts w:ascii="Times New Roman" w:hAnsi="Times New Roman" w:cs="Times New Roman"/>
          <w:i/>
          <w:iCs/>
          <w:sz w:val="24"/>
          <w:szCs w:val="24"/>
        </w:rPr>
        <w:tab/>
      </w:r>
      <w:r w:rsidRPr="00231095" w:rsidR="009E41E4">
        <w:rPr>
          <w:rFonts w:ascii="Times New Roman" w:hAnsi="Times New Roman" w:cs="Times New Roman"/>
          <w:i/>
          <w:iCs/>
          <w:sz w:val="24"/>
          <w:szCs w:val="24"/>
        </w:rPr>
        <w:tab/>
      </w:r>
      <w:r w:rsidRPr="00231095" w:rsidR="009E41E4">
        <w:rPr>
          <w:rFonts w:ascii="Times New Roman" w:hAnsi="Times New Roman" w:cs="Times New Roman"/>
          <w:i/>
          <w:iCs/>
          <w:sz w:val="24"/>
          <w:szCs w:val="24"/>
        </w:rPr>
        <w:tab/>
      </w:r>
      <w:r w:rsidRPr="00231095" w:rsidR="00297B40">
        <w:rPr>
          <w:rFonts w:ascii="Times New Roman" w:hAnsi="Times New Roman" w:cs="Times New Roman"/>
          <w:sz w:val="24"/>
          <w:szCs w:val="24"/>
        </w:rPr>
        <w:t>3</w:t>
      </w:r>
    </w:p>
    <w:p w:rsidRPr="00231095" w:rsidR="00C836F1" w:rsidP="00A7252C" w:rsidRDefault="00C836F1" w14:paraId="51A00B11" w14:textId="47327181">
      <w:pPr>
        <w:spacing w:after="0" w:line="240" w:lineRule="auto"/>
        <w:ind w:left="1416"/>
        <w:rPr>
          <w:rFonts w:ascii="Times New Roman" w:hAnsi="Times New Roman" w:cs="Times New Roman"/>
          <w:b/>
          <w:bCs/>
          <w:sz w:val="24"/>
          <w:szCs w:val="24"/>
        </w:rPr>
      </w:pPr>
      <w:r w:rsidRPr="00231095">
        <w:rPr>
          <w:rFonts w:ascii="Times New Roman" w:hAnsi="Times New Roman" w:cs="Times New Roman"/>
          <w:b/>
          <w:bCs/>
          <w:sz w:val="24"/>
          <w:szCs w:val="24"/>
        </w:rPr>
        <w:br/>
        <w:t>4. Gevolgen</w:t>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297B40">
        <w:rPr>
          <w:rFonts w:ascii="Times New Roman" w:hAnsi="Times New Roman" w:cs="Times New Roman"/>
          <w:sz w:val="24"/>
          <w:szCs w:val="24"/>
        </w:rPr>
        <w:t>3</w:t>
      </w:r>
    </w:p>
    <w:p w:rsidRPr="00231095" w:rsidR="00C836F1" w:rsidP="00A7252C" w:rsidRDefault="00C836F1" w14:paraId="0DE32714" w14:textId="2EEDE2FD">
      <w:pPr>
        <w:spacing w:after="0" w:line="240" w:lineRule="auto"/>
        <w:ind w:left="708" w:firstLine="708"/>
        <w:rPr>
          <w:rFonts w:ascii="Times New Roman" w:hAnsi="Times New Roman" w:cs="Times New Roman"/>
          <w:i/>
          <w:iCs/>
          <w:sz w:val="24"/>
          <w:szCs w:val="24"/>
        </w:rPr>
      </w:pPr>
      <w:r w:rsidRPr="00231095">
        <w:rPr>
          <w:rFonts w:ascii="Times New Roman" w:hAnsi="Times New Roman" w:cs="Times New Roman"/>
          <w:i/>
          <w:iCs/>
          <w:sz w:val="24"/>
          <w:szCs w:val="24"/>
        </w:rPr>
        <w:t>4.</w:t>
      </w:r>
      <w:r w:rsidRPr="00231095" w:rsidR="001B541A">
        <w:rPr>
          <w:rFonts w:ascii="Times New Roman" w:hAnsi="Times New Roman" w:cs="Times New Roman"/>
          <w:i/>
          <w:iCs/>
          <w:sz w:val="24"/>
          <w:szCs w:val="24"/>
        </w:rPr>
        <w:t>1</w:t>
      </w:r>
      <w:r w:rsidRPr="00231095">
        <w:rPr>
          <w:rFonts w:ascii="Times New Roman" w:hAnsi="Times New Roman" w:cs="Times New Roman"/>
          <w:i/>
          <w:iCs/>
          <w:sz w:val="24"/>
          <w:szCs w:val="24"/>
        </w:rPr>
        <w:t xml:space="preserve"> Uitvoering, toezicht en handhaving</w:t>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297B40">
        <w:rPr>
          <w:rFonts w:ascii="Times New Roman" w:hAnsi="Times New Roman" w:cs="Times New Roman"/>
          <w:sz w:val="24"/>
          <w:szCs w:val="24"/>
        </w:rPr>
        <w:t>3</w:t>
      </w:r>
    </w:p>
    <w:p w:rsidRPr="00231095" w:rsidR="00C836F1" w:rsidP="001B541A" w:rsidRDefault="00C836F1" w14:paraId="084D45F7" w14:textId="18BD4800">
      <w:pPr>
        <w:spacing w:after="0" w:line="240" w:lineRule="auto"/>
        <w:ind w:left="708" w:firstLine="708"/>
        <w:rPr>
          <w:rFonts w:ascii="Times New Roman" w:hAnsi="Times New Roman" w:cs="Times New Roman"/>
          <w:i/>
          <w:iCs/>
          <w:sz w:val="24"/>
          <w:szCs w:val="24"/>
        </w:rPr>
      </w:pPr>
      <w:r w:rsidRPr="00231095">
        <w:rPr>
          <w:rFonts w:ascii="Times New Roman" w:hAnsi="Times New Roman" w:cs="Times New Roman"/>
          <w:i/>
          <w:iCs/>
          <w:sz w:val="24"/>
          <w:szCs w:val="24"/>
        </w:rPr>
        <w:t>4.</w:t>
      </w:r>
      <w:r w:rsidRPr="00231095" w:rsidR="001B541A">
        <w:rPr>
          <w:rFonts w:ascii="Times New Roman" w:hAnsi="Times New Roman" w:cs="Times New Roman"/>
          <w:i/>
          <w:iCs/>
          <w:sz w:val="24"/>
          <w:szCs w:val="24"/>
        </w:rPr>
        <w:t>2</w:t>
      </w:r>
      <w:r w:rsidRPr="00231095">
        <w:rPr>
          <w:rFonts w:ascii="Times New Roman" w:hAnsi="Times New Roman" w:cs="Times New Roman"/>
          <w:i/>
          <w:iCs/>
          <w:sz w:val="24"/>
          <w:szCs w:val="24"/>
        </w:rPr>
        <w:t xml:space="preserve"> Financiële gevolgen</w:t>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847ED2">
        <w:rPr>
          <w:rFonts w:ascii="Times New Roman" w:hAnsi="Times New Roman" w:cs="Times New Roman"/>
          <w:i/>
          <w:iCs/>
          <w:sz w:val="24"/>
          <w:szCs w:val="24"/>
        </w:rPr>
        <w:tab/>
      </w:r>
      <w:r w:rsidRPr="00231095" w:rsidR="00297B40">
        <w:rPr>
          <w:rFonts w:ascii="Times New Roman" w:hAnsi="Times New Roman" w:cs="Times New Roman"/>
          <w:sz w:val="24"/>
          <w:szCs w:val="24"/>
        </w:rPr>
        <w:t>3</w:t>
      </w:r>
    </w:p>
    <w:p w:rsidRPr="00231095" w:rsidR="00C836F1" w:rsidP="00A7252C" w:rsidRDefault="00C836F1" w14:paraId="4C8F0C70" w14:textId="3344B24E">
      <w:pPr>
        <w:spacing w:after="0" w:line="240" w:lineRule="auto"/>
        <w:ind w:left="1416"/>
        <w:rPr>
          <w:rFonts w:ascii="Times New Roman" w:hAnsi="Times New Roman" w:cs="Times New Roman"/>
          <w:b/>
          <w:bCs/>
          <w:sz w:val="24"/>
          <w:szCs w:val="24"/>
        </w:rPr>
      </w:pPr>
      <w:r w:rsidRPr="00231095">
        <w:rPr>
          <w:rFonts w:ascii="Times New Roman" w:hAnsi="Times New Roman" w:cs="Times New Roman"/>
          <w:b/>
          <w:bCs/>
          <w:sz w:val="24"/>
          <w:szCs w:val="24"/>
        </w:rPr>
        <w:br/>
      </w:r>
      <w:r w:rsidRPr="00231095" w:rsidR="00450A55">
        <w:rPr>
          <w:rFonts w:ascii="Times New Roman" w:hAnsi="Times New Roman" w:cs="Times New Roman"/>
          <w:b/>
          <w:bCs/>
          <w:sz w:val="24"/>
          <w:szCs w:val="24"/>
        </w:rPr>
        <w:t>5</w:t>
      </w:r>
      <w:r w:rsidRPr="00231095">
        <w:rPr>
          <w:rFonts w:ascii="Times New Roman" w:hAnsi="Times New Roman" w:cs="Times New Roman"/>
          <w:b/>
          <w:bCs/>
          <w:sz w:val="24"/>
          <w:szCs w:val="24"/>
        </w:rPr>
        <w:t>. Overgangsrecht en inwerkingtreding</w:t>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297B40">
        <w:rPr>
          <w:rFonts w:ascii="Times New Roman" w:hAnsi="Times New Roman" w:cs="Times New Roman"/>
          <w:sz w:val="24"/>
          <w:szCs w:val="24"/>
        </w:rPr>
        <w:t>4</w:t>
      </w:r>
    </w:p>
    <w:p w:rsidRPr="00231095" w:rsidR="00C836F1" w:rsidP="00C836F1" w:rsidRDefault="00C836F1" w14:paraId="0C36A153" w14:textId="26DCF191">
      <w:pPr>
        <w:spacing w:after="0" w:line="240" w:lineRule="auto"/>
        <w:rPr>
          <w:rFonts w:ascii="Times New Roman" w:hAnsi="Times New Roman" w:cs="Times New Roman"/>
          <w:b/>
          <w:bCs/>
          <w:sz w:val="24"/>
          <w:szCs w:val="24"/>
        </w:rPr>
      </w:pPr>
    </w:p>
    <w:p w:rsidRPr="00231095" w:rsidR="00C836F1" w:rsidP="00A7252C" w:rsidRDefault="00C836F1" w14:paraId="0097D305" w14:textId="7310EBAF">
      <w:pPr>
        <w:spacing w:after="0" w:line="240" w:lineRule="auto"/>
        <w:ind w:left="1416"/>
        <w:rPr>
          <w:rFonts w:ascii="Times New Roman" w:hAnsi="Times New Roman" w:cs="Times New Roman"/>
          <w:b/>
          <w:bCs/>
          <w:sz w:val="24"/>
          <w:szCs w:val="24"/>
        </w:rPr>
      </w:pPr>
      <w:r w:rsidRPr="00231095">
        <w:rPr>
          <w:rFonts w:ascii="Times New Roman" w:hAnsi="Times New Roman" w:cs="Times New Roman"/>
          <w:b/>
          <w:sz w:val="24"/>
          <w:szCs w:val="24"/>
        </w:rPr>
        <w:t xml:space="preserve">II. </w:t>
      </w:r>
      <w:r w:rsidRPr="00231095" w:rsidR="00844E28">
        <w:rPr>
          <w:rFonts w:ascii="Times New Roman" w:hAnsi="Times New Roman" w:cs="Times New Roman"/>
          <w:b/>
          <w:sz w:val="24"/>
          <w:szCs w:val="24"/>
        </w:rPr>
        <w:t>ARTIKELSGEWIJS</w:t>
      </w:r>
      <w:r w:rsidRPr="00231095" w:rsidR="00450A55">
        <w:rPr>
          <w:rFonts w:ascii="Times New Roman" w:hAnsi="Times New Roman" w:cs="Times New Roman"/>
          <w:b/>
          <w:sz w:val="24"/>
          <w:szCs w:val="24"/>
        </w:rPr>
        <w:tab/>
      </w:r>
      <w:r w:rsidRPr="00231095" w:rsidR="00450A55">
        <w:rPr>
          <w:rFonts w:ascii="Times New Roman" w:hAnsi="Times New Roman" w:cs="Times New Roman"/>
          <w:b/>
          <w:sz w:val="24"/>
          <w:szCs w:val="24"/>
        </w:rPr>
        <w:tab/>
      </w:r>
      <w:r w:rsidRPr="00231095" w:rsidR="00450A55">
        <w:rPr>
          <w:rFonts w:ascii="Times New Roman" w:hAnsi="Times New Roman" w:cs="Times New Roman"/>
          <w:b/>
          <w:sz w:val="24"/>
          <w:szCs w:val="24"/>
        </w:rPr>
        <w:tab/>
      </w:r>
      <w:r w:rsidRPr="00231095" w:rsidR="00450A55">
        <w:rPr>
          <w:rFonts w:ascii="Times New Roman" w:hAnsi="Times New Roman" w:cs="Times New Roman"/>
          <w:b/>
          <w:sz w:val="24"/>
          <w:szCs w:val="24"/>
        </w:rPr>
        <w:tab/>
      </w:r>
      <w:r w:rsidRPr="00231095" w:rsidR="00450A55">
        <w:rPr>
          <w:rFonts w:ascii="Times New Roman" w:hAnsi="Times New Roman" w:cs="Times New Roman"/>
          <w:b/>
          <w:sz w:val="24"/>
          <w:szCs w:val="24"/>
        </w:rPr>
        <w:tab/>
      </w:r>
      <w:r w:rsidRPr="00231095" w:rsidR="00450A55">
        <w:rPr>
          <w:rFonts w:ascii="Times New Roman" w:hAnsi="Times New Roman" w:cs="Times New Roman"/>
          <w:b/>
          <w:sz w:val="24"/>
          <w:szCs w:val="24"/>
        </w:rPr>
        <w:tab/>
      </w:r>
      <w:r w:rsidRPr="00231095" w:rsidR="00450A55">
        <w:rPr>
          <w:rFonts w:ascii="Times New Roman" w:hAnsi="Times New Roman" w:cs="Times New Roman"/>
          <w:b/>
          <w:sz w:val="24"/>
          <w:szCs w:val="24"/>
        </w:rPr>
        <w:tab/>
      </w:r>
      <w:r w:rsidRPr="00231095" w:rsidR="00297B40">
        <w:rPr>
          <w:rFonts w:ascii="Times New Roman" w:hAnsi="Times New Roman" w:cs="Times New Roman"/>
          <w:bCs/>
          <w:sz w:val="24"/>
          <w:szCs w:val="24"/>
        </w:rPr>
        <w:t>4</w:t>
      </w:r>
      <w:r w:rsidRPr="00231095" w:rsidR="00450A55">
        <w:rPr>
          <w:rFonts w:ascii="Times New Roman" w:hAnsi="Times New Roman" w:cs="Times New Roman"/>
          <w:b/>
          <w:sz w:val="24"/>
          <w:szCs w:val="24"/>
        </w:rPr>
        <w:br/>
      </w:r>
      <w:r w:rsidRPr="00231095" w:rsidR="00847ED2">
        <w:rPr>
          <w:rFonts w:ascii="Times New Roman" w:hAnsi="Times New Roman" w:cs="Times New Roman"/>
          <w:b/>
          <w:sz w:val="24"/>
          <w:szCs w:val="24"/>
        </w:rPr>
        <w:tab/>
      </w:r>
      <w:r w:rsidRPr="00231095" w:rsidR="00847ED2">
        <w:rPr>
          <w:rFonts w:ascii="Times New Roman" w:hAnsi="Times New Roman" w:cs="Times New Roman"/>
          <w:b/>
          <w:sz w:val="24"/>
          <w:szCs w:val="24"/>
        </w:rPr>
        <w:tab/>
      </w:r>
      <w:r w:rsidRPr="00231095" w:rsidR="00847ED2">
        <w:rPr>
          <w:rFonts w:ascii="Times New Roman" w:hAnsi="Times New Roman" w:cs="Times New Roman"/>
          <w:b/>
          <w:sz w:val="24"/>
          <w:szCs w:val="24"/>
        </w:rPr>
        <w:tab/>
      </w:r>
      <w:r w:rsidRPr="00231095" w:rsidR="00847ED2">
        <w:rPr>
          <w:rFonts w:ascii="Times New Roman" w:hAnsi="Times New Roman" w:cs="Times New Roman"/>
          <w:b/>
          <w:sz w:val="24"/>
          <w:szCs w:val="24"/>
        </w:rPr>
        <w:tab/>
      </w:r>
      <w:r w:rsidRPr="00231095" w:rsidR="00847ED2">
        <w:rPr>
          <w:rFonts w:ascii="Times New Roman" w:hAnsi="Times New Roman" w:cs="Times New Roman"/>
          <w:b/>
          <w:sz w:val="24"/>
          <w:szCs w:val="24"/>
        </w:rPr>
        <w:tab/>
      </w:r>
      <w:r w:rsidRPr="00231095" w:rsidR="00847ED2">
        <w:rPr>
          <w:rFonts w:ascii="Times New Roman" w:hAnsi="Times New Roman" w:cs="Times New Roman"/>
          <w:b/>
          <w:sz w:val="24"/>
          <w:szCs w:val="24"/>
        </w:rPr>
        <w:tab/>
      </w:r>
      <w:r w:rsidRPr="00231095" w:rsidR="00847ED2">
        <w:rPr>
          <w:rFonts w:ascii="Times New Roman" w:hAnsi="Times New Roman" w:cs="Times New Roman"/>
          <w:b/>
          <w:sz w:val="24"/>
          <w:szCs w:val="24"/>
        </w:rPr>
        <w:tab/>
      </w:r>
      <w:r w:rsidRPr="00231095">
        <w:rPr>
          <w:rFonts w:ascii="Times New Roman" w:hAnsi="Times New Roman" w:cs="Times New Roman"/>
          <w:b/>
          <w:sz w:val="24"/>
          <w:szCs w:val="24"/>
        </w:rPr>
        <w:br/>
      </w:r>
      <w:r w:rsidRPr="00231095">
        <w:rPr>
          <w:rFonts w:ascii="Times New Roman" w:hAnsi="Times New Roman" w:cs="Times New Roman"/>
          <w:b/>
          <w:bCs/>
          <w:sz w:val="24"/>
          <w:szCs w:val="24"/>
        </w:rPr>
        <w:t>ARTIKEL I (Boek 8 van het Burgerlijk Wetboek)</w:t>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297B40">
        <w:rPr>
          <w:rFonts w:ascii="Times New Roman" w:hAnsi="Times New Roman" w:cs="Times New Roman"/>
          <w:sz w:val="24"/>
          <w:szCs w:val="24"/>
        </w:rPr>
        <w:t>4</w:t>
      </w:r>
    </w:p>
    <w:p w:rsidRPr="00231095" w:rsidR="00C836F1" w:rsidP="00A7252C" w:rsidRDefault="00C836F1" w14:paraId="3358DB86" w14:textId="5312B6DA">
      <w:pPr>
        <w:spacing w:after="0" w:line="240" w:lineRule="auto"/>
        <w:ind w:left="708" w:firstLine="708"/>
        <w:rPr>
          <w:rFonts w:ascii="Times New Roman" w:hAnsi="Times New Roman" w:cs="Times New Roman"/>
          <w:b/>
          <w:bCs/>
          <w:sz w:val="24"/>
          <w:szCs w:val="24"/>
        </w:rPr>
      </w:pPr>
      <w:r w:rsidRPr="00231095">
        <w:rPr>
          <w:rFonts w:ascii="Times New Roman" w:hAnsi="Times New Roman" w:cs="Times New Roman"/>
          <w:b/>
          <w:bCs/>
          <w:sz w:val="24"/>
          <w:szCs w:val="24"/>
        </w:rPr>
        <w:t>ARTIKEL III (Evaluatie)</w:t>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847ED2">
        <w:rPr>
          <w:rFonts w:ascii="Times New Roman" w:hAnsi="Times New Roman" w:cs="Times New Roman"/>
          <w:b/>
          <w:bCs/>
          <w:sz w:val="24"/>
          <w:szCs w:val="24"/>
        </w:rPr>
        <w:tab/>
      </w:r>
      <w:r w:rsidRPr="00231095" w:rsidR="00297B40">
        <w:rPr>
          <w:rFonts w:ascii="Times New Roman" w:hAnsi="Times New Roman" w:cs="Times New Roman"/>
          <w:sz w:val="24"/>
          <w:szCs w:val="24"/>
        </w:rPr>
        <w:t>4</w:t>
      </w:r>
    </w:p>
    <w:p w:rsidRPr="00231095" w:rsidR="00847ED2" w:rsidP="00317098" w:rsidRDefault="00847ED2" w14:paraId="533AE715" w14:textId="77777777">
      <w:pPr>
        <w:spacing w:after="0" w:line="240" w:lineRule="auto"/>
        <w:rPr>
          <w:rFonts w:ascii="Times New Roman" w:hAnsi="Times New Roman" w:cs="Times New Roman"/>
          <w:b/>
          <w:sz w:val="24"/>
          <w:szCs w:val="24"/>
        </w:rPr>
      </w:pPr>
    </w:p>
    <w:p w:rsidRPr="00231095" w:rsidR="00847ED2" w:rsidP="00317098" w:rsidRDefault="00847ED2" w14:paraId="0258A3D1" w14:textId="77777777">
      <w:pPr>
        <w:spacing w:after="0" w:line="240" w:lineRule="auto"/>
        <w:rPr>
          <w:rFonts w:ascii="Times New Roman" w:hAnsi="Times New Roman" w:cs="Times New Roman"/>
          <w:b/>
          <w:sz w:val="24"/>
          <w:szCs w:val="24"/>
        </w:rPr>
      </w:pPr>
    </w:p>
    <w:p w:rsidRPr="00231095" w:rsidR="00A7252C" w:rsidP="00061143" w:rsidRDefault="00317098" w14:paraId="156C61B3" w14:textId="04DEAC20">
      <w:pPr>
        <w:rPr>
          <w:rFonts w:ascii="Times New Roman" w:hAnsi="Times New Roman" w:cs="Times New Roman"/>
          <w:bCs/>
          <w:iCs/>
          <w:sz w:val="24"/>
          <w:szCs w:val="24"/>
        </w:rPr>
      </w:pPr>
      <w:r w:rsidRPr="00231095">
        <w:rPr>
          <w:rFonts w:ascii="Times New Roman" w:hAnsi="Times New Roman" w:cs="Times New Roman"/>
          <w:b/>
          <w:sz w:val="24"/>
          <w:szCs w:val="24"/>
        </w:rPr>
        <w:t>I. ALGEMEEN</w:t>
      </w:r>
      <w:r w:rsidRPr="00231095">
        <w:rPr>
          <w:rFonts w:ascii="Times New Roman" w:hAnsi="Times New Roman" w:cs="Times New Roman"/>
          <w:b/>
          <w:sz w:val="24"/>
          <w:szCs w:val="24"/>
        </w:rPr>
        <w:br/>
      </w:r>
      <w:r w:rsidRPr="00231095">
        <w:rPr>
          <w:rFonts w:ascii="Times New Roman" w:hAnsi="Times New Roman" w:cs="Times New Roman"/>
          <w:b/>
          <w:sz w:val="24"/>
          <w:szCs w:val="24"/>
        </w:rPr>
        <w:br/>
        <w:t>1. Inleiding</w:t>
      </w:r>
      <w:r w:rsidRPr="00231095" w:rsidR="00061143">
        <w:rPr>
          <w:rFonts w:ascii="Times New Roman" w:hAnsi="Times New Roman" w:cs="Times New Roman"/>
          <w:b/>
          <w:sz w:val="24"/>
          <w:szCs w:val="24"/>
        </w:rPr>
        <w:br/>
      </w:r>
      <w:r w:rsidRPr="00231095" w:rsidR="00061143">
        <w:rPr>
          <w:rFonts w:ascii="Times New Roman" w:hAnsi="Times New Roman" w:cs="Times New Roman"/>
          <w:b/>
          <w:sz w:val="24"/>
          <w:szCs w:val="24"/>
        </w:rPr>
        <w:br/>
      </w:r>
      <w:r w:rsidRPr="00231095" w:rsidR="00A42629">
        <w:rPr>
          <w:rFonts w:ascii="Times New Roman" w:hAnsi="Times New Roman" w:cs="Times New Roman"/>
          <w:sz w:val="24"/>
          <w:szCs w:val="24"/>
        </w:rPr>
        <w:t xml:space="preserve">De leden van de VVD-fractie hebben met belangstelling kennisgenomen van het voorstel van wet tot wijziging van Boek 8 van het Burgerlijk Wetboek in verband met de invoering van het elektronisch cognossement (hierna: het wetsvoorstel). </w:t>
      </w:r>
      <w:r w:rsidRPr="00231095" w:rsidR="001344B1">
        <w:rPr>
          <w:rFonts w:ascii="Times New Roman" w:hAnsi="Times New Roman" w:cs="Times New Roman"/>
          <w:sz w:val="24"/>
          <w:szCs w:val="24"/>
        </w:rPr>
        <w:t>Deze leden</w:t>
      </w:r>
      <w:r w:rsidRPr="00231095" w:rsidR="00A42629">
        <w:rPr>
          <w:rFonts w:ascii="Times New Roman" w:hAnsi="Times New Roman" w:cs="Times New Roman"/>
          <w:sz w:val="24"/>
          <w:szCs w:val="24"/>
        </w:rPr>
        <w:t xml:space="preserve"> onderschrijven de noodzaak van het wetsvoorstel</w:t>
      </w:r>
      <w:r w:rsidRPr="00231095" w:rsidR="005A1E63">
        <w:rPr>
          <w:rFonts w:ascii="Times New Roman" w:hAnsi="Times New Roman" w:cs="Times New Roman"/>
          <w:sz w:val="24"/>
          <w:szCs w:val="24"/>
        </w:rPr>
        <w:t>,</w:t>
      </w:r>
      <w:r w:rsidRPr="00231095" w:rsidR="00A42629">
        <w:rPr>
          <w:rFonts w:ascii="Times New Roman" w:hAnsi="Times New Roman" w:cs="Times New Roman"/>
          <w:sz w:val="24"/>
          <w:szCs w:val="24"/>
        </w:rPr>
        <w:t xml:space="preserve"> dat beoogt te voorzien in een behoefte in de praktijk om naast papieren vervoersdocumenten ook gebruik te kunnen maken van elektronische vervoersdocumenten. De</w:t>
      </w:r>
      <w:r w:rsidRPr="00231095" w:rsidR="00516082">
        <w:rPr>
          <w:rFonts w:ascii="Times New Roman" w:hAnsi="Times New Roman" w:cs="Times New Roman"/>
          <w:sz w:val="24"/>
          <w:szCs w:val="24"/>
        </w:rPr>
        <w:t>ze</w:t>
      </w:r>
      <w:r w:rsidRPr="00231095" w:rsidR="00A42629">
        <w:rPr>
          <w:rFonts w:ascii="Times New Roman" w:hAnsi="Times New Roman" w:cs="Times New Roman"/>
          <w:sz w:val="24"/>
          <w:szCs w:val="24"/>
        </w:rPr>
        <w:t xml:space="preserve"> leden constateren met de regering dat de huidige wet- en </w:t>
      </w:r>
      <w:r w:rsidRPr="00231095" w:rsidR="00A42629">
        <w:rPr>
          <w:rFonts w:ascii="Times New Roman" w:hAnsi="Times New Roman" w:cs="Times New Roman"/>
          <w:sz w:val="24"/>
          <w:szCs w:val="24"/>
        </w:rPr>
        <w:lastRenderedPageBreak/>
        <w:t>regelgeving niet goed meer aansluit bij de ontwikkelingen in de praktijk en verwelkomen in die zin het wetsvoorstel. Zij stellen nog enkele vragen.</w:t>
      </w:r>
      <w:r w:rsidRPr="00231095" w:rsidR="00061143">
        <w:rPr>
          <w:rFonts w:ascii="Times New Roman" w:hAnsi="Times New Roman" w:cs="Times New Roman"/>
          <w:b/>
          <w:sz w:val="24"/>
          <w:szCs w:val="24"/>
        </w:rPr>
        <w:br/>
      </w:r>
      <w:r w:rsidRPr="00231095" w:rsidR="00061143">
        <w:rPr>
          <w:rFonts w:ascii="Times New Roman" w:hAnsi="Times New Roman" w:cs="Times New Roman"/>
          <w:b/>
          <w:sz w:val="24"/>
          <w:szCs w:val="24"/>
        </w:rPr>
        <w:br/>
      </w:r>
      <w:r w:rsidRPr="00231095" w:rsidR="00573147">
        <w:rPr>
          <w:rFonts w:ascii="Times New Roman" w:hAnsi="Times New Roman" w:cs="Times New Roman"/>
          <w:bCs/>
          <w:sz w:val="24"/>
          <w:szCs w:val="24"/>
        </w:rPr>
        <w:t>De leden van de NSC-fractie hebben naar aanleiding van het wetsvoorstel nog enkele vragen.</w:t>
      </w:r>
      <w:r w:rsidRPr="00231095" w:rsidR="00061143">
        <w:rPr>
          <w:rFonts w:ascii="Times New Roman" w:hAnsi="Times New Roman" w:cs="Times New Roman"/>
          <w:bCs/>
          <w:sz w:val="24"/>
          <w:szCs w:val="24"/>
        </w:rPr>
        <w:br/>
      </w:r>
      <w:r w:rsidRPr="00231095" w:rsidR="00061143">
        <w:rPr>
          <w:rFonts w:ascii="Times New Roman" w:hAnsi="Times New Roman" w:cs="Times New Roman"/>
          <w:bCs/>
          <w:sz w:val="24"/>
          <w:szCs w:val="24"/>
        </w:rPr>
        <w:br/>
      </w:r>
      <w:r w:rsidRPr="00231095" w:rsidR="00181C15">
        <w:rPr>
          <w:rFonts w:ascii="Times New Roman" w:hAnsi="Times New Roman" w:cs="Times New Roman"/>
          <w:bCs/>
          <w:sz w:val="24"/>
          <w:szCs w:val="24"/>
        </w:rPr>
        <w:t>De leden van de D66</w:t>
      </w:r>
      <w:r w:rsidRPr="00231095" w:rsidR="00E91B84">
        <w:rPr>
          <w:rFonts w:ascii="Times New Roman" w:hAnsi="Times New Roman" w:cs="Times New Roman"/>
          <w:bCs/>
          <w:sz w:val="24"/>
          <w:szCs w:val="24"/>
        </w:rPr>
        <w:t>-</w:t>
      </w:r>
      <w:r w:rsidRPr="00231095" w:rsidR="00181C15">
        <w:rPr>
          <w:rFonts w:ascii="Times New Roman" w:hAnsi="Times New Roman" w:cs="Times New Roman"/>
          <w:bCs/>
          <w:sz w:val="24"/>
          <w:szCs w:val="24"/>
        </w:rPr>
        <w:t>fractie onderschrijven de verdere digitalisering met betrekking tot het elektronisch cognossement en het verbeteren van de efficiënt</w:t>
      </w:r>
      <w:r w:rsidRPr="00231095" w:rsidR="00E91B84">
        <w:rPr>
          <w:rFonts w:ascii="Times New Roman" w:hAnsi="Times New Roman" w:cs="Times New Roman"/>
          <w:bCs/>
          <w:sz w:val="24"/>
          <w:szCs w:val="24"/>
        </w:rPr>
        <w:t>i</w:t>
      </w:r>
      <w:r w:rsidRPr="00231095" w:rsidR="00181C15">
        <w:rPr>
          <w:rFonts w:ascii="Times New Roman" w:hAnsi="Times New Roman" w:cs="Times New Roman"/>
          <w:bCs/>
          <w:sz w:val="24"/>
          <w:szCs w:val="24"/>
        </w:rPr>
        <w:t>e in het goederenverkeer. De</w:t>
      </w:r>
      <w:r w:rsidRPr="00231095" w:rsidR="00E91B84">
        <w:rPr>
          <w:rFonts w:ascii="Times New Roman" w:hAnsi="Times New Roman" w:cs="Times New Roman"/>
          <w:bCs/>
          <w:sz w:val="24"/>
          <w:szCs w:val="24"/>
        </w:rPr>
        <w:t>ze</w:t>
      </w:r>
      <w:r w:rsidRPr="00231095" w:rsidR="00181C15">
        <w:rPr>
          <w:rFonts w:ascii="Times New Roman" w:hAnsi="Times New Roman" w:cs="Times New Roman"/>
          <w:bCs/>
          <w:sz w:val="24"/>
          <w:szCs w:val="24"/>
        </w:rPr>
        <w:t xml:space="preserve"> leden zien op dit moment geen aanleiding voor een nadere inhoudelijke reactie.</w:t>
      </w:r>
      <w:r w:rsidRPr="00231095" w:rsidR="00061143">
        <w:rPr>
          <w:rFonts w:ascii="Times New Roman" w:hAnsi="Times New Roman" w:cs="Times New Roman"/>
          <w:bCs/>
          <w:sz w:val="24"/>
          <w:szCs w:val="24"/>
        </w:rPr>
        <w:br/>
      </w:r>
      <w:r w:rsidRPr="00231095" w:rsidR="00061143">
        <w:rPr>
          <w:rFonts w:ascii="Times New Roman" w:hAnsi="Times New Roman" w:cs="Times New Roman"/>
          <w:bCs/>
          <w:sz w:val="24"/>
          <w:szCs w:val="24"/>
        </w:rPr>
        <w:br/>
      </w:r>
      <w:r w:rsidRPr="00231095" w:rsidR="00DD39F1">
        <w:rPr>
          <w:rFonts w:ascii="Times New Roman" w:hAnsi="Times New Roman" w:cs="Times New Roman"/>
          <w:noProof/>
          <w:sz w:val="24"/>
          <w:szCs w:val="24"/>
        </w:rPr>
        <w:t>De leden van de CDA-fractie hebben met interesse kennisgenomen van het wetsvoorstel</w:t>
      </w:r>
      <w:r w:rsidRPr="00231095" w:rsidR="00DD39F1">
        <w:rPr>
          <w:rFonts w:ascii="Times New Roman" w:hAnsi="Times New Roman" w:cs="Times New Roman"/>
          <w:bCs/>
          <w:iCs/>
          <w:sz w:val="24"/>
          <w:szCs w:val="24"/>
        </w:rPr>
        <w:t>. De</w:t>
      </w:r>
      <w:r w:rsidRPr="00231095" w:rsidR="00835CD2">
        <w:rPr>
          <w:rFonts w:ascii="Times New Roman" w:hAnsi="Times New Roman" w:cs="Times New Roman"/>
          <w:bCs/>
          <w:iCs/>
          <w:sz w:val="24"/>
          <w:szCs w:val="24"/>
        </w:rPr>
        <w:t>ze</w:t>
      </w:r>
      <w:r w:rsidRPr="00231095" w:rsidR="00DD39F1">
        <w:rPr>
          <w:rFonts w:ascii="Times New Roman" w:hAnsi="Times New Roman" w:cs="Times New Roman"/>
          <w:bCs/>
          <w:iCs/>
          <w:sz w:val="24"/>
          <w:szCs w:val="24"/>
        </w:rPr>
        <w:t xml:space="preserve"> leden maken graag van de gelegenheid gebruik om hier nog enkele vragen over te stellen.</w:t>
      </w:r>
      <w:r w:rsidRPr="00231095" w:rsidR="00061143">
        <w:rPr>
          <w:rFonts w:ascii="Times New Roman" w:hAnsi="Times New Roman" w:cs="Times New Roman"/>
          <w:b/>
          <w:sz w:val="24"/>
          <w:szCs w:val="24"/>
        </w:rPr>
        <w:br/>
      </w:r>
      <w:r w:rsidRPr="00231095" w:rsidR="00061143">
        <w:rPr>
          <w:rFonts w:ascii="Times New Roman" w:hAnsi="Times New Roman" w:cs="Times New Roman"/>
          <w:b/>
          <w:sz w:val="24"/>
          <w:szCs w:val="24"/>
        </w:rPr>
        <w:br/>
      </w:r>
      <w:r w:rsidRPr="00231095">
        <w:rPr>
          <w:rFonts w:ascii="Times New Roman" w:hAnsi="Times New Roman" w:cs="Times New Roman"/>
          <w:b/>
          <w:sz w:val="24"/>
          <w:szCs w:val="24"/>
        </w:rPr>
        <w:t xml:space="preserve">2. </w:t>
      </w:r>
      <w:r w:rsidRPr="00231095">
        <w:rPr>
          <w:rFonts w:ascii="Times New Roman" w:hAnsi="Times New Roman" w:cs="Times New Roman"/>
          <w:b/>
          <w:bCs/>
          <w:sz w:val="24"/>
          <w:szCs w:val="24"/>
        </w:rPr>
        <w:t>Hoofdlijnen van het voorstel</w:t>
      </w:r>
      <w:r w:rsidRPr="00231095" w:rsidR="00061143">
        <w:rPr>
          <w:rFonts w:ascii="Times New Roman" w:hAnsi="Times New Roman" w:cs="Times New Roman"/>
          <w:b/>
          <w:bCs/>
          <w:sz w:val="24"/>
          <w:szCs w:val="24"/>
        </w:rPr>
        <w:br/>
      </w:r>
      <w:r w:rsidRPr="00231095" w:rsidR="00061143">
        <w:rPr>
          <w:rFonts w:ascii="Times New Roman" w:hAnsi="Times New Roman" w:cs="Times New Roman"/>
          <w:b/>
          <w:bCs/>
          <w:sz w:val="24"/>
          <w:szCs w:val="24"/>
        </w:rPr>
        <w:br/>
      </w:r>
      <w:r w:rsidRPr="00231095">
        <w:rPr>
          <w:rFonts w:ascii="Times New Roman" w:hAnsi="Times New Roman" w:cs="Times New Roman"/>
          <w:bCs/>
          <w:i/>
          <w:iCs/>
          <w:sz w:val="24"/>
          <w:szCs w:val="24"/>
        </w:rPr>
        <w:t>2.1 Algemene ontwikkelingen t</w:t>
      </w:r>
      <w:r w:rsidRPr="00231095" w:rsidR="009E41E4">
        <w:rPr>
          <w:rFonts w:ascii="Times New Roman" w:hAnsi="Times New Roman" w:cs="Times New Roman"/>
          <w:bCs/>
          <w:i/>
          <w:iCs/>
          <w:sz w:val="24"/>
          <w:szCs w:val="24"/>
        </w:rPr>
        <w:t>en aanzien van</w:t>
      </w:r>
      <w:r w:rsidRPr="00231095">
        <w:rPr>
          <w:rFonts w:ascii="Times New Roman" w:hAnsi="Times New Roman" w:cs="Times New Roman"/>
          <w:bCs/>
          <w:i/>
          <w:iCs/>
          <w:sz w:val="24"/>
          <w:szCs w:val="24"/>
        </w:rPr>
        <w:t xml:space="preserve"> elektronische cognossementen</w:t>
      </w:r>
      <w:r w:rsidRPr="00231095" w:rsidR="00061143">
        <w:rPr>
          <w:rFonts w:ascii="Times New Roman" w:hAnsi="Times New Roman" w:cs="Times New Roman"/>
          <w:bCs/>
          <w:i/>
          <w:iCs/>
          <w:sz w:val="24"/>
          <w:szCs w:val="24"/>
        </w:rPr>
        <w:br/>
      </w:r>
      <w:r w:rsidRPr="00231095" w:rsidR="00061143">
        <w:rPr>
          <w:rFonts w:ascii="Times New Roman" w:hAnsi="Times New Roman" w:cs="Times New Roman"/>
          <w:bCs/>
          <w:i/>
          <w:iCs/>
          <w:sz w:val="24"/>
          <w:szCs w:val="24"/>
        </w:rPr>
        <w:br/>
      </w:r>
      <w:r w:rsidRPr="00231095" w:rsidR="00DD39F1">
        <w:rPr>
          <w:rFonts w:ascii="Times New Roman" w:hAnsi="Times New Roman" w:cs="Times New Roman"/>
          <w:sz w:val="24"/>
          <w:szCs w:val="24"/>
        </w:rPr>
        <w:t xml:space="preserve">De leden van de VVD-fractie stellen voorop dat het belangrijk is dat het Burgerlijk Wetboek bij de tijd wordt gebracht en zo goed mogelijk aansluit bij de ontwikkelingen van deze tijd. In dat kader vragen </w:t>
      </w:r>
      <w:r w:rsidRPr="00231095" w:rsidR="006F6ACC">
        <w:rPr>
          <w:rFonts w:ascii="Times New Roman" w:hAnsi="Times New Roman" w:cs="Times New Roman"/>
          <w:sz w:val="24"/>
          <w:szCs w:val="24"/>
        </w:rPr>
        <w:t>deze leden</w:t>
      </w:r>
      <w:r w:rsidRPr="00231095" w:rsidR="00DD39F1">
        <w:rPr>
          <w:rFonts w:ascii="Times New Roman" w:hAnsi="Times New Roman" w:cs="Times New Roman"/>
          <w:sz w:val="24"/>
          <w:szCs w:val="24"/>
        </w:rPr>
        <w:t xml:space="preserve"> of het huidige wetsvoorstel zo techniek-neutraal mogelijk is opgeschreven. Kan de regering in dat kader aangeven of ook bij toepassingen van artificiële intelligentie bij het internationaal goederenvervoer het wetsvoorstel voldoende ruimte biedt en in die zin toekomstbestendig is? </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sidR="00DD39F1">
        <w:rPr>
          <w:rFonts w:ascii="Times New Roman" w:hAnsi="Times New Roman" w:cs="Times New Roman"/>
          <w:sz w:val="24"/>
          <w:szCs w:val="24"/>
        </w:rPr>
        <w:t xml:space="preserve">De leden van de VVD-fractie vragen ter verduidelijking welke opmerkingen van de Raad voor de </w:t>
      </w:r>
      <w:r w:rsidRPr="00231095" w:rsidR="00F93F4A">
        <w:rPr>
          <w:rFonts w:ascii="Times New Roman" w:hAnsi="Times New Roman" w:cs="Times New Roman"/>
          <w:sz w:val="24"/>
          <w:szCs w:val="24"/>
        </w:rPr>
        <w:t>r</w:t>
      </w:r>
      <w:r w:rsidRPr="00231095" w:rsidR="00DD39F1">
        <w:rPr>
          <w:rFonts w:ascii="Times New Roman" w:hAnsi="Times New Roman" w:cs="Times New Roman"/>
          <w:sz w:val="24"/>
          <w:szCs w:val="24"/>
        </w:rPr>
        <w:t>echtspraak (</w:t>
      </w:r>
      <w:r w:rsidRPr="00231095" w:rsidR="00F93F4A">
        <w:rPr>
          <w:rFonts w:ascii="Times New Roman" w:hAnsi="Times New Roman" w:cs="Times New Roman"/>
          <w:sz w:val="24"/>
          <w:szCs w:val="24"/>
        </w:rPr>
        <w:t xml:space="preserve">hierna: </w:t>
      </w:r>
      <w:r w:rsidRPr="00231095" w:rsidR="00DD39F1">
        <w:rPr>
          <w:rFonts w:ascii="Times New Roman" w:hAnsi="Times New Roman" w:cs="Times New Roman"/>
          <w:sz w:val="24"/>
          <w:szCs w:val="24"/>
        </w:rPr>
        <w:t>Rvd</w:t>
      </w:r>
      <w:r w:rsidRPr="00231095" w:rsidR="00F93F4A">
        <w:rPr>
          <w:rFonts w:ascii="Times New Roman" w:hAnsi="Times New Roman" w:cs="Times New Roman"/>
          <w:sz w:val="24"/>
          <w:szCs w:val="24"/>
        </w:rPr>
        <w:t>r</w:t>
      </w:r>
      <w:r w:rsidRPr="00231095" w:rsidR="00DD39F1">
        <w:rPr>
          <w:rFonts w:ascii="Times New Roman" w:hAnsi="Times New Roman" w:cs="Times New Roman"/>
          <w:sz w:val="24"/>
          <w:szCs w:val="24"/>
        </w:rPr>
        <w:t>) niet zijn overgenomen in het wetsvoorstel, nu de Rvd</w:t>
      </w:r>
      <w:r w:rsidRPr="00231095" w:rsidR="00DA265B">
        <w:rPr>
          <w:rFonts w:ascii="Times New Roman" w:hAnsi="Times New Roman" w:cs="Times New Roman"/>
          <w:sz w:val="24"/>
          <w:szCs w:val="24"/>
        </w:rPr>
        <w:t>r</w:t>
      </w:r>
      <w:r w:rsidRPr="00231095" w:rsidR="00DD39F1">
        <w:rPr>
          <w:rFonts w:ascii="Times New Roman" w:hAnsi="Times New Roman" w:cs="Times New Roman"/>
          <w:sz w:val="24"/>
          <w:szCs w:val="24"/>
        </w:rPr>
        <w:t xml:space="preserve"> concludeerde dat de toelichting niet altijd duidelijk en in lijn is met de voorgestelde wetstekst. </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sidR="00DD39F1">
        <w:rPr>
          <w:rFonts w:ascii="Times New Roman" w:hAnsi="Times New Roman" w:cs="Times New Roman"/>
          <w:sz w:val="24"/>
          <w:szCs w:val="24"/>
        </w:rPr>
        <w:t>De leden van de VVD-fractie vragen naar aanleiding van de keuze van de regering om</w:t>
      </w:r>
      <w:r w:rsidRPr="00231095" w:rsidR="00DA6613">
        <w:rPr>
          <w:rFonts w:ascii="Times New Roman" w:hAnsi="Times New Roman" w:cs="Times New Roman"/>
          <w:sz w:val="24"/>
          <w:szCs w:val="24"/>
        </w:rPr>
        <w:t xml:space="preserve"> Combined Transport-documenten </w:t>
      </w:r>
      <w:r w:rsidRPr="00231095" w:rsidR="00424EE1">
        <w:rPr>
          <w:rFonts w:ascii="Times New Roman" w:hAnsi="Times New Roman" w:cs="Times New Roman"/>
          <w:sz w:val="24"/>
          <w:szCs w:val="24"/>
        </w:rPr>
        <w:t xml:space="preserve">(hierna: </w:t>
      </w:r>
      <w:r w:rsidRPr="00231095" w:rsidR="00DD39F1">
        <w:rPr>
          <w:rFonts w:ascii="Times New Roman" w:hAnsi="Times New Roman" w:cs="Times New Roman"/>
          <w:sz w:val="24"/>
          <w:szCs w:val="24"/>
        </w:rPr>
        <w:t>CT-documenten</w:t>
      </w:r>
      <w:r w:rsidRPr="00231095" w:rsidR="00424EE1">
        <w:rPr>
          <w:rFonts w:ascii="Times New Roman" w:hAnsi="Times New Roman" w:cs="Times New Roman"/>
          <w:sz w:val="24"/>
          <w:szCs w:val="24"/>
        </w:rPr>
        <w:t>)</w:t>
      </w:r>
      <w:r w:rsidRPr="00231095" w:rsidR="00DD39F1">
        <w:rPr>
          <w:rFonts w:ascii="Times New Roman" w:hAnsi="Times New Roman" w:cs="Times New Roman"/>
          <w:sz w:val="24"/>
          <w:szCs w:val="24"/>
        </w:rPr>
        <w:t xml:space="preserve"> niet mee te nemen in het wetsvoorstel</w:t>
      </w:r>
      <w:r w:rsidRPr="00231095" w:rsidR="00950A2C">
        <w:rPr>
          <w:rFonts w:ascii="Times New Roman" w:hAnsi="Times New Roman" w:cs="Times New Roman"/>
          <w:sz w:val="24"/>
          <w:szCs w:val="24"/>
        </w:rPr>
        <w:t>,</w:t>
      </w:r>
      <w:r w:rsidRPr="00231095" w:rsidR="00DD39F1">
        <w:rPr>
          <w:rFonts w:ascii="Times New Roman" w:hAnsi="Times New Roman" w:cs="Times New Roman"/>
          <w:sz w:val="24"/>
          <w:szCs w:val="24"/>
        </w:rPr>
        <w:t xml:space="preserve"> wanneer verwacht </w:t>
      </w:r>
      <w:r w:rsidRPr="00231095" w:rsidR="002F4A69">
        <w:rPr>
          <w:rFonts w:ascii="Times New Roman" w:hAnsi="Times New Roman" w:cs="Times New Roman"/>
          <w:sz w:val="24"/>
          <w:szCs w:val="24"/>
        </w:rPr>
        <w:t xml:space="preserve">wordt </w:t>
      </w:r>
      <w:r w:rsidRPr="00231095" w:rsidR="00DD39F1">
        <w:rPr>
          <w:rFonts w:ascii="Times New Roman" w:hAnsi="Times New Roman" w:cs="Times New Roman"/>
          <w:sz w:val="24"/>
          <w:szCs w:val="24"/>
        </w:rPr>
        <w:t xml:space="preserve">dat de internationale regels over CT-documenten in werking treden. Ook vragen </w:t>
      </w:r>
      <w:r w:rsidRPr="00231095" w:rsidR="007C6EED">
        <w:rPr>
          <w:rFonts w:ascii="Times New Roman" w:hAnsi="Times New Roman" w:cs="Times New Roman"/>
          <w:sz w:val="24"/>
          <w:szCs w:val="24"/>
        </w:rPr>
        <w:t>deze leden</w:t>
      </w:r>
      <w:r w:rsidRPr="00231095" w:rsidR="00DD39F1">
        <w:rPr>
          <w:rFonts w:ascii="Times New Roman" w:hAnsi="Times New Roman" w:cs="Times New Roman"/>
          <w:sz w:val="24"/>
          <w:szCs w:val="24"/>
        </w:rPr>
        <w:t xml:space="preserve"> of organisaties in de praktijk nogmaals zijn geconsulteerd over het besluit </w:t>
      </w:r>
      <w:r w:rsidRPr="00231095" w:rsidR="009E41E4">
        <w:rPr>
          <w:rFonts w:ascii="Times New Roman" w:hAnsi="Times New Roman" w:cs="Times New Roman"/>
          <w:sz w:val="24"/>
          <w:szCs w:val="24"/>
        </w:rPr>
        <w:t xml:space="preserve">om </w:t>
      </w:r>
      <w:r w:rsidRPr="00231095" w:rsidR="00DD39F1">
        <w:rPr>
          <w:rFonts w:ascii="Times New Roman" w:hAnsi="Times New Roman" w:cs="Times New Roman"/>
          <w:sz w:val="24"/>
          <w:szCs w:val="24"/>
        </w:rPr>
        <w:t>CT-documenten nu niet mee te nemen in het wetsvoorstel, omdat dit besluit pas na de consultatiefase lijkt te zijn genomen naar aanleiding van opmerkingen van de Rvd</w:t>
      </w:r>
      <w:r w:rsidRPr="00231095" w:rsidR="001536AE">
        <w:rPr>
          <w:rFonts w:ascii="Times New Roman" w:hAnsi="Times New Roman" w:cs="Times New Roman"/>
          <w:sz w:val="24"/>
          <w:szCs w:val="24"/>
        </w:rPr>
        <w:t>r</w:t>
      </w:r>
      <w:r w:rsidRPr="00231095" w:rsidR="00DD39F1">
        <w:rPr>
          <w:rFonts w:ascii="Times New Roman" w:hAnsi="Times New Roman" w:cs="Times New Roman"/>
          <w:sz w:val="24"/>
          <w:szCs w:val="24"/>
        </w:rPr>
        <w:t>. Zijn er in ons omringende landen zoals België, Frankrijk, Duitsland en het Verenigd Koninkrijk</w:t>
      </w:r>
      <w:r w:rsidRPr="00231095" w:rsidR="00ED6848">
        <w:rPr>
          <w:rFonts w:ascii="Times New Roman" w:hAnsi="Times New Roman" w:cs="Times New Roman"/>
          <w:sz w:val="24"/>
          <w:szCs w:val="24"/>
        </w:rPr>
        <w:t>,</w:t>
      </w:r>
      <w:r w:rsidRPr="00231095" w:rsidR="00DD39F1">
        <w:rPr>
          <w:rFonts w:ascii="Times New Roman" w:hAnsi="Times New Roman" w:cs="Times New Roman"/>
          <w:sz w:val="24"/>
          <w:szCs w:val="24"/>
        </w:rPr>
        <w:t xml:space="preserve"> wel al nationale regels over CT-documenten vernieuwd? Worden Nederlandse partijen door de keuze </w:t>
      </w:r>
      <w:r w:rsidRPr="00231095" w:rsidR="00254DB2">
        <w:rPr>
          <w:rFonts w:ascii="Times New Roman" w:hAnsi="Times New Roman" w:cs="Times New Roman"/>
          <w:sz w:val="24"/>
          <w:szCs w:val="24"/>
        </w:rPr>
        <w:t xml:space="preserve">om </w:t>
      </w:r>
      <w:r w:rsidRPr="00231095" w:rsidR="00DD39F1">
        <w:rPr>
          <w:rFonts w:ascii="Times New Roman" w:hAnsi="Times New Roman" w:cs="Times New Roman"/>
          <w:sz w:val="24"/>
          <w:szCs w:val="24"/>
        </w:rPr>
        <w:t>andere documenten</w:t>
      </w:r>
      <w:r w:rsidRPr="00231095" w:rsidR="004F00B4">
        <w:rPr>
          <w:rFonts w:ascii="Times New Roman" w:hAnsi="Times New Roman" w:cs="Times New Roman"/>
          <w:sz w:val="24"/>
          <w:szCs w:val="24"/>
        </w:rPr>
        <w:t>,</w:t>
      </w:r>
      <w:r w:rsidRPr="00231095" w:rsidR="00DD39F1">
        <w:rPr>
          <w:rFonts w:ascii="Times New Roman" w:hAnsi="Times New Roman" w:cs="Times New Roman"/>
          <w:sz w:val="24"/>
          <w:szCs w:val="24"/>
        </w:rPr>
        <w:t xml:space="preserve"> zoals CT-documenten</w:t>
      </w:r>
      <w:r w:rsidRPr="00231095" w:rsidR="004F00B4">
        <w:rPr>
          <w:rFonts w:ascii="Times New Roman" w:hAnsi="Times New Roman" w:cs="Times New Roman"/>
          <w:sz w:val="24"/>
          <w:szCs w:val="24"/>
        </w:rPr>
        <w:t>,</w:t>
      </w:r>
      <w:r w:rsidRPr="00231095" w:rsidR="00DD39F1">
        <w:rPr>
          <w:rFonts w:ascii="Times New Roman" w:hAnsi="Times New Roman" w:cs="Times New Roman"/>
          <w:sz w:val="24"/>
          <w:szCs w:val="24"/>
        </w:rPr>
        <w:t xml:space="preserve"> pas bij de evaluatie te regelen</w:t>
      </w:r>
      <w:r w:rsidRPr="00231095" w:rsidR="006A2AB8">
        <w:rPr>
          <w:rFonts w:ascii="Times New Roman" w:hAnsi="Times New Roman" w:cs="Times New Roman"/>
          <w:sz w:val="24"/>
          <w:szCs w:val="24"/>
        </w:rPr>
        <w:t>,</w:t>
      </w:r>
      <w:r w:rsidRPr="00231095" w:rsidR="00DD39F1">
        <w:rPr>
          <w:rFonts w:ascii="Times New Roman" w:hAnsi="Times New Roman" w:cs="Times New Roman"/>
          <w:sz w:val="24"/>
          <w:szCs w:val="24"/>
        </w:rPr>
        <w:t xml:space="preserve"> benadeeld ten opzichte van partijen in deze landen? Graag ontvangen de</w:t>
      </w:r>
      <w:r w:rsidRPr="00231095" w:rsidR="00ED6848">
        <w:rPr>
          <w:rFonts w:ascii="Times New Roman" w:hAnsi="Times New Roman" w:cs="Times New Roman"/>
          <w:sz w:val="24"/>
          <w:szCs w:val="24"/>
        </w:rPr>
        <w:t>ze</w:t>
      </w:r>
      <w:r w:rsidRPr="00231095" w:rsidR="00DD39F1">
        <w:rPr>
          <w:rFonts w:ascii="Times New Roman" w:hAnsi="Times New Roman" w:cs="Times New Roman"/>
          <w:sz w:val="24"/>
          <w:szCs w:val="24"/>
        </w:rPr>
        <w:t xml:space="preserve"> leden een reactie hierop.</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sidR="00DD39F1">
        <w:rPr>
          <w:rFonts w:ascii="Times New Roman" w:hAnsi="Times New Roman" w:cs="Times New Roman"/>
          <w:sz w:val="24"/>
          <w:szCs w:val="24"/>
        </w:rPr>
        <w:t xml:space="preserve">De leden van de VVD-fractie vragen in hoeverre in de praktijk voldoende betrouwbare methodes reeds zijn ontwikkeld op basis waarvan de authenticiteit van elektronische cognossementen kan worden gewaarborgd. Is er voldoende aandacht voor het belang van informatiebeveiliging? Deelt de regering de mening van deze leden dat de overheid hier wel een voorlichtende taak heeft om partijen te wijzen op de bestaande mogelijkheden van informatiebeveiliging? Wie houdt er toezicht op de betrouwbaarheid van de gekozen </w:t>
      </w:r>
      <w:r w:rsidRPr="00231095" w:rsidR="00DD39F1">
        <w:rPr>
          <w:rFonts w:ascii="Times New Roman" w:hAnsi="Times New Roman" w:cs="Times New Roman"/>
          <w:sz w:val="24"/>
          <w:szCs w:val="24"/>
        </w:rPr>
        <w:lastRenderedPageBreak/>
        <w:t xml:space="preserve">methodes? </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sidR="00DD39F1">
        <w:rPr>
          <w:rFonts w:ascii="Times New Roman" w:hAnsi="Times New Roman" w:cs="Times New Roman"/>
          <w:sz w:val="24"/>
          <w:szCs w:val="24"/>
        </w:rPr>
        <w:t xml:space="preserve">De leden van de VVD-fractie vragen voorts een inschatting van de regering van het aantal elektronische cognossementen dat op dit moment al wordt afgegeven. </w:t>
      </w:r>
      <w:r w:rsidRPr="00231095" w:rsidR="00061143">
        <w:rPr>
          <w:rFonts w:ascii="Times New Roman" w:hAnsi="Times New Roman" w:cs="Times New Roman"/>
          <w:b/>
          <w:i/>
          <w:iCs/>
          <w:sz w:val="24"/>
          <w:szCs w:val="24"/>
        </w:rPr>
        <w:br/>
      </w:r>
      <w:r w:rsidRPr="00231095" w:rsidR="00061143">
        <w:rPr>
          <w:rFonts w:ascii="Times New Roman" w:hAnsi="Times New Roman" w:cs="Times New Roman"/>
          <w:b/>
          <w:i/>
          <w:iCs/>
          <w:sz w:val="24"/>
          <w:szCs w:val="24"/>
        </w:rPr>
        <w:br/>
      </w:r>
      <w:r w:rsidRPr="00231095">
        <w:rPr>
          <w:rFonts w:ascii="Times New Roman" w:hAnsi="Times New Roman" w:cs="Times New Roman"/>
          <w:b/>
          <w:bCs/>
          <w:sz w:val="24"/>
          <w:szCs w:val="24"/>
        </w:rPr>
        <w:t>3. De verhouding met andere regelgeving</w:t>
      </w:r>
      <w:r w:rsidRPr="00231095" w:rsidR="00061143">
        <w:rPr>
          <w:rFonts w:ascii="Times New Roman" w:hAnsi="Times New Roman" w:cs="Times New Roman"/>
          <w:b/>
          <w:bCs/>
          <w:sz w:val="24"/>
          <w:szCs w:val="24"/>
        </w:rPr>
        <w:br/>
      </w:r>
      <w:r w:rsidRPr="00231095" w:rsidR="00061143">
        <w:rPr>
          <w:rFonts w:ascii="Times New Roman" w:hAnsi="Times New Roman" w:cs="Times New Roman"/>
          <w:b/>
          <w:bCs/>
          <w:sz w:val="24"/>
          <w:szCs w:val="24"/>
        </w:rPr>
        <w:br/>
      </w:r>
      <w:r w:rsidRPr="00231095">
        <w:rPr>
          <w:rFonts w:ascii="Times New Roman" w:hAnsi="Times New Roman" w:cs="Times New Roman"/>
          <w:bCs/>
          <w:i/>
          <w:iCs/>
          <w:sz w:val="24"/>
          <w:szCs w:val="24"/>
        </w:rPr>
        <w:t xml:space="preserve">3.1 Aansluiting bij de </w:t>
      </w:r>
      <w:r w:rsidRPr="00231095" w:rsidR="00540E5B">
        <w:rPr>
          <w:rFonts w:ascii="Times New Roman" w:hAnsi="Times New Roman" w:cs="Times New Roman"/>
          <w:bCs/>
          <w:i/>
          <w:iCs/>
          <w:sz w:val="24"/>
          <w:szCs w:val="24"/>
        </w:rPr>
        <w:t xml:space="preserve">Model Law on Electronic Transferable Records (hierna: </w:t>
      </w:r>
      <w:r w:rsidRPr="00231095">
        <w:rPr>
          <w:rFonts w:ascii="Times New Roman" w:hAnsi="Times New Roman" w:cs="Times New Roman"/>
          <w:bCs/>
          <w:i/>
          <w:iCs/>
          <w:sz w:val="24"/>
          <w:szCs w:val="24"/>
        </w:rPr>
        <w:t>MLETR</w:t>
      </w:r>
      <w:r w:rsidRPr="00231095" w:rsidR="00540E5B">
        <w:rPr>
          <w:rFonts w:ascii="Times New Roman" w:hAnsi="Times New Roman" w:cs="Times New Roman"/>
          <w:bCs/>
          <w:i/>
          <w:iCs/>
          <w:sz w:val="24"/>
          <w:szCs w:val="24"/>
        </w:rPr>
        <w:t>)</w:t>
      </w:r>
      <w:r w:rsidRPr="00231095">
        <w:rPr>
          <w:rFonts w:ascii="Times New Roman" w:hAnsi="Times New Roman" w:cs="Times New Roman"/>
          <w:bCs/>
          <w:i/>
          <w:iCs/>
          <w:sz w:val="24"/>
          <w:szCs w:val="24"/>
        </w:rPr>
        <w:t xml:space="preserve"> en de Rotterdam Rules</w:t>
      </w:r>
      <w:r w:rsidRPr="00231095" w:rsidR="00061143">
        <w:rPr>
          <w:rFonts w:ascii="Times New Roman" w:hAnsi="Times New Roman" w:cs="Times New Roman"/>
          <w:bCs/>
          <w:i/>
          <w:iCs/>
          <w:sz w:val="24"/>
          <w:szCs w:val="24"/>
        </w:rPr>
        <w:br/>
      </w:r>
      <w:r w:rsidRPr="00231095" w:rsidR="00061143">
        <w:rPr>
          <w:rFonts w:ascii="Times New Roman" w:hAnsi="Times New Roman" w:cs="Times New Roman"/>
          <w:bCs/>
          <w:i/>
          <w:iCs/>
          <w:sz w:val="24"/>
          <w:szCs w:val="24"/>
        </w:rPr>
        <w:br/>
      </w:r>
      <w:r w:rsidRPr="00231095" w:rsidR="00DD39F1">
        <w:rPr>
          <w:rFonts w:ascii="Times New Roman" w:hAnsi="Times New Roman" w:cs="Times New Roman"/>
          <w:sz w:val="24"/>
          <w:szCs w:val="24"/>
        </w:rPr>
        <w:t>De leden van de VVD-fractie constateren dat de Uitvoeringswet Rotterdam Rules –</w:t>
      </w:r>
      <w:r w:rsidRPr="00231095" w:rsidR="00CA47D5">
        <w:rPr>
          <w:rFonts w:ascii="Times New Roman" w:hAnsi="Times New Roman" w:cs="Times New Roman"/>
          <w:sz w:val="24"/>
          <w:szCs w:val="24"/>
        </w:rPr>
        <w:t xml:space="preserve"> die</w:t>
      </w:r>
      <w:r w:rsidRPr="00231095" w:rsidR="00DD39F1">
        <w:rPr>
          <w:rFonts w:ascii="Times New Roman" w:hAnsi="Times New Roman" w:cs="Times New Roman"/>
          <w:sz w:val="24"/>
          <w:szCs w:val="24"/>
        </w:rPr>
        <w:t xml:space="preserve"> in 2019 is aanvaard door beide Kamers</w:t>
      </w:r>
      <w:r w:rsidRPr="00231095" w:rsidR="00CA47D5">
        <w:rPr>
          <w:rFonts w:ascii="Times New Roman" w:hAnsi="Times New Roman" w:cs="Times New Roman"/>
          <w:sz w:val="24"/>
          <w:szCs w:val="24"/>
        </w:rPr>
        <w:t xml:space="preserve"> – </w:t>
      </w:r>
      <w:r w:rsidRPr="00231095" w:rsidR="00DD39F1">
        <w:rPr>
          <w:rFonts w:ascii="Times New Roman" w:hAnsi="Times New Roman" w:cs="Times New Roman"/>
          <w:sz w:val="24"/>
          <w:szCs w:val="24"/>
        </w:rPr>
        <w:t>nog altijd niet in werking is getreden. De Rotterdam Rules hebben eveneens tot doel de bestaande verdragen over goederenvervoer over zee te uniformeren en te moderniseren. Aangezien de bedoeling daarvan is dat iedereen zich aan dezelfde regels moet houden, leidt dat tot een verlaging van de vervoerskosten. De</w:t>
      </w:r>
      <w:r w:rsidRPr="00231095" w:rsidR="005A78E4">
        <w:rPr>
          <w:rFonts w:ascii="Times New Roman" w:hAnsi="Times New Roman" w:cs="Times New Roman"/>
          <w:sz w:val="24"/>
          <w:szCs w:val="24"/>
        </w:rPr>
        <w:t>ze</w:t>
      </w:r>
      <w:r w:rsidRPr="00231095" w:rsidR="00DD39F1">
        <w:rPr>
          <w:rFonts w:ascii="Times New Roman" w:hAnsi="Times New Roman" w:cs="Times New Roman"/>
          <w:sz w:val="24"/>
          <w:szCs w:val="24"/>
        </w:rPr>
        <w:t xml:space="preserve"> leden lezen in de memorie van toelichting en in de reactie van de regering op het advies van de Afdeling advisering van de Raad van State dat is overwogen de Rotterdam Rules in werking te laten treden, maar dat hiervan is afgezien. De</w:t>
      </w:r>
      <w:r w:rsidRPr="00231095" w:rsidR="00523243">
        <w:rPr>
          <w:rFonts w:ascii="Times New Roman" w:hAnsi="Times New Roman" w:cs="Times New Roman"/>
          <w:sz w:val="24"/>
          <w:szCs w:val="24"/>
        </w:rPr>
        <w:t>ze</w:t>
      </w:r>
      <w:r w:rsidRPr="00231095" w:rsidR="00DD39F1">
        <w:rPr>
          <w:rFonts w:ascii="Times New Roman" w:hAnsi="Times New Roman" w:cs="Times New Roman"/>
          <w:sz w:val="24"/>
          <w:szCs w:val="24"/>
        </w:rPr>
        <w:t xml:space="preserve"> leden vinden het begrijpelijk in verband met het creëren van een gelijk speelveld dat Nederland inwerkingtreding afstemt op onze belangrijkste handelspartners zoals Duitsland, Frankrijk, </w:t>
      </w:r>
      <w:r w:rsidRPr="00231095" w:rsidR="00774AEA">
        <w:rPr>
          <w:rFonts w:ascii="Times New Roman" w:hAnsi="Times New Roman" w:cs="Times New Roman"/>
          <w:sz w:val="24"/>
          <w:szCs w:val="24"/>
        </w:rPr>
        <w:t xml:space="preserve">het </w:t>
      </w:r>
      <w:r w:rsidRPr="00231095" w:rsidR="00DD39F1">
        <w:rPr>
          <w:rFonts w:ascii="Times New Roman" w:hAnsi="Times New Roman" w:cs="Times New Roman"/>
          <w:sz w:val="24"/>
          <w:szCs w:val="24"/>
        </w:rPr>
        <w:t>V</w:t>
      </w:r>
      <w:r w:rsidRPr="00231095" w:rsidR="00774AEA">
        <w:rPr>
          <w:rFonts w:ascii="Times New Roman" w:hAnsi="Times New Roman" w:cs="Times New Roman"/>
          <w:sz w:val="24"/>
          <w:szCs w:val="24"/>
        </w:rPr>
        <w:t xml:space="preserve">erenigd </w:t>
      </w:r>
      <w:r w:rsidRPr="00231095" w:rsidR="00DD39F1">
        <w:rPr>
          <w:rFonts w:ascii="Times New Roman" w:hAnsi="Times New Roman" w:cs="Times New Roman"/>
          <w:sz w:val="24"/>
          <w:szCs w:val="24"/>
        </w:rPr>
        <w:t>K</w:t>
      </w:r>
      <w:r w:rsidRPr="00231095" w:rsidR="00774AEA">
        <w:rPr>
          <w:rFonts w:ascii="Times New Roman" w:hAnsi="Times New Roman" w:cs="Times New Roman"/>
          <w:sz w:val="24"/>
          <w:szCs w:val="24"/>
        </w:rPr>
        <w:t>oninkrijk</w:t>
      </w:r>
      <w:r w:rsidRPr="00231095" w:rsidR="00DD39F1">
        <w:rPr>
          <w:rFonts w:ascii="Times New Roman" w:hAnsi="Times New Roman" w:cs="Times New Roman"/>
          <w:sz w:val="24"/>
          <w:szCs w:val="24"/>
        </w:rPr>
        <w:t xml:space="preserve"> en de V</w:t>
      </w:r>
      <w:r w:rsidRPr="00231095" w:rsidR="00774AEA">
        <w:rPr>
          <w:rFonts w:ascii="Times New Roman" w:hAnsi="Times New Roman" w:cs="Times New Roman"/>
          <w:sz w:val="24"/>
          <w:szCs w:val="24"/>
        </w:rPr>
        <w:t xml:space="preserve">erenigde </w:t>
      </w:r>
      <w:r w:rsidRPr="00231095" w:rsidR="00DD39F1">
        <w:rPr>
          <w:rFonts w:ascii="Times New Roman" w:hAnsi="Times New Roman" w:cs="Times New Roman"/>
          <w:sz w:val="24"/>
          <w:szCs w:val="24"/>
        </w:rPr>
        <w:t>S</w:t>
      </w:r>
      <w:r w:rsidRPr="00231095" w:rsidR="00774AEA">
        <w:rPr>
          <w:rFonts w:ascii="Times New Roman" w:hAnsi="Times New Roman" w:cs="Times New Roman"/>
          <w:sz w:val="24"/>
          <w:szCs w:val="24"/>
        </w:rPr>
        <w:t>taten</w:t>
      </w:r>
      <w:r w:rsidRPr="00231095" w:rsidR="00DD39F1">
        <w:rPr>
          <w:rFonts w:ascii="Times New Roman" w:hAnsi="Times New Roman" w:cs="Times New Roman"/>
          <w:sz w:val="24"/>
          <w:szCs w:val="24"/>
        </w:rPr>
        <w:t>. De</w:t>
      </w:r>
      <w:r w:rsidRPr="00231095" w:rsidR="0072354B">
        <w:rPr>
          <w:rFonts w:ascii="Times New Roman" w:hAnsi="Times New Roman" w:cs="Times New Roman"/>
          <w:sz w:val="24"/>
          <w:szCs w:val="24"/>
        </w:rPr>
        <w:t>ze</w:t>
      </w:r>
      <w:r w:rsidRPr="00231095" w:rsidR="00DD39F1">
        <w:rPr>
          <w:rFonts w:ascii="Times New Roman" w:hAnsi="Times New Roman" w:cs="Times New Roman"/>
          <w:sz w:val="24"/>
          <w:szCs w:val="24"/>
        </w:rPr>
        <w:t xml:space="preserve"> leden zien graag een overzicht van de inspanningen die de afgelopen jaren zijn verricht</w:t>
      </w:r>
      <w:r w:rsidRPr="00231095" w:rsidR="001F3393">
        <w:rPr>
          <w:rFonts w:ascii="Times New Roman" w:hAnsi="Times New Roman" w:cs="Times New Roman"/>
          <w:sz w:val="24"/>
          <w:szCs w:val="24"/>
        </w:rPr>
        <w:t>,</w:t>
      </w:r>
      <w:r w:rsidRPr="00231095" w:rsidR="00DD39F1">
        <w:rPr>
          <w:rFonts w:ascii="Times New Roman" w:hAnsi="Times New Roman" w:cs="Times New Roman"/>
          <w:sz w:val="24"/>
          <w:szCs w:val="24"/>
        </w:rPr>
        <w:t xml:space="preserve"> om de Rotterdam Rules in werking te laten treden en de knelpunten die er nog zijn waardoor deze regels niet in werking kunnen treden. Ook zien </w:t>
      </w:r>
      <w:r w:rsidRPr="00231095" w:rsidR="001F3393">
        <w:rPr>
          <w:rFonts w:ascii="Times New Roman" w:hAnsi="Times New Roman" w:cs="Times New Roman"/>
          <w:sz w:val="24"/>
          <w:szCs w:val="24"/>
        </w:rPr>
        <w:t>deze leden</w:t>
      </w:r>
      <w:r w:rsidRPr="00231095" w:rsidR="00DD39F1">
        <w:rPr>
          <w:rFonts w:ascii="Times New Roman" w:hAnsi="Times New Roman" w:cs="Times New Roman"/>
          <w:sz w:val="24"/>
          <w:szCs w:val="24"/>
        </w:rPr>
        <w:t xml:space="preserve"> graag een recente inschatting van de verlaging van de vervoerskosten die zou worden bereikt als de Uitvoeringswet Rotterdam Rules bijvoorbeeld in 2026 of 2027 in werking zou treden en hoe de Uitvoeringswet en onderhavig wetsvoorstel zich verhouden tot de MLETR. Welke verschillen zijn er na inwerkingtreding nog tussen de MLETR en het Burgerlijk Wetboek en welke verschillen bestaan er tussen het Burgerlijk Wetboek en de Rotterdam Rules?</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Pr>
          <w:rFonts w:ascii="Times New Roman" w:hAnsi="Times New Roman" w:cs="Times New Roman"/>
          <w:b/>
          <w:bCs/>
          <w:sz w:val="24"/>
          <w:szCs w:val="24"/>
        </w:rPr>
        <w:t>4. Gevolgen</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Pr>
          <w:rFonts w:ascii="Times New Roman" w:hAnsi="Times New Roman" w:cs="Times New Roman"/>
          <w:bCs/>
          <w:i/>
          <w:iCs/>
          <w:sz w:val="24"/>
          <w:szCs w:val="24"/>
        </w:rPr>
        <w:t>4.</w:t>
      </w:r>
      <w:r w:rsidRPr="00231095" w:rsidR="00061143">
        <w:rPr>
          <w:rFonts w:ascii="Times New Roman" w:hAnsi="Times New Roman" w:cs="Times New Roman"/>
          <w:bCs/>
          <w:i/>
          <w:iCs/>
          <w:sz w:val="24"/>
          <w:szCs w:val="24"/>
        </w:rPr>
        <w:t>1</w:t>
      </w:r>
      <w:r w:rsidRPr="00231095">
        <w:rPr>
          <w:rFonts w:ascii="Times New Roman" w:hAnsi="Times New Roman" w:cs="Times New Roman"/>
          <w:bCs/>
          <w:i/>
          <w:iCs/>
          <w:sz w:val="24"/>
          <w:szCs w:val="24"/>
        </w:rPr>
        <w:t xml:space="preserve"> Uitvoering, toezicht en handhaving</w:t>
      </w:r>
      <w:r w:rsidRPr="00231095" w:rsidR="00061143">
        <w:rPr>
          <w:rFonts w:ascii="Times New Roman" w:hAnsi="Times New Roman" w:cs="Times New Roman"/>
          <w:bCs/>
          <w:i/>
          <w:iCs/>
          <w:sz w:val="24"/>
          <w:szCs w:val="24"/>
        </w:rPr>
        <w:br/>
      </w:r>
      <w:r w:rsidRPr="00231095" w:rsidR="00061143">
        <w:rPr>
          <w:rFonts w:ascii="Times New Roman" w:hAnsi="Times New Roman" w:cs="Times New Roman"/>
          <w:bCs/>
          <w:i/>
          <w:iCs/>
          <w:sz w:val="24"/>
          <w:szCs w:val="24"/>
        </w:rPr>
        <w:br/>
      </w:r>
      <w:r w:rsidRPr="00231095" w:rsidR="00DD39F1">
        <w:rPr>
          <w:rFonts w:ascii="Times New Roman" w:hAnsi="Times New Roman" w:cs="Times New Roman"/>
          <w:sz w:val="24"/>
          <w:szCs w:val="24"/>
        </w:rPr>
        <w:t>De leden van de CDA-fractie lezen dat de voorgestelde regeling een kader geeft voor het gebruik van elektronische cognossementen. Ook lezen de</w:t>
      </w:r>
      <w:r w:rsidRPr="00231095" w:rsidR="008E1247">
        <w:rPr>
          <w:rFonts w:ascii="Times New Roman" w:hAnsi="Times New Roman" w:cs="Times New Roman"/>
          <w:sz w:val="24"/>
          <w:szCs w:val="24"/>
        </w:rPr>
        <w:t>ze</w:t>
      </w:r>
      <w:r w:rsidRPr="00231095" w:rsidR="00DD39F1">
        <w:rPr>
          <w:rFonts w:ascii="Times New Roman" w:hAnsi="Times New Roman" w:cs="Times New Roman"/>
          <w:sz w:val="24"/>
          <w:szCs w:val="24"/>
        </w:rPr>
        <w:t xml:space="preserve"> leden dat het hierbij aan de praktijk zal worden overgelaten om betrouwbare methodes te ontwikkelen. Daarom vragen de</w:t>
      </w:r>
      <w:r w:rsidRPr="00231095" w:rsidR="00D27CBB">
        <w:rPr>
          <w:rFonts w:ascii="Times New Roman" w:hAnsi="Times New Roman" w:cs="Times New Roman"/>
          <w:sz w:val="24"/>
          <w:szCs w:val="24"/>
        </w:rPr>
        <w:t>ze</w:t>
      </w:r>
      <w:r w:rsidRPr="00231095" w:rsidR="00DD39F1">
        <w:rPr>
          <w:rFonts w:ascii="Times New Roman" w:hAnsi="Times New Roman" w:cs="Times New Roman"/>
          <w:sz w:val="24"/>
          <w:szCs w:val="24"/>
        </w:rPr>
        <w:t xml:space="preserve"> leden aan de regering of er op dit moment al voldoende methodes zijn op basis</w:t>
      </w:r>
      <w:r w:rsidRPr="00231095" w:rsidR="006D422C">
        <w:rPr>
          <w:rFonts w:ascii="Times New Roman" w:hAnsi="Times New Roman" w:cs="Times New Roman"/>
          <w:sz w:val="24"/>
          <w:szCs w:val="24"/>
        </w:rPr>
        <w:t xml:space="preserve"> waarvan</w:t>
      </w:r>
      <w:r w:rsidRPr="00231095" w:rsidR="008E08F1">
        <w:rPr>
          <w:rFonts w:ascii="Times New Roman" w:hAnsi="Times New Roman" w:cs="Times New Roman"/>
          <w:sz w:val="24"/>
          <w:szCs w:val="24"/>
        </w:rPr>
        <w:t xml:space="preserve"> </w:t>
      </w:r>
      <w:r w:rsidRPr="00231095" w:rsidR="00DD39F1">
        <w:rPr>
          <w:rFonts w:ascii="Times New Roman" w:hAnsi="Times New Roman" w:cs="Times New Roman"/>
          <w:sz w:val="24"/>
          <w:szCs w:val="24"/>
        </w:rPr>
        <w:t xml:space="preserve">de authenticiteit kan worden gewaarborgd, </w:t>
      </w:r>
      <w:r w:rsidRPr="00231095" w:rsidR="006D422C">
        <w:rPr>
          <w:rFonts w:ascii="Times New Roman" w:hAnsi="Times New Roman" w:cs="Times New Roman"/>
          <w:sz w:val="24"/>
          <w:szCs w:val="24"/>
        </w:rPr>
        <w:t xml:space="preserve">waarmee </w:t>
      </w:r>
      <w:r w:rsidRPr="00231095" w:rsidR="00DD39F1">
        <w:rPr>
          <w:rFonts w:ascii="Times New Roman" w:hAnsi="Times New Roman" w:cs="Times New Roman"/>
          <w:sz w:val="24"/>
          <w:szCs w:val="24"/>
        </w:rPr>
        <w:t>de zeggenschap kan worden vastgesteld en</w:t>
      </w:r>
      <w:r w:rsidRPr="00231095" w:rsidR="00AE7225">
        <w:rPr>
          <w:rFonts w:ascii="Times New Roman" w:hAnsi="Times New Roman" w:cs="Times New Roman"/>
          <w:sz w:val="24"/>
          <w:szCs w:val="24"/>
        </w:rPr>
        <w:t xml:space="preserve"> </w:t>
      </w:r>
      <w:r w:rsidRPr="00231095" w:rsidR="006D422C">
        <w:rPr>
          <w:rFonts w:ascii="Times New Roman" w:hAnsi="Times New Roman" w:cs="Times New Roman"/>
          <w:sz w:val="24"/>
          <w:szCs w:val="24"/>
        </w:rPr>
        <w:t xml:space="preserve">waarmee </w:t>
      </w:r>
      <w:r w:rsidRPr="00231095" w:rsidR="00DD39F1">
        <w:rPr>
          <w:rFonts w:ascii="Times New Roman" w:hAnsi="Times New Roman" w:cs="Times New Roman"/>
          <w:sz w:val="24"/>
          <w:szCs w:val="24"/>
        </w:rPr>
        <w:t>ervoor kan worden gezorgd dat het elektronisch bestand zijn integriteit behoudt om in de praktijk met elektronische cognossementen te kunnen werken.</w:t>
      </w:r>
      <w:r w:rsidRPr="00231095" w:rsidR="00061143">
        <w:rPr>
          <w:rFonts w:ascii="Times New Roman" w:hAnsi="Times New Roman" w:cs="Times New Roman"/>
          <w:sz w:val="24"/>
          <w:szCs w:val="24"/>
        </w:rPr>
        <w:br/>
      </w:r>
      <w:r w:rsidRPr="00231095" w:rsidR="00061143">
        <w:rPr>
          <w:rFonts w:ascii="Times New Roman" w:hAnsi="Times New Roman" w:cs="Times New Roman"/>
          <w:sz w:val="24"/>
          <w:szCs w:val="24"/>
        </w:rPr>
        <w:br/>
      </w:r>
      <w:r w:rsidRPr="00231095" w:rsidR="00DD39F1">
        <w:rPr>
          <w:rFonts w:ascii="Times New Roman" w:hAnsi="Times New Roman" w:cs="Times New Roman"/>
          <w:sz w:val="24"/>
          <w:szCs w:val="24"/>
        </w:rPr>
        <w:t>Daarnaast lezen de leden van de CDA-fractie dat het eveneens aan de praktijk zal worden overgelaten op welke wijze bij juridische geschillen een elektronisch cognossement aan de rechter kan worden voorgelegd. De</w:t>
      </w:r>
      <w:r w:rsidRPr="00231095" w:rsidR="00DA5542">
        <w:rPr>
          <w:rFonts w:ascii="Times New Roman" w:hAnsi="Times New Roman" w:cs="Times New Roman"/>
          <w:sz w:val="24"/>
          <w:szCs w:val="24"/>
        </w:rPr>
        <w:t>ze</w:t>
      </w:r>
      <w:r w:rsidRPr="00231095" w:rsidR="00DD39F1">
        <w:rPr>
          <w:rFonts w:ascii="Times New Roman" w:hAnsi="Times New Roman" w:cs="Times New Roman"/>
          <w:sz w:val="24"/>
          <w:szCs w:val="24"/>
        </w:rPr>
        <w:t xml:space="preserve"> leden vragen aan de regering of in deze</w:t>
      </w:r>
      <w:r w:rsidRPr="00231095" w:rsidR="00BC56CE">
        <w:rPr>
          <w:rFonts w:ascii="Times New Roman" w:hAnsi="Times New Roman" w:cs="Times New Roman"/>
          <w:sz w:val="24"/>
          <w:szCs w:val="24"/>
        </w:rPr>
        <w:t>n</w:t>
      </w:r>
      <w:r w:rsidRPr="00231095" w:rsidR="00DD39F1">
        <w:rPr>
          <w:rFonts w:ascii="Times New Roman" w:hAnsi="Times New Roman" w:cs="Times New Roman"/>
          <w:sz w:val="24"/>
          <w:szCs w:val="24"/>
        </w:rPr>
        <w:t xml:space="preserve"> mogelijke problemen in de praktijk worden voorzi</w:t>
      </w:r>
      <w:r w:rsidRPr="00231095" w:rsidR="00C12413">
        <w:rPr>
          <w:rFonts w:ascii="Times New Roman" w:hAnsi="Times New Roman" w:cs="Times New Roman"/>
          <w:sz w:val="24"/>
          <w:szCs w:val="24"/>
        </w:rPr>
        <w:t>e</w:t>
      </w:r>
      <w:r w:rsidRPr="00231095" w:rsidR="00DD39F1">
        <w:rPr>
          <w:rFonts w:ascii="Times New Roman" w:hAnsi="Times New Roman" w:cs="Times New Roman"/>
          <w:sz w:val="24"/>
          <w:szCs w:val="24"/>
        </w:rPr>
        <w:t>n bij het voorleggen van elektronische cognossementen aan de rechter.</w:t>
      </w:r>
      <w:r w:rsidRPr="00231095" w:rsidR="00061143">
        <w:rPr>
          <w:rFonts w:ascii="Times New Roman" w:hAnsi="Times New Roman" w:cs="Times New Roman"/>
          <w:bCs/>
          <w:i/>
          <w:iCs/>
          <w:sz w:val="24"/>
          <w:szCs w:val="24"/>
        </w:rPr>
        <w:br/>
      </w:r>
      <w:r w:rsidRPr="00231095" w:rsidR="00061143">
        <w:rPr>
          <w:rFonts w:ascii="Times New Roman" w:hAnsi="Times New Roman" w:cs="Times New Roman"/>
          <w:bCs/>
          <w:i/>
          <w:iCs/>
          <w:sz w:val="24"/>
          <w:szCs w:val="24"/>
        </w:rPr>
        <w:br/>
      </w:r>
      <w:r w:rsidRPr="00231095">
        <w:rPr>
          <w:rFonts w:ascii="Times New Roman" w:hAnsi="Times New Roman" w:cs="Times New Roman"/>
          <w:bCs/>
          <w:i/>
          <w:iCs/>
          <w:sz w:val="24"/>
          <w:szCs w:val="24"/>
        </w:rPr>
        <w:lastRenderedPageBreak/>
        <w:t>4.</w:t>
      </w:r>
      <w:r w:rsidRPr="00231095" w:rsidR="00061143">
        <w:rPr>
          <w:rFonts w:ascii="Times New Roman" w:hAnsi="Times New Roman" w:cs="Times New Roman"/>
          <w:bCs/>
          <w:i/>
          <w:iCs/>
          <w:sz w:val="24"/>
          <w:szCs w:val="24"/>
        </w:rPr>
        <w:t>2</w:t>
      </w:r>
      <w:r w:rsidRPr="00231095">
        <w:rPr>
          <w:rFonts w:ascii="Times New Roman" w:hAnsi="Times New Roman" w:cs="Times New Roman"/>
          <w:bCs/>
          <w:i/>
          <w:iCs/>
          <w:sz w:val="24"/>
          <w:szCs w:val="24"/>
        </w:rPr>
        <w:t xml:space="preserve"> Financiële gevolgen</w:t>
      </w:r>
      <w:r w:rsidRPr="00231095" w:rsidR="00061143">
        <w:rPr>
          <w:rFonts w:ascii="Times New Roman" w:hAnsi="Times New Roman" w:cs="Times New Roman"/>
          <w:bCs/>
          <w:i/>
          <w:iCs/>
          <w:sz w:val="24"/>
          <w:szCs w:val="24"/>
        </w:rPr>
        <w:br/>
      </w:r>
      <w:r w:rsidRPr="00231095" w:rsidR="00061143">
        <w:rPr>
          <w:rFonts w:ascii="Times New Roman" w:hAnsi="Times New Roman" w:cs="Times New Roman"/>
          <w:bCs/>
          <w:i/>
          <w:iCs/>
          <w:sz w:val="24"/>
          <w:szCs w:val="24"/>
        </w:rPr>
        <w:br/>
      </w:r>
      <w:r w:rsidRPr="00231095" w:rsidR="00B33786">
        <w:rPr>
          <w:rFonts w:ascii="Times New Roman" w:hAnsi="Times New Roman" w:cs="Times New Roman"/>
          <w:sz w:val="24"/>
          <w:szCs w:val="24"/>
        </w:rPr>
        <w:t xml:space="preserve">De leden van de CDA-fractie lezen dat het gebruik van een elektronisch cognossement niet verplicht is. Daarnaast lezen deze leden dat er kosten gemoeid gaan met de ontwikkeling van een elektronisch cognossement voor de partijen die daar gebruik van </w:t>
      </w:r>
      <w:r w:rsidRPr="00231095" w:rsidR="00E66B28">
        <w:rPr>
          <w:rFonts w:ascii="Times New Roman" w:hAnsi="Times New Roman" w:cs="Times New Roman"/>
          <w:sz w:val="24"/>
          <w:szCs w:val="24"/>
        </w:rPr>
        <w:t xml:space="preserve">wensen </w:t>
      </w:r>
      <w:r w:rsidRPr="00231095" w:rsidR="00B33786">
        <w:rPr>
          <w:rFonts w:ascii="Times New Roman" w:hAnsi="Times New Roman" w:cs="Times New Roman"/>
          <w:sz w:val="24"/>
          <w:szCs w:val="24"/>
        </w:rPr>
        <w:t>te maken en dat bij de evaluatie kan worden meegenomen of die kosten een belemmering blijken te zijn voor de keuze voor een elektronisch cognossement. Daarom vragen de</w:t>
      </w:r>
      <w:r w:rsidRPr="00231095" w:rsidR="00EA6EBD">
        <w:rPr>
          <w:rFonts w:ascii="Times New Roman" w:hAnsi="Times New Roman" w:cs="Times New Roman"/>
          <w:sz w:val="24"/>
          <w:szCs w:val="24"/>
        </w:rPr>
        <w:t>ze</w:t>
      </w:r>
      <w:r w:rsidRPr="00231095" w:rsidR="00B33786">
        <w:rPr>
          <w:rFonts w:ascii="Times New Roman" w:hAnsi="Times New Roman" w:cs="Times New Roman"/>
          <w:sz w:val="24"/>
          <w:szCs w:val="24"/>
        </w:rPr>
        <w:t xml:space="preserve"> leden of de regering bereid is om het gebruik van een elektronisch cognossement aan te moedigen in de praktijk</w:t>
      </w:r>
      <w:r w:rsidRPr="00231095" w:rsidR="006F3638">
        <w:rPr>
          <w:rFonts w:ascii="Times New Roman" w:hAnsi="Times New Roman" w:cs="Times New Roman"/>
          <w:sz w:val="24"/>
          <w:szCs w:val="24"/>
        </w:rPr>
        <w:t xml:space="preserve"> e</w:t>
      </w:r>
      <w:r w:rsidRPr="00231095" w:rsidR="00B33786">
        <w:rPr>
          <w:rFonts w:ascii="Times New Roman" w:hAnsi="Times New Roman" w:cs="Times New Roman"/>
          <w:sz w:val="24"/>
          <w:szCs w:val="24"/>
        </w:rPr>
        <w:t>n</w:t>
      </w:r>
      <w:r w:rsidRPr="00231095" w:rsidR="004F1597">
        <w:rPr>
          <w:rFonts w:ascii="Times New Roman" w:hAnsi="Times New Roman" w:cs="Times New Roman"/>
          <w:sz w:val="24"/>
          <w:szCs w:val="24"/>
        </w:rPr>
        <w:t>,</w:t>
      </w:r>
      <w:r w:rsidRPr="00231095" w:rsidR="00B33786">
        <w:rPr>
          <w:rFonts w:ascii="Times New Roman" w:hAnsi="Times New Roman" w:cs="Times New Roman"/>
          <w:sz w:val="24"/>
          <w:szCs w:val="24"/>
        </w:rPr>
        <w:t xml:space="preserve"> zo ja, hoe de regering dit van plan is.</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sidR="00061143">
        <w:rPr>
          <w:rFonts w:ascii="Times New Roman" w:hAnsi="Times New Roman" w:cs="Times New Roman"/>
          <w:b/>
          <w:bCs/>
          <w:sz w:val="24"/>
          <w:szCs w:val="24"/>
        </w:rPr>
        <w:t>5</w:t>
      </w:r>
      <w:r w:rsidRPr="00231095">
        <w:rPr>
          <w:rFonts w:ascii="Times New Roman" w:hAnsi="Times New Roman" w:cs="Times New Roman"/>
          <w:b/>
          <w:bCs/>
          <w:sz w:val="24"/>
          <w:szCs w:val="24"/>
        </w:rPr>
        <w:t>. Overgangsrecht en inwerkingtreding</w:t>
      </w:r>
      <w:r w:rsidRPr="00231095" w:rsidR="00061143">
        <w:rPr>
          <w:rFonts w:ascii="Times New Roman" w:hAnsi="Times New Roman" w:cs="Times New Roman"/>
          <w:b/>
          <w:bCs/>
          <w:sz w:val="24"/>
          <w:szCs w:val="24"/>
        </w:rPr>
        <w:br/>
      </w:r>
      <w:r w:rsidRPr="00231095" w:rsidR="00061143">
        <w:rPr>
          <w:rFonts w:ascii="Times New Roman" w:hAnsi="Times New Roman" w:cs="Times New Roman"/>
          <w:b/>
          <w:bCs/>
          <w:sz w:val="24"/>
          <w:szCs w:val="24"/>
        </w:rPr>
        <w:br/>
      </w:r>
      <w:r w:rsidRPr="00231095" w:rsidR="00DD39F1">
        <w:rPr>
          <w:rFonts w:ascii="Times New Roman" w:hAnsi="Times New Roman" w:cs="Times New Roman"/>
          <w:sz w:val="24"/>
          <w:szCs w:val="24"/>
        </w:rPr>
        <w:t>De leden van de VVD-fractie vragen ter verduidelijking in hoeverre elektronische cognossementen die zijn afgegeven voor de inwerkingtreding van het wetsvoorstel</w:t>
      </w:r>
      <w:r w:rsidRPr="00231095" w:rsidR="00861EF2">
        <w:rPr>
          <w:rFonts w:ascii="Times New Roman" w:hAnsi="Times New Roman" w:cs="Times New Roman"/>
          <w:sz w:val="24"/>
          <w:szCs w:val="24"/>
        </w:rPr>
        <w:t>,</w:t>
      </w:r>
      <w:r w:rsidRPr="00231095" w:rsidR="00DD39F1">
        <w:rPr>
          <w:rFonts w:ascii="Times New Roman" w:hAnsi="Times New Roman" w:cs="Times New Roman"/>
          <w:sz w:val="24"/>
          <w:szCs w:val="24"/>
        </w:rPr>
        <w:t xml:space="preserve"> onder de werking van het wetsvoorstel vallen en of is geïnventariseerd bij partijen in het veld</w:t>
      </w:r>
      <w:r w:rsidRPr="00231095" w:rsidR="005066ED">
        <w:rPr>
          <w:rFonts w:ascii="Times New Roman" w:hAnsi="Times New Roman" w:cs="Times New Roman"/>
          <w:sz w:val="24"/>
          <w:szCs w:val="24"/>
        </w:rPr>
        <w:t>,</w:t>
      </w:r>
      <w:r w:rsidRPr="00231095" w:rsidR="00DD39F1">
        <w:rPr>
          <w:rFonts w:ascii="Times New Roman" w:hAnsi="Times New Roman" w:cs="Times New Roman"/>
          <w:sz w:val="24"/>
          <w:szCs w:val="24"/>
        </w:rPr>
        <w:t xml:space="preserve"> zoals de </w:t>
      </w:r>
      <w:r w:rsidRPr="00231095" w:rsidR="00C70111">
        <w:rPr>
          <w:rFonts w:ascii="Times New Roman" w:hAnsi="Times New Roman" w:cs="Times New Roman"/>
          <w:sz w:val="24"/>
          <w:szCs w:val="24"/>
        </w:rPr>
        <w:t>Koninklijke Vereniging van Nederlandse Reders</w:t>
      </w:r>
      <w:r w:rsidRPr="00231095" w:rsidR="005066ED">
        <w:rPr>
          <w:rFonts w:ascii="Times New Roman" w:hAnsi="Times New Roman" w:cs="Times New Roman"/>
          <w:sz w:val="24"/>
          <w:szCs w:val="24"/>
        </w:rPr>
        <w:t>,</w:t>
      </w:r>
      <w:r w:rsidRPr="00231095" w:rsidR="00DD39F1">
        <w:rPr>
          <w:rFonts w:ascii="Times New Roman" w:hAnsi="Times New Roman" w:cs="Times New Roman"/>
          <w:sz w:val="24"/>
          <w:szCs w:val="24"/>
        </w:rPr>
        <w:t xml:space="preserve"> wat in de rechtspraktijk nodig is met betrekking tot het overgangsrecht.</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Pr>
          <w:rFonts w:ascii="Times New Roman" w:hAnsi="Times New Roman" w:cs="Times New Roman"/>
          <w:b/>
          <w:sz w:val="24"/>
          <w:szCs w:val="24"/>
        </w:rPr>
        <w:t>II. ARTIKELSGEWIJS</w:t>
      </w:r>
      <w:r w:rsidRPr="00231095" w:rsidR="00061143">
        <w:rPr>
          <w:rFonts w:ascii="Times New Roman" w:hAnsi="Times New Roman" w:cs="Times New Roman"/>
          <w:b/>
          <w:sz w:val="24"/>
          <w:szCs w:val="24"/>
        </w:rPr>
        <w:br/>
      </w:r>
      <w:r w:rsidRPr="00231095" w:rsidR="00061143">
        <w:rPr>
          <w:rFonts w:ascii="Times New Roman" w:hAnsi="Times New Roman" w:cs="Times New Roman"/>
          <w:b/>
          <w:sz w:val="24"/>
          <w:szCs w:val="24"/>
        </w:rPr>
        <w:br/>
      </w:r>
      <w:r w:rsidRPr="00231095">
        <w:rPr>
          <w:rFonts w:ascii="Times New Roman" w:hAnsi="Times New Roman" w:cs="Times New Roman"/>
          <w:b/>
          <w:bCs/>
          <w:sz w:val="24"/>
          <w:szCs w:val="24"/>
        </w:rPr>
        <w:t>ARTIKEL I (Boek 8 van het Burgerlijk Wetboek)</w:t>
      </w:r>
      <w:r w:rsidRPr="00231095" w:rsidR="00061143">
        <w:rPr>
          <w:rFonts w:ascii="Times New Roman" w:hAnsi="Times New Roman" w:cs="Times New Roman"/>
          <w:b/>
          <w:bCs/>
          <w:sz w:val="24"/>
          <w:szCs w:val="24"/>
        </w:rPr>
        <w:br/>
      </w:r>
      <w:r w:rsidRPr="00231095" w:rsidR="00061143">
        <w:rPr>
          <w:rFonts w:ascii="Times New Roman" w:hAnsi="Times New Roman" w:cs="Times New Roman"/>
          <w:b/>
          <w:bCs/>
          <w:sz w:val="24"/>
          <w:szCs w:val="24"/>
        </w:rPr>
        <w:br/>
      </w:r>
      <w:r w:rsidRPr="00231095" w:rsidR="00DD39F1">
        <w:rPr>
          <w:rFonts w:ascii="Times New Roman" w:hAnsi="Times New Roman" w:cs="Times New Roman"/>
          <w:sz w:val="24"/>
          <w:szCs w:val="24"/>
        </w:rPr>
        <w:t xml:space="preserve">De leden van de VVD-fractie vragen of de regering nog enkele extra voorbeelden kan noemen van bepalingen waarvan de aard van de bepaling zich verzet tegen het verklaren van overeenkomstige toepassing op een elektronisch cognossement. </w:t>
      </w:r>
      <w:r w:rsidRPr="00231095" w:rsidR="00061143">
        <w:rPr>
          <w:rFonts w:ascii="Times New Roman" w:hAnsi="Times New Roman" w:cs="Times New Roman"/>
          <w:bCs/>
          <w:iCs/>
          <w:sz w:val="24"/>
          <w:szCs w:val="24"/>
        </w:rPr>
        <w:br/>
      </w:r>
      <w:r w:rsidRPr="00231095" w:rsidR="00061143">
        <w:rPr>
          <w:rFonts w:ascii="Times New Roman" w:hAnsi="Times New Roman" w:cs="Times New Roman"/>
          <w:bCs/>
          <w:iCs/>
          <w:sz w:val="24"/>
          <w:szCs w:val="24"/>
        </w:rPr>
        <w:br/>
      </w:r>
      <w:r w:rsidRPr="00231095">
        <w:rPr>
          <w:rFonts w:ascii="Times New Roman" w:hAnsi="Times New Roman" w:cs="Times New Roman"/>
          <w:b/>
          <w:bCs/>
          <w:sz w:val="24"/>
          <w:szCs w:val="24"/>
        </w:rPr>
        <w:t>ARTIKEL III (Evaluatie)</w:t>
      </w:r>
      <w:r w:rsidRPr="00231095" w:rsidR="00061143">
        <w:rPr>
          <w:rFonts w:ascii="Times New Roman" w:hAnsi="Times New Roman" w:cs="Times New Roman"/>
          <w:b/>
          <w:bCs/>
          <w:sz w:val="24"/>
          <w:szCs w:val="24"/>
        </w:rPr>
        <w:br/>
      </w:r>
      <w:r w:rsidRPr="00231095" w:rsidR="00061143">
        <w:rPr>
          <w:rFonts w:ascii="Times New Roman" w:hAnsi="Times New Roman" w:cs="Times New Roman"/>
          <w:b/>
          <w:bCs/>
          <w:sz w:val="24"/>
          <w:szCs w:val="24"/>
        </w:rPr>
        <w:br/>
      </w:r>
      <w:r w:rsidRPr="00231095" w:rsidR="00573147">
        <w:rPr>
          <w:rFonts w:ascii="Times New Roman" w:hAnsi="Times New Roman" w:cs="Times New Roman"/>
          <w:sz w:val="24"/>
          <w:szCs w:val="24"/>
        </w:rPr>
        <w:t xml:space="preserve">De </w:t>
      </w:r>
      <w:r w:rsidRPr="00231095" w:rsidR="00E2775B">
        <w:rPr>
          <w:rFonts w:ascii="Times New Roman" w:hAnsi="Times New Roman" w:cs="Times New Roman"/>
          <w:sz w:val="24"/>
          <w:szCs w:val="24"/>
        </w:rPr>
        <w:t>leden van de NSC-</w:t>
      </w:r>
      <w:r w:rsidRPr="00231095" w:rsidR="00573147">
        <w:rPr>
          <w:rFonts w:ascii="Times New Roman" w:hAnsi="Times New Roman" w:cs="Times New Roman"/>
          <w:sz w:val="24"/>
          <w:szCs w:val="24"/>
        </w:rPr>
        <w:t>fractie vra</w:t>
      </w:r>
      <w:r w:rsidRPr="00231095" w:rsidR="00E2775B">
        <w:rPr>
          <w:rFonts w:ascii="Times New Roman" w:hAnsi="Times New Roman" w:cs="Times New Roman"/>
          <w:sz w:val="24"/>
          <w:szCs w:val="24"/>
        </w:rPr>
        <w:t>gen</w:t>
      </w:r>
      <w:r w:rsidRPr="00231095" w:rsidR="00573147">
        <w:rPr>
          <w:rFonts w:ascii="Times New Roman" w:hAnsi="Times New Roman" w:cs="Times New Roman"/>
          <w:sz w:val="24"/>
          <w:szCs w:val="24"/>
        </w:rPr>
        <w:t xml:space="preserve"> de regering of een invoeringstoets kan worden gerealiseerd. Immers</w:t>
      </w:r>
      <w:r w:rsidRPr="00231095" w:rsidR="00A56319">
        <w:rPr>
          <w:rFonts w:ascii="Times New Roman" w:hAnsi="Times New Roman" w:cs="Times New Roman"/>
          <w:sz w:val="24"/>
          <w:szCs w:val="24"/>
        </w:rPr>
        <w:t>,</w:t>
      </w:r>
      <w:r w:rsidRPr="00231095" w:rsidR="00573147">
        <w:rPr>
          <w:rFonts w:ascii="Times New Roman" w:hAnsi="Times New Roman" w:cs="Times New Roman"/>
          <w:sz w:val="24"/>
          <w:szCs w:val="24"/>
        </w:rPr>
        <w:t xml:space="preserve"> het Adviescollege toetsing regeldruk heeft geadviseerd om één jaar na inwerkingtreding van het voorstel een dergelijke toets te doen, waardoor zicht kan worden gekregen op eventuele problemen met betrekking tot de werkbaarheid in de praktijk. Naar aanleiding van deze invoeringstoets kan de wet of uitwerking van de wet worden aangepast.</w:t>
      </w:r>
      <w:r w:rsidRPr="00231095" w:rsidR="00061143">
        <w:rPr>
          <w:rFonts w:ascii="Times New Roman" w:hAnsi="Times New Roman" w:cs="Times New Roman"/>
          <w:sz w:val="24"/>
          <w:szCs w:val="24"/>
        </w:rPr>
        <w:br/>
      </w:r>
      <w:r w:rsidRPr="00231095" w:rsidR="00061143">
        <w:rPr>
          <w:rFonts w:ascii="Times New Roman" w:hAnsi="Times New Roman" w:cs="Times New Roman"/>
          <w:sz w:val="24"/>
          <w:szCs w:val="24"/>
        </w:rPr>
        <w:br/>
      </w:r>
      <w:r w:rsidRPr="00231095" w:rsidR="00573147">
        <w:rPr>
          <w:rFonts w:ascii="Times New Roman" w:hAnsi="Times New Roman" w:cs="Times New Roman"/>
          <w:sz w:val="24"/>
          <w:szCs w:val="24"/>
        </w:rPr>
        <w:t xml:space="preserve">In </w:t>
      </w:r>
      <w:r w:rsidRPr="00231095" w:rsidR="00AC0744">
        <w:rPr>
          <w:rFonts w:ascii="Times New Roman" w:hAnsi="Times New Roman" w:cs="Times New Roman"/>
          <w:sz w:val="24"/>
          <w:szCs w:val="24"/>
        </w:rPr>
        <w:t xml:space="preserve">het voorgestelde </w:t>
      </w:r>
      <w:r w:rsidRPr="00231095" w:rsidR="00573147">
        <w:rPr>
          <w:rFonts w:ascii="Times New Roman" w:hAnsi="Times New Roman" w:cs="Times New Roman"/>
          <w:sz w:val="24"/>
          <w:szCs w:val="24"/>
        </w:rPr>
        <w:t>artikel III wordt momenteel voorzien in een verslag over de doeltreffendheid en de effecten van de wet in de praktijk binnen drie jaar na de inwerkingtreding</w:t>
      </w:r>
      <w:r w:rsidRPr="00231095" w:rsidR="005F78C8">
        <w:rPr>
          <w:rFonts w:ascii="Times New Roman" w:hAnsi="Times New Roman" w:cs="Times New Roman"/>
          <w:sz w:val="24"/>
          <w:szCs w:val="24"/>
        </w:rPr>
        <w:t>, zo merken de leden van de NSC-fractie op</w:t>
      </w:r>
      <w:r w:rsidRPr="00231095" w:rsidR="00573147">
        <w:rPr>
          <w:rFonts w:ascii="Times New Roman" w:hAnsi="Times New Roman" w:cs="Times New Roman"/>
          <w:sz w:val="24"/>
          <w:szCs w:val="24"/>
        </w:rPr>
        <w:t>. De</w:t>
      </w:r>
      <w:r w:rsidRPr="00231095" w:rsidR="005F78C8">
        <w:rPr>
          <w:rFonts w:ascii="Times New Roman" w:hAnsi="Times New Roman" w:cs="Times New Roman"/>
          <w:sz w:val="24"/>
          <w:szCs w:val="24"/>
        </w:rPr>
        <w:t>ze leden</w:t>
      </w:r>
      <w:r w:rsidRPr="00231095" w:rsidR="00573147">
        <w:rPr>
          <w:rFonts w:ascii="Times New Roman" w:hAnsi="Times New Roman" w:cs="Times New Roman"/>
          <w:sz w:val="24"/>
          <w:szCs w:val="24"/>
        </w:rPr>
        <w:t xml:space="preserve"> vra</w:t>
      </w:r>
      <w:r w:rsidRPr="00231095" w:rsidR="005F78C8">
        <w:rPr>
          <w:rFonts w:ascii="Times New Roman" w:hAnsi="Times New Roman" w:cs="Times New Roman"/>
          <w:sz w:val="24"/>
          <w:szCs w:val="24"/>
        </w:rPr>
        <w:t>gen</w:t>
      </w:r>
      <w:r w:rsidRPr="00231095" w:rsidR="00573147">
        <w:rPr>
          <w:rFonts w:ascii="Times New Roman" w:hAnsi="Times New Roman" w:cs="Times New Roman"/>
          <w:sz w:val="24"/>
          <w:szCs w:val="24"/>
        </w:rPr>
        <w:t xml:space="preserve"> de regering of deze termijn kan worden verkort en vra</w:t>
      </w:r>
      <w:r w:rsidRPr="00231095" w:rsidR="005F78C8">
        <w:rPr>
          <w:rFonts w:ascii="Times New Roman" w:hAnsi="Times New Roman" w:cs="Times New Roman"/>
          <w:sz w:val="24"/>
          <w:szCs w:val="24"/>
        </w:rPr>
        <w:t>gen</w:t>
      </w:r>
      <w:r w:rsidRPr="00231095" w:rsidR="00573147">
        <w:rPr>
          <w:rFonts w:ascii="Times New Roman" w:hAnsi="Times New Roman" w:cs="Times New Roman"/>
          <w:sz w:val="24"/>
          <w:szCs w:val="24"/>
        </w:rPr>
        <w:t xml:space="preserve"> bovendien om een expliciete</w:t>
      </w:r>
      <w:r w:rsidRPr="00231095" w:rsidR="005F78C8">
        <w:rPr>
          <w:rFonts w:ascii="Times New Roman" w:hAnsi="Times New Roman" w:cs="Times New Roman"/>
          <w:sz w:val="24"/>
          <w:szCs w:val="24"/>
        </w:rPr>
        <w:t>(</w:t>
      </w:r>
      <w:r w:rsidRPr="00231095" w:rsidR="00573147">
        <w:rPr>
          <w:rFonts w:ascii="Times New Roman" w:hAnsi="Times New Roman" w:cs="Times New Roman"/>
          <w:sz w:val="24"/>
          <w:szCs w:val="24"/>
        </w:rPr>
        <w:t>re) opname in het wetsvoorstel daarvan (in plaats van “</w:t>
      </w:r>
      <w:r w:rsidRPr="00231095" w:rsidR="00573147">
        <w:rPr>
          <w:rFonts w:ascii="Times New Roman" w:hAnsi="Times New Roman" w:cs="Times New Roman"/>
          <w:i/>
          <w:iCs/>
          <w:sz w:val="24"/>
          <w:szCs w:val="24"/>
        </w:rPr>
        <w:t xml:space="preserve">binnen </w:t>
      </w:r>
      <w:r w:rsidRPr="00231095" w:rsidR="00573147">
        <w:rPr>
          <w:rFonts w:ascii="Times New Roman" w:hAnsi="Times New Roman" w:cs="Times New Roman"/>
          <w:sz w:val="24"/>
          <w:szCs w:val="24"/>
        </w:rPr>
        <w:t>X jaar”).</w:t>
      </w:r>
      <w:r w:rsidRPr="00231095" w:rsidR="00061143">
        <w:rPr>
          <w:rFonts w:ascii="Times New Roman" w:hAnsi="Times New Roman" w:cs="Times New Roman"/>
          <w:b/>
          <w:sz w:val="24"/>
          <w:szCs w:val="24"/>
        </w:rPr>
        <w:br/>
      </w:r>
      <w:r w:rsidRPr="00231095" w:rsidR="00061143">
        <w:rPr>
          <w:rFonts w:ascii="Times New Roman" w:hAnsi="Times New Roman" w:cs="Times New Roman"/>
          <w:b/>
          <w:sz w:val="24"/>
          <w:szCs w:val="24"/>
        </w:rPr>
        <w:br/>
      </w:r>
      <w:r w:rsidRPr="00231095" w:rsidR="008218E4">
        <w:rPr>
          <w:rFonts w:ascii="Times New Roman" w:hAnsi="Times New Roman" w:cs="Times New Roman"/>
          <w:bCs/>
          <w:sz w:val="24"/>
          <w:szCs w:val="24"/>
          <w:lang w:eastAsia="nl-NL"/>
        </w:rPr>
        <w:t xml:space="preserve">De voorzitter van de commissie, </w:t>
      </w:r>
      <w:r w:rsidRPr="00231095" w:rsidR="008218E4">
        <w:rPr>
          <w:rFonts w:ascii="Times New Roman" w:hAnsi="Times New Roman" w:cs="Times New Roman"/>
          <w:bCs/>
          <w:sz w:val="24"/>
          <w:szCs w:val="24"/>
          <w:lang w:eastAsia="nl-NL"/>
        </w:rPr>
        <w:br/>
        <w:t xml:space="preserve">Pool </w:t>
      </w:r>
      <w:r w:rsidRPr="00231095" w:rsidR="00061143">
        <w:rPr>
          <w:rFonts w:ascii="Times New Roman" w:hAnsi="Times New Roman" w:cs="Times New Roman"/>
          <w:bCs/>
          <w:sz w:val="24"/>
          <w:szCs w:val="24"/>
          <w:lang w:eastAsia="nl-NL"/>
        </w:rPr>
        <w:br/>
      </w:r>
      <w:r w:rsidRPr="00231095" w:rsidR="00061143">
        <w:rPr>
          <w:rFonts w:ascii="Times New Roman" w:hAnsi="Times New Roman" w:cs="Times New Roman"/>
          <w:bCs/>
          <w:sz w:val="24"/>
          <w:szCs w:val="24"/>
          <w:lang w:eastAsia="nl-NL"/>
        </w:rPr>
        <w:br/>
      </w:r>
      <w:r w:rsidRPr="00231095" w:rsidR="008218E4">
        <w:rPr>
          <w:rFonts w:ascii="Times New Roman" w:hAnsi="Times New Roman" w:cs="Times New Roman"/>
          <w:bCs/>
          <w:sz w:val="24"/>
          <w:szCs w:val="24"/>
          <w:lang w:eastAsia="nl-NL"/>
        </w:rPr>
        <w:t xml:space="preserve">Adjunct-griffier van de commissie, </w:t>
      </w:r>
      <w:r w:rsidRPr="00231095" w:rsidR="008218E4">
        <w:rPr>
          <w:rFonts w:ascii="Times New Roman" w:hAnsi="Times New Roman" w:cs="Times New Roman"/>
          <w:bCs/>
          <w:sz w:val="24"/>
          <w:szCs w:val="24"/>
          <w:lang w:eastAsia="nl-NL"/>
        </w:rPr>
        <w:br/>
        <w:t>Paauwe</w:t>
      </w:r>
    </w:p>
    <w:sectPr w:rsidRPr="00231095" w:rsidR="00A7252C" w:rsidSect="00844E28">
      <w:footerReference w:type="default" r:id="rId11"/>
      <w:pgSz w:w="11906" w:h="16838"/>
      <w:pgMar w:top="1440" w:right="1440" w:bottom="1135"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80ADA" w14:textId="77777777" w:rsidR="002B6666" w:rsidRDefault="002B6666" w:rsidP="002B6666">
      <w:pPr>
        <w:spacing w:after="0" w:line="240" w:lineRule="auto"/>
      </w:pPr>
      <w:r>
        <w:separator/>
      </w:r>
    </w:p>
  </w:endnote>
  <w:endnote w:type="continuationSeparator" w:id="0">
    <w:p w14:paraId="49F0E8DB" w14:textId="77777777" w:rsidR="002B6666" w:rsidRDefault="002B6666" w:rsidP="002B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746508"/>
      <w:docPartObj>
        <w:docPartGallery w:val="Page Numbers (Bottom of Page)"/>
        <w:docPartUnique/>
      </w:docPartObj>
    </w:sdtPr>
    <w:sdtEndPr>
      <w:rPr>
        <w:rFonts w:ascii="Times New Roman" w:hAnsi="Times New Roman" w:cs="Times New Roman"/>
      </w:rPr>
    </w:sdtEndPr>
    <w:sdtContent>
      <w:p w14:paraId="195F6660" w14:textId="5FD57668" w:rsidR="002B6666" w:rsidRPr="002B6666" w:rsidRDefault="002B6666">
        <w:pPr>
          <w:pStyle w:val="Voettekst"/>
          <w:jc w:val="right"/>
          <w:rPr>
            <w:rFonts w:ascii="Times New Roman" w:hAnsi="Times New Roman" w:cs="Times New Roman"/>
          </w:rPr>
        </w:pPr>
        <w:r w:rsidRPr="002B6666">
          <w:rPr>
            <w:rFonts w:ascii="Times New Roman" w:hAnsi="Times New Roman" w:cs="Times New Roman"/>
          </w:rPr>
          <w:fldChar w:fldCharType="begin"/>
        </w:r>
        <w:r w:rsidRPr="002B6666">
          <w:rPr>
            <w:rFonts w:ascii="Times New Roman" w:hAnsi="Times New Roman" w:cs="Times New Roman"/>
          </w:rPr>
          <w:instrText>PAGE   \* MERGEFORMAT</w:instrText>
        </w:r>
        <w:r w:rsidRPr="002B6666">
          <w:rPr>
            <w:rFonts w:ascii="Times New Roman" w:hAnsi="Times New Roman" w:cs="Times New Roman"/>
          </w:rPr>
          <w:fldChar w:fldCharType="separate"/>
        </w:r>
        <w:r w:rsidRPr="002B6666">
          <w:rPr>
            <w:rFonts w:ascii="Times New Roman" w:hAnsi="Times New Roman" w:cs="Times New Roman"/>
          </w:rPr>
          <w:t>2</w:t>
        </w:r>
        <w:r w:rsidRPr="002B6666">
          <w:rPr>
            <w:rFonts w:ascii="Times New Roman" w:hAnsi="Times New Roman" w:cs="Times New Roman"/>
          </w:rPr>
          <w:fldChar w:fldCharType="end"/>
        </w:r>
      </w:p>
    </w:sdtContent>
  </w:sdt>
  <w:p w14:paraId="33532FBE" w14:textId="77777777" w:rsidR="002B6666" w:rsidRDefault="002B66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6071F" w14:textId="77777777" w:rsidR="002B6666" w:rsidRDefault="002B6666" w:rsidP="002B6666">
      <w:pPr>
        <w:spacing w:after="0" w:line="240" w:lineRule="auto"/>
      </w:pPr>
      <w:r>
        <w:separator/>
      </w:r>
    </w:p>
  </w:footnote>
  <w:footnote w:type="continuationSeparator" w:id="0">
    <w:p w14:paraId="468BF204" w14:textId="77777777" w:rsidR="002B6666" w:rsidRDefault="002B6666" w:rsidP="002B6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1347B"/>
    <w:multiLevelType w:val="hybridMultilevel"/>
    <w:tmpl w:val="950098F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4068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402AD1"/>
    <w:rsid w:val="00061143"/>
    <w:rsid w:val="00097BE8"/>
    <w:rsid w:val="000A1324"/>
    <w:rsid w:val="00106E78"/>
    <w:rsid w:val="001344B1"/>
    <w:rsid w:val="00153296"/>
    <w:rsid w:val="001536AE"/>
    <w:rsid w:val="00153CE2"/>
    <w:rsid w:val="001733F1"/>
    <w:rsid w:val="00181C15"/>
    <w:rsid w:val="00184440"/>
    <w:rsid w:val="00196316"/>
    <w:rsid w:val="001B541A"/>
    <w:rsid w:val="001F2C0B"/>
    <w:rsid w:val="001F3393"/>
    <w:rsid w:val="00230407"/>
    <w:rsid w:val="00231095"/>
    <w:rsid w:val="00254DB2"/>
    <w:rsid w:val="00266C67"/>
    <w:rsid w:val="00297B40"/>
    <w:rsid w:val="002B6666"/>
    <w:rsid w:val="002F4A69"/>
    <w:rsid w:val="00317098"/>
    <w:rsid w:val="0035300D"/>
    <w:rsid w:val="00414B0C"/>
    <w:rsid w:val="00424EE1"/>
    <w:rsid w:val="00450A55"/>
    <w:rsid w:val="004F00B4"/>
    <w:rsid w:val="004F0E2F"/>
    <w:rsid w:val="004F1597"/>
    <w:rsid w:val="00504277"/>
    <w:rsid w:val="005066ED"/>
    <w:rsid w:val="00516082"/>
    <w:rsid w:val="00516208"/>
    <w:rsid w:val="005200E9"/>
    <w:rsid w:val="00523243"/>
    <w:rsid w:val="005266BE"/>
    <w:rsid w:val="00540E5B"/>
    <w:rsid w:val="00546FA8"/>
    <w:rsid w:val="00573147"/>
    <w:rsid w:val="005A1E63"/>
    <w:rsid w:val="005A78E4"/>
    <w:rsid w:val="005F03A1"/>
    <w:rsid w:val="005F78C8"/>
    <w:rsid w:val="00606D17"/>
    <w:rsid w:val="00637A61"/>
    <w:rsid w:val="006A2AB8"/>
    <w:rsid w:val="006A2DFA"/>
    <w:rsid w:val="006D422C"/>
    <w:rsid w:val="006F3638"/>
    <w:rsid w:val="006F6ACC"/>
    <w:rsid w:val="0070475F"/>
    <w:rsid w:val="00717416"/>
    <w:rsid w:val="0072354B"/>
    <w:rsid w:val="00774AEA"/>
    <w:rsid w:val="007C6EED"/>
    <w:rsid w:val="008218E4"/>
    <w:rsid w:val="00835CD2"/>
    <w:rsid w:val="0084396E"/>
    <w:rsid w:val="00844E28"/>
    <w:rsid w:val="00847ED2"/>
    <w:rsid w:val="00861EF2"/>
    <w:rsid w:val="008929CC"/>
    <w:rsid w:val="008E08F1"/>
    <w:rsid w:val="008E1247"/>
    <w:rsid w:val="00950A2C"/>
    <w:rsid w:val="009A0345"/>
    <w:rsid w:val="009B0809"/>
    <w:rsid w:val="009C396E"/>
    <w:rsid w:val="009E41E4"/>
    <w:rsid w:val="00A10F39"/>
    <w:rsid w:val="00A21E62"/>
    <w:rsid w:val="00A42629"/>
    <w:rsid w:val="00A56319"/>
    <w:rsid w:val="00A7252C"/>
    <w:rsid w:val="00A82B67"/>
    <w:rsid w:val="00AC0744"/>
    <w:rsid w:val="00AE7225"/>
    <w:rsid w:val="00B33786"/>
    <w:rsid w:val="00B72B8E"/>
    <w:rsid w:val="00B9330E"/>
    <w:rsid w:val="00BC56CE"/>
    <w:rsid w:val="00BF78B8"/>
    <w:rsid w:val="00C12413"/>
    <w:rsid w:val="00C70111"/>
    <w:rsid w:val="00C82789"/>
    <w:rsid w:val="00C836F1"/>
    <w:rsid w:val="00C953C8"/>
    <w:rsid w:val="00CA47D5"/>
    <w:rsid w:val="00CA6980"/>
    <w:rsid w:val="00D27CBB"/>
    <w:rsid w:val="00DA265B"/>
    <w:rsid w:val="00DA5542"/>
    <w:rsid w:val="00DA6613"/>
    <w:rsid w:val="00DC7149"/>
    <w:rsid w:val="00DD39F1"/>
    <w:rsid w:val="00DD3C23"/>
    <w:rsid w:val="00DF1FA6"/>
    <w:rsid w:val="00E2775B"/>
    <w:rsid w:val="00E66B28"/>
    <w:rsid w:val="00E91B84"/>
    <w:rsid w:val="00EA6EBD"/>
    <w:rsid w:val="00EC432E"/>
    <w:rsid w:val="00ED041C"/>
    <w:rsid w:val="00ED40CD"/>
    <w:rsid w:val="00ED6848"/>
    <w:rsid w:val="00EE67C2"/>
    <w:rsid w:val="00EE7522"/>
    <w:rsid w:val="00EF7F86"/>
    <w:rsid w:val="00F42F11"/>
    <w:rsid w:val="00F640C0"/>
    <w:rsid w:val="00F65EC5"/>
    <w:rsid w:val="00F7110D"/>
    <w:rsid w:val="00F71E2B"/>
    <w:rsid w:val="00F93F4A"/>
    <w:rsid w:val="24402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2AD1"/>
  <w15:chartTrackingRefBased/>
  <w15:docId w15:val="{7E0DC0CC-9A8F-4099-86CE-604E0097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44E28"/>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844E28"/>
    <w:pPr>
      <w:ind w:left="720"/>
      <w:contextualSpacing/>
    </w:pPr>
  </w:style>
  <w:style w:type="paragraph" w:styleId="Geenafstand">
    <w:name w:val="No Spacing"/>
    <w:uiPriority w:val="1"/>
    <w:qFormat/>
    <w:rsid w:val="00844E28"/>
    <w:pPr>
      <w:spacing w:after="0" w:line="240" w:lineRule="auto"/>
    </w:pPr>
  </w:style>
  <w:style w:type="paragraph" w:styleId="Koptekst">
    <w:name w:val="header"/>
    <w:basedOn w:val="Standaard"/>
    <w:link w:val="KoptekstChar"/>
    <w:uiPriority w:val="99"/>
    <w:unhideWhenUsed/>
    <w:rsid w:val="002B66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666"/>
  </w:style>
  <w:style w:type="paragraph" w:styleId="Voettekst">
    <w:name w:val="footer"/>
    <w:basedOn w:val="Standaard"/>
    <w:link w:val="VoettekstChar"/>
    <w:uiPriority w:val="99"/>
    <w:unhideWhenUsed/>
    <w:rsid w:val="002B66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666"/>
  </w:style>
  <w:style w:type="paragraph" w:styleId="Revisie">
    <w:name w:val="Revision"/>
    <w:hidden/>
    <w:uiPriority w:val="99"/>
    <w:semiHidden/>
    <w:rsid w:val="009E41E4"/>
    <w:pPr>
      <w:spacing w:after="0" w:line="240" w:lineRule="auto"/>
    </w:pPr>
  </w:style>
  <w:style w:type="character" w:styleId="Verwijzingopmerking">
    <w:name w:val="annotation reference"/>
    <w:basedOn w:val="Standaardalinea-lettertype"/>
    <w:uiPriority w:val="99"/>
    <w:semiHidden/>
    <w:unhideWhenUsed/>
    <w:rsid w:val="009E41E4"/>
    <w:rPr>
      <w:sz w:val="16"/>
      <w:szCs w:val="16"/>
    </w:rPr>
  </w:style>
  <w:style w:type="paragraph" w:styleId="Tekstopmerking">
    <w:name w:val="annotation text"/>
    <w:basedOn w:val="Standaard"/>
    <w:link w:val="TekstopmerkingChar"/>
    <w:uiPriority w:val="99"/>
    <w:unhideWhenUsed/>
    <w:rsid w:val="009E41E4"/>
    <w:pPr>
      <w:spacing w:line="240" w:lineRule="auto"/>
    </w:pPr>
    <w:rPr>
      <w:sz w:val="20"/>
      <w:szCs w:val="20"/>
    </w:rPr>
  </w:style>
  <w:style w:type="character" w:customStyle="1" w:styleId="TekstopmerkingChar">
    <w:name w:val="Tekst opmerking Char"/>
    <w:basedOn w:val="Standaardalinea-lettertype"/>
    <w:link w:val="Tekstopmerking"/>
    <w:uiPriority w:val="99"/>
    <w:rsid w:val="009E41E4"/>
    <w:rPr>
      <w:sz w:val="20"/>
      <w:szCs w:val="20"/>
    </w:rPr>
  </w:style>
  <w:style w:type="paragraph" w:styleId="Onderwerpvanopmerking">
    <w:name w:val="annotation subject"/>
    <w:basedOn w:val="Tekstopmerking"/>
    <w:next w:val="Tekstopmerking"/>
    <w:link w:val="OnderwerpvanopmerkingChar"/>
    <w:uiPriority w:val="99"/>
    <w:semiHidden/>
    <w:unhideWhenUsed/>
    <w:rsid w:val="009E41E4"/>
    <w:rPr>
      <w:b/>
      <w:bCs/>
    </w:rPr>
  </w:style>
  <w:style w:type="character" w:customStyle="1" w:styleId="OnderwerpvanopmerkingChar">
    <w:name w:val="Onderwerp van opmerking Char"/>
    <w:basedOn w:val="TekstopmerkingChar"/>
    <w:link w:val="Onderwerpvanopmerking"/>
    <w:uiPriority w:val="99"/>
    <w:semiHidden/>
    <w:rsid w:val="009E41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46483">
      <w:bodyDiv w:val="1"/>
      <w:marLeft w:val="0"/>
      <w:marRight w:val="0"/>
      <w:marTop w:val="0"/>
      <w:marBottom w:val="0"/>
      <w:divBdr>
        <w:top w:val="none" w:sz="0" w:space="0" w:color="auto"/>
        <w:left w:val="none" w:sz="0" w:space="0" w:color="auto"/>
        <w:bottom w:val="none" w:sz="0" w:space="0" w:color="auto"/>
        <w:right w:val="none" w:sz="0" w:space="0" w:color="auto"/>
      </w:divBdr>
    </w:div>
    <w:div w:id="21385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1517</ap:Words>
  <ap:Characters>8344</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2025-06-06T14:17:00.0000000Z</dcterms:created>
  <dcterms:modified xsi:type="dcterms:W3CDTF">2025-06-06T14:17:00.0000000Z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6b9ca72e-0e8c-4133-916a-6014ff4fd166</vt:lpwstr>
  </property>
</Properties>
</file>