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224B" w:rsidR="00D4578E" w:rsidP="00D4578E" w:rsidRDefault="00D4578E" w14:paraId="3F8557C4" w14:textId="31160343">
      <w:pPr>
        <w:spacing w:line="240" w:lineRule="atLeast"/>
        <w:rPr>
          <w:b/>
          <w:bCs/>
        </w:rPr>
      </w:pPr>
      <w:r w:rsidRPr="0001224B">
        <w:rPr>
          <w:b/>
          <w:bCs/>
        </w:rPr>
        <w:t>Kwartaalrapportage van lopende EU-wetgevingsdossiers op VWS-terrein</w:t>
      </w:r>
      <w:r w:rsidR="0001224B">
        <w:rPr>
          <w:b/>
          <w:bCs/>
        </w:rPr>
        <w:t xml:space="preserve"> – juni 2025</w:t>
      </w:r>
    </w:p>
    <w:p w:rsidRPr="0001224B" w:rsidR="00D4578E" w:rsidP="00D4578E" w:rsidRDefault="00D4578E" w14:paraId="7984DEC1" w14:textId="77777777">
      <w:pPr>
        <w:pBdr>
          <w:bottom w:val="single" w:color="auto" w:sz="6" w:space="1"/>
        </w:pBdr>
        <w:spacing w:line="240" w:lineRule="atLeast"/>
        <w:rPr>
          <w:b/>
          <w:bCs/>
        </w:rPr>
      </w:pPr>
    </w:p>
    <w:tbl>
      <w:tblPr>
        <w:tblStyle w:val="Tabelraster"/>
        <w:tblW w:w="9072" w:type="dxa"/>
        <w:tblInd w:w="-8" w:type="dxa"/>
        <w:tblLook w:val="04A0" w:firstRow="1" w:lastRow="0" w:firstColumn="1" w:lastColumn="0" w:noHBand="0" w:noVBand="1"/>
      </w:tblPr>
      <w:tblGrid>
        <w:gridCol w:w="2344"/>
        <w:gridCol w:w="1475"/>
        <w:gridCol w:w="2625"/>
        <w:gridCol w:w="2628"/>
      </w:tblGrid>
      <w:tr w:rsidRPr="0001224B" w:rsidR="00D4578E" w:rsidTr="007D493B" w14:paraId="363870E7" w14:textId="77777777">
        <w:tc>
          <w:tcPr>
            <w:tcW w:w="2344" w:type="dxa"/>
            <w:tcBorders>
              <w:top w:val="single" w:color="auto" w:sz="6" w:space="0"/>
              <w:left w:val="single" w:color="auto" w:sz="6" w:space="0"/>
              <w:bottom w:val="single" w:color="auto" w:sz="6" w:space="0"/>
              <w:right w:val="single" w:color="auto" w:sz="6" w:space="0"/>
            </w:tcBorders>
          </w:tcPr>
          <w:p w:rsidRPr="0001224B" w:rsidR="00D4578E" w:rsidP="003968C8" w:rsidRDefault="00D4578E" w14:paraId="7962892C" w14:textId="77777777">
            <w:pPr>
              <w:rPr>
                <w:b/>
                <w:bCs/>
                <w:sz w:val="16"/>
                <w:szCs w:val="16"/>
              </w:rPr>
            </w:pPr>
            <w:r w:rsidRPr="0001224B">
              <w:rPr>
                <w:b/>
                <w:bCs/>
                <w:sz w:val="16"/>
                <w:szCs w:val="16"/>
              </w:rPr>
              <w:t>Titel</w:t>
            </w:r>
          </w:p>
        </w:tc>
        <w:tc>
          <w:tcPr>
            <w:tcW w:w="1475" w:type="dxa"/>
            <w:tcBorders>
              <w:top w:val="single" w:color="auto" w:sz="6" w:space="0"/>
              <w:left w:val="single" w:color="auto" w:sz="6" w:space="0"/>
              <w:bottom w:val="single" w:color="auto" w:sz="6" w:space="0"/>
              <w:right w:val="single" w:color="auto" w:sz="6" w:space="0"/>
            </w:tcBorders>
          </w:tcPr>
          <w:p w:rsidRPr="0001224B" w:rsidR="00D4578E" w:rsidP="003968C8" w:rsidRDefault="00D4578E" w14:paraId="54354EF3" w14:textId="77777777">
            <w:pPr>
              <w:rPr>
                <w:b/>
                <w:bCs/>
                <w:sz w:val="16"/>
                <w:szCs w:val="16"/>
              </w:rPr>
            </w:pPr>
            <w:r w:rsidRPr="0001224B">
              <w:rPr>
                <w:b/>
                <w:bCs/>
                <w:sz w:val="16"/>
                <w:szCs w:val="16"/>
              </w:rPr>
              <w:t>Document</w:t>
            </w:r>
          </w:p>
        </w:tc>
        <w:tc>
          <w:tcPr>
            <w:tcW w:w="2625" w:type="dxa"/>
            <w:tcBorders>
              <w:top w:val="single" w:color="auto" w:sz="6" w:space="0"/>
              <w:left w:val="single" w:color="auto" w:sz="6" w:space="0"/>
              <w:bottom w:val="single" w:color="auto" w:sz="6" w:space="0"/>
              <w:right w:val="single" w:color="auto" w:sz="6" w:space="0"/>
            </w:tcBorders>
          </w:tcPr>
          <w:p w:rsidRPr="0001224B" w:rsidR="00D4578E" w:rsidP="003968C8" w:rsidRDefault="00D4578E" w14:paraId="1C22A4C2" w14:textId="77777777">
            <w:pPr>
              <w:rPr>
                <w:b/>
                <w:bCs/>
                <w:sz w:val="16"/>
                <w:szCs w:val="16"/>
              </w:rPr>
            </w:pPr>
            <w:r w:rsidRPr="0001224B">
              <w:rPr>
                <w:b/>
                <w:bCs/>
                <w:sz w:val="16"/>
                <w:szCs w:val="16"/>
              </w:rPr>
              <w:t>Omschrijving</w:t>
            </w:r>
          </w:p>
        </w:tc>
        <w:tc>
          <w:tcPr>
            <w:tcW w:w="2628" w:type="dxa"/>
            <w:tcBorders>
              <w:top w:val="single" w:color="auto" w:sz="6" w:space="0"/>
              <w:left w:val="single" w:color="auto" w:sz="6" w:space="0"/>
              <w:bottom w:val="single" w:color="auto" w:sz="6" w:space="0"/>
              <w:right w:val="single" w:color="auto" w:sz="6" w:space="0"/>
            </w:tcBorders>
          </w:tcPr>
          <w:p w:rsidRPr="0001224B" w:rsidR="00D4578E" w:rsidP="003968C8" w:rsidRDefault="00D4578E" w14:paraId="78177034" w14:textId="77777777">
            <w:pPr>
              <w:rPr>
                <w:b/>
                <w:bCs/>
                <w:sz w:val="16"/>
                <w:szCs w:val="16"/>
              </w:rPr>
            </w:pPr>
            <w:r w:rsidRPr="0001224B">
              <w:rPr>
                <w:b/>
                <w:bCs/>
                <w:sz w:val="16"/>
                <w:szCs w:val="16"/>
              </w:rPr>
              <w:t xml:space="preserve">Stand van zaken </w:t>
            </w:r>
          </w:p>
        </w:tc>
      </w:tr>
      <w:tr w:rsidRPr="0001224B" w:rsidR="00780BBB" w:rsidTr="007D493B" w14:paraId="4E126129" w14:textId="77777777">
        <w:tc>
          <w:tcPr>
            <w:tcW w:w="2344" w:type="dxa"/>
          </w:tcPr>
          <w:p w:rsidRPr="0001224B" w:rsidR="00780BBB" w:rsidP="00E228E1" w:rsidRDefault="00780BBB" w14:paraId="0BABDA54" w14:textId="77777777">
            <w:pPr>
              <w:rPr>
                <w:sz w:val="16"/>
                <w:szCs w:val="16"/>
              </w:rPr>
            </w:pPr>
            <w:r w:rsidRPr="0001224B">
              <w:rPr>
                <w:sz w:val="16"/>
                <w:szCs w:val="16"/>
              </w:rPr>
              <w:t>Europese ruimte voor gezondheidsgegevens (European Health Data Space)</w:t>
            </w:r>
          </w:p>
        </w:tc>
        <w:tc>
          <w:tcPr>
            <w:tcW w:w="1475" w:type="dxa"/>
          </w:tcPr>
          <w:p w:rsidRPr="0001224B" w:rsidR="00780BBB" w:rsidP="00E228E1" w:rsidRDefault="00780BBB" w14:paraId="5AE370D3" w14:textId="77777777">
            <w:pPr>
              <w:rPr>
                <w:sz w:val="16"/>
                <w:szCs w:val="16"/>
              </w:rPr>
            </w:pPr>
            <w:r w:rsidRPr="0001224B">
              <w:rPr>
                <w:sz w:val="16"/>
                <w:szCs w:val="16"/>
              </w:rPr>
              <w:t>COM 2022/197</w:t>
            </w:r>
          </w:p>
        </w:tc>
        <w:tc>
          <w:tcPr>
            <w:tcW w:w="2625" w:type="dxa"/>
          </w:tcPr>
          <w:p w:rsidRPr="0001224B" w:rsidR="00780BBB" w:rsidP="00E228E1" w:rsidRDefault="00780BBB" w14:paraId="626C4437" w14:textId="77777777">
            <w:pPr>
              <w:rPr>
                <w:sz w:val="16"/>
                <w:szCs w:val="16"/>
              </w:rPr>
            </w:pPr>
            <w:r w:rsidRPr="0001224B">
              <w:rPr>
                <w:sz w:val="16"/>
                <w:szCs w:val="16"/>
              </w:rPr>
              <w:t>De EC stelt voor burgers rechten te geven waarmee zij meer controle en zeggenschap krijgen op de toegang en het gebruik van hun elektronische gezondheidsgegevens voor de levering van zorg (primair gebruik), alsook voor andere maatschappelijke doeleinden zoals wetenschappelijk onderzoek, innovatie, en beleidsvorming (secundair gebruik). Tevens beoogt het voorstel een interne markt voor digitale gezondheidsproducten en -diensten, zoals elektronische medische dossiersystemen, tot stand te brengen, door de regels omtrent de (product)-veiligheid, beveiliging en interoperabiliteit binnen de EU te harmoniseren en zo de effectiviteit en efficiëntie van de gezondheidszorg te</w:t>
            </w:r>
          </w:p>
          <w:p w:rsidRPr="0001224B" w:rsidR="00780BBB" w:rsidP="00E228E1" w:rsidRDefault="00780BBB" w14:paraId="6E81CB98" w14:textId="77777777">
            <w:pPr>
              <w:rPr>
                <w:sz w:val="16"/>
                <w:szCs w:val="16"/>
              </w:rPr>
            </w:pPr>
            <w:r w:rsidRPr="0001224B">
              <w:rPr>
                <w:sz w:val="16"/>
                <w:szCs w:val="16"/>
              </w:rPr>
              <w:t>bevorderen.</w:t>
            </w:r>
          </w:p>
        </w:tc>
        <w:tc>
          <w:tcPr>
            <w:tcW w:w="2628" w:type="dxa"/>
          </w:tcPr>
          <w:p w:rsidRPr="0001224B" w:rsidR="00C66A7B" w:rsidP="00C66A7B" w:rsidRDefault="00C66A7B" w14:paraId="7489E979" w14:textId="77777777">
            <w:pPr>
              <w:rPr>
                <w:sz w:val="16"/>
                <w:szCs w:val="16"/>
              </w:rPr>
            </w:pPr>
            <w:r w:rsidRPr="0001224B">
              <w:rPr>
                <w:sz w:val="16"/>
                <w:szCs w:val="16"/>
              </w:rPr>
              <w:t xml:space="preserve">Op 26 maart 2025 is de verordening voor de European Health Data Space (EHDS) in werking getreden. Uw Kamer is geïnformeerd over de </w:t>
            </w:r>
            <w:proofErr w:type="spellStart"/>
            <w:r w:rsidRPr="0001224B">
              <w:rPr>
                <w:sz w:val="16"/>
                <w:szCs w:val="16"/>
              </w:rPr>
              <w:t>opt</w:t>
            </w:r>
            <w:proofErr w:type="spellEnd"/>
            <w:r w:rsidRPr="0001224B">
              <w:rPr>
                <w:sz w:val="16"/>
                <w:szCs w:val="16"/>
              </w:rPr>
              <w:t xml:space="preserve">-out en andere toezeggingen op 7 april 2025 middels een Kamerbrief. </w:t>
            </w:r>
          </w:p>
          <w:p w:rsidRPr="0001224B" w:rsidR="00780BBB" w:rsidP="00E228E1" w:rsidRDefault="00780BBB" w14:paraId="046C695A" w14:textId="4E8F8FBB">
            <w:pPr>
              <w:rPr>
                <w:sz w:val="16"/>
                <w:szCs w:val="16"/>
              </w:rPr>
            </w:pPr>
          </w:p>
        </w:tc>
      </w:tr>
      <w:tr w:rsidRPr="0001224B" w:rsidR="00780BBB" w:rsidTr="007D493B" w14:paraId="23C53B92" w14:textId="77777777">
        <w:tc>
          <w:tcPr>
            <w:tcW w:w="2344" w:type="dxa"/>
          </w:tcPr>
          <w:p w:rsidRPr="0001224B" w:rsidR="00780BBB" w:rsidP="00E228E1" w:rsidRDefault="00780BBB" w14:paraId="0C277882" w14:textId="77777777">
            <w:pPr>
              <w:rPr>
                <w:sz w:val="16"/>
                <w:szCs w:val="16"/>
              </w:rPr>
            </w:pPr>
            <w:r w:rsidRPr="0001224B">
              <w:rPr>
                <w:sz w:val="16"/>
                <w:szCs w:val="16"/>
              </w:rPr>
              <w:t xml:space="preserve">Herziening Verordening indeling, etikettering en verpakking van stoffen en mengsels (CLP) </w:t>
            </w:r>
          </w:p>
        </w:tc>
        <w:tc>
          <w:tcPr>
            <w:tcW w:w="1475" w:type="dxa"/>
          </w:tcPr>
          <w:p w:rsidRPr="0001224B" w:rsidR="00780BBB" w:rsidP="00E228E1" w:rsidRDefault="00780BBB" w14:paraId="6146C61A" w14:textId="77777777">
            <w:pPr>
              <w:rPr>
                <w:sz w:val="16"/>
                <w:szCs w:val="16"/>
              </w:rPr>
            </w:pPr>
            <w:r w:rsidRPr="0001224B">
              <w:rPr>
                <w:sz w:val="16"/>
                <w:szCs w:val="16"/>
              </w:rPr>
              <w:t>COM 2022/748</w:t>
            </w:r>
          </w:p>
        </w:tc>
        <w:tc>
          <w:tcPr>
            <w:tcW w:w="2625" w:type="dxa"/>
          </w:tcPr>
          <w:p w:rsidRPr="0001224B" w:rsidR="00780BBB" w:rsidP="00E228E1" w:rsidRDefault="00780BBB" w14:paraId="732ABA18" w14:textId="77777777">
            <w:pPr>
              <w:rPr>
                <w:sz w:val="16"/>
                <w:szCs w:val="16"/>
              </w:rPr>
            </w:pPr>
            <w:r w:rsidRPr="0001224B">
              <w:rPr>
                <w:sz w:val="16"/>
                <w:szCs w:val="16"/>
              </w:rPr>
              <w:t xml:space="preserve">De wijzigingen zien op verschillende onderdelen van CLP: verbetering classificatieproces, etiketteringseisen, mogelijkheid digitale etikettering, onlineverkoop, reclamevereisten en het classificeren van stoffen met meerdere bestanddelen. </w:t>
            </w:r>
          </w:p>
        </w:tc>
        <w:tc>
          <w:tcPr>
            <w:tcW w:w="2628" w:type="dxa"/>
          </w:tcPr>
          <w:p w:rsidRPr="0001224B" w:rsidR="00780BBB" w:rsidP="00E228E1" w:rsidRDefault="00780BBB" w14:paraId="49322514" w14:textId="77777777">
            <w:pPr>
              <w:rPr>
                <w:sz w:val="16"/>
                <w:szCs w:val="16"/>
              </w:rPr>
            </w:pPr>
            <w:r w:rsidRPr="0001224B">
              <w:rPr>
                <w:sz w:val="16"/>
                <w:szCs w:val="16"/>
              </w:rPr>
              <w:t xml:space="preserve">In december 2023 is in de </w:t>
            </w:r>
            <w:proofErr w:type="spellStart"/>
            <w:r w:rsidRPr="0001224B">
              <w:rPr>
                <w:sz w:val="16"/>
                <w:szCs w:val="16"/>
              </w:rPr>
              <w:t>triloog</w:t>
            </w:r>
            <w:proofErr w:type="spellEnd"/>
            <w:r w:rsidRPr="0001224B">
              <w:rPr>
                <w:sz w:val="16"/>
                <w:szCs w:val="16"/>
              </w:rPr>
              <w:t xml:space="preserve"> en de Raad een akkoord bereikt op dit voorstel. De Raad heeft vervolgens op 14 oktober jl. de tekst goedgekeurd en daarbij de herziene verordening formeel aangenomen.  Op 20 november jl. is de herziening gepubliceerd en op 10 december jl. is de herziening in werking getreden.</w:t>
            </w:r>
          </w:p>
        </w:tc>
      </w:tr>
      <w:tr w:rsidRPr="0001224B" w:rsidR="00CE17EE" w:rsidTr="007D493B" w14:paraId="45BEDED4" w14:textId="77777777">
        <w:tc>
          <w:tcPr>
            <w:tcW w:w="2344" w:type="dxa"/>
          </w:tcPr>
          <w:p w:rsidRPr="0001224B" w:rsidR="00CE17EE" w:rsidP="00E228E1" w:rsidRDefault="00CE17EE" w14:paraId="58764A5A" w14:textId="77777777">
            <w:pPr>
              <w:rPr>
                <w:sz w:val="16"/>
                <w:szCs w:val="16"/>
              </w:rPr>
            </w:pPr>
            <w:r w:rsidRPr="0001224B">
              <w:rPr>
                <w:sz w:val="16"/>
                <w:szCs w:val="16"/>
              </w:rPr>
              <w:t>Herziening EU geneesmiddelenwetgeving</w:t>
            </w:r>
          </w:p>
        </w:tc>
        <w:tc>
          <w:tcPr>
            <w:tcW w:w="1475" w:type="dxa"/>
          </w:tcPr>
          <w:p w:rsidRPr="0001224B" w:rsidR="00CE17EE" w:rsidP="00E228E1" w:rsidRDefault="00CE17EE" w14:paraId="4D0F3B3B" w14:textId="77777777">
            <w:pPr>
              <w:rPr>
                <w:sz w:val="16"/>
                <w:szCs w:val="16"/>
              </w:rPr>
            </w:pPr>
            <w:r w:rsidRPr="0001224B">
              <w:rPr>
                <w:sz w:val="16"/>
                <w:szCs w:val="16"/>
              </w:rPr>
              <w:t>COM 2023/192 COM 2023/193</w:t>
            </w:r>
          </w:p>
        </w:tc>
        <w:tc>
          <w:tcPr>
            <w:tcW w:w="2625" w:type="dxa"/>
          </w:tcPr>
          <w:p w:rsidRPr="0001224B" w:rsidR="00CE17EE" w:rsidP="00E228E1" w:rsidRDefault="00CE17EE" w14:paraId="5C602CC9" w14:textId="77777777">
            <w:pPr>
              <w:rPr>
                <w:sz w:val="16"/>
                <w:szCs w:val="16"/>
              </w:rPr>
            </w:pPr>
            <w:r w:rsidRPr="0001224B">
              <w:rPr>
                <w:sz w:val="16"/>
                <w:szCs w:val="16"/>
              </w:rPr>
              <w:t xml:space="preserve">Met deze herziening worden vier individuele stukken wetgeving samengevoegd tot één richtlijn en één verordening die gezamenlijk de regels en procedures bepalen voor het verkrijgen van een handelsvergunning voor het op de Europese markt brengen van geneesmiddelen voor menselijk gebruik, inclusief voor kinderen en zeldzame </w:t>
            </w:r>
            <w:r w:rsidRPr="0001224B">
              <w:rPr>
                <w:sz w:val="16"/>
                <w:szCs w:val="16"/>
              </w:rPr>
              <w:lastRenderedPageBreak/>
              <w:t>aandoeningen. Met de herziening stelt de EC voor om structurele problemen met de bestaande stukken wetgeving op te lossen.</w:t>
            </w:r>
          </w:p>
        </w:tc>
        <w:tc>
          <w:tcPr>
            <w:tcW w:w="2628" w:type="dxa"/>
          </w:tcPr>
          <w:p w:rsidRPr="0001224B" w:rsidR="00CE17EE" w:rsidP="00E228E1" w:rsidRDefault="00CE17EE" w14:paraId="70A2F980" w14:textId="474B04A4">
            <w:pPr>
              <w:rPr>
                <w:rStyle w:val="cf01"/>
                <w:rFonts w:ascii="Verdana" w:hAnsi="Verdana"/>
                <w:sz w:val="16"/>
                <w:szCs w:val="16"/>
              </w:rPr>
            </w:pPr>
            <w:r w:rsidRPr="0001224B">
              <w:rPr>
                <w:sz w:val="16"/>
                <w:szCs w:val="16"/>
              </w:rPr>
              <w:lastRenderedPageBreak/>
              <w:t>Uw Kamer heeft hierover op 26 mei 2023 een BNC-fiche ontvangen</w:t>
            </w:r>
            <w:r w:rsidRPr="0001224B">
              <w:rPr>
                <w:rStyle w:val="Voetnootmarkering"/>
                <w:sz w:val="16"/>
                <w:szCs w:val="16"/>
              </w:rPr>
              <w:footnoteReference w:id="1"/>
            </w:r>
            <w:r w:rsidRPr="0001224B">
              <w:rPr>
                <w:sz w:val="16"/>
                <w:szCs w:val="16"/>
              </w:rPr>
              <w:t xml:space="preserve">. De </w:t>
            </w:r>
            <w:r w:rsidRPr="0001224B">
              <w:rPr>
                <w:rStyle w:val="cf01"/>
                <w:rFonts w:ascii="Verdana" w:hAnsi="Verdana"/>
                <w:sz w:val="16"/>
                <w:szCs w:val="16"/>
              </w:rPr>
              <w:t>inhoudelijke behandeling van de voorstellen heeft  in 2024 en 2025 onder Belgisch, Hongaars en Pools voorzitterschap plaatsgevonden in de Raad. Op 19 mei 2025 is uw Kamer vertrouwelijk geïnformeerd over de laatste stand van</w:t>
            </w:r>
            <w:r w:rsidR="007D493B">
              <w:rPr>
                <w:rStyle w:val="cf01"/>
                <w:rFonts w:ascii="Verdana" w:hAnsi="Verdana"/>
                <w:sz w:val="16"/>
                <w:szCs w:val="16"/>
              </w:rPr>
              <w:t xml:space="preserve"> </w:t>
            </w:r>
            <w:r w:rsidRPr="0001224B">
              <w:rPr>
                <w:rStyle w:val="cf01"/>
                <w:rFonts w:ascii="Verdana" w:hAnsi="Verdana"/>
                <w:sz w:val="16"/>
                <w:szCs w:val="16"/>
              </w:rPr>
              <w:lastRenderedPageBreak/>
              <w:t>zaken</w:t>
            </w:r>
            <w:r w:rsidRPr="0001224B">
              <w:rPr>
                <w:rStyle w:val="Voetnootmarkering"/>
                <w:rFonts w:cs="Segoe UI"/>
                <w:sz w:val="16"/>
                <w:szCs w:val="16"/>
              </w:rPr>
              <w:footnoteReference w:id="2"/>
            </w:r>
            <w:r w:rsidRPr="0001224B">
              <w:rPr>
                <w:rStyle w:val="cf01"/>
                <w:rFonts w:ascii="Verdana" w:hAnsi="Verdana"/>
                <w:sz w:val="16"/>
                <w:szCs w:val="16"/>
              </w:rPr>
              <w:t xml:space="preserve">. </w:t>
            </w:r>
          </w:p>
          <w:p w:rsidRPr="0001224B" w:rsidR="00CE17EE" w:rsidP="00E228E1" w:rsidRDefault="00CE17EE" w14:paraId="374AA594" w14:textId="77777777">
            <w:pPr>
              <w:rPr>
                <w:sz w:val="16"/>
                <w:szCs w:val="16"/>
              </w:rPr>
            </w:pPr>
          </w:p>
        </w:tc>
      </w:tr>
      <w:tr w:rsidRPr="0001224B" w:rsidR="00780BBB" w:rsidTr="007D493B" w14:paraId="58419392" w14:textId="77777777">
        <w:tc>
          <w:tcPr>
            <w:tcW w:w="2344" w:type="dxa"/>
          </w:tcPr>
          <w:p w:rsidRPr="0001224B" w:rsidR="00780BBB" w:rsidP="00E228E1" w:rsidRDefault="00780BBB" w14:paraId="3CD36AC8" w14:textId="77777777">
            <w:pPr>
              <w:rPr>
                <w:sz w:val="16"/>
                <w:szCs w:val="16"/>
              </w:rPr>
            </w:pPr>
            <w:r w:rsidRPr="0001224B">
              <w:rPr>
                <w:sz w:val="16"/>
                <w:szCs w:val="16"/>
              </w:rPr>
              <w:lastRenderedPageBreak/>
              <w:t xml:space="preserve">Speelgoedverordening </w:t>
            </w:r>
          </w:p>
        </w:tc>
        <w:tc>
          <w:tcPr>
            <w:tcW w:w="1475" w:type="dxa"/>
          </w:tcPr>
          <w:p w:rsidRPr="0001224B" w:rsidR="00780BBB" w:rsidP="00E228E1" w:rsidRDefault="00780BBB" w14:paraId="15B44823" w14:textId="77777777">
            <w:pPr>
              <w:rPr>
                <w:sz w:val="16"/>
                <w:szCs w:val="16"/>
              </w:rPr>
            </w:pPr>
            <w:r w:rsidRPr="0001224B">
              <w:rPr>
                <w:sz w:val="16"/>
                <w:szCs w:val="16"/>
              </w:rPr>
              <w:t>COM 2023/462</w:t>
            </w:r>
          </w:p>
        </w:tc>
        <w:tc>
          <w:tcPr>
            <w:tcW w:w="2625" w:type="dxa"/>
          </w:tcPr>
          <w:p w:rsidRPr="0001224B" w:rsidR="00780BBB" w:rsidP="00E228E1" w:rsidRDefault="00780BBB" w14:paraId="40401326" w14:textId="77777777">
            <w:pPr>
              <w:rPr>
                <w:sz w:val="16"/>
                <w:szCs w:val="16"/>
              </w:rPr>
            </w:pPr>
            <w:r w:rsidRPr="0001224B">
              <w:rPr>
                <w:sz w:val="16"/>
                <w:szCs w:val="16"/>
              </w:rPr>
              <w:t>De EC heeft op 28 juli 2023 een voorstel voor een Speelgoed-verordening gepresenteerd waarin wordt voorgesteld de huidige Speelgoedrichtlijn in te trekken en te vervangen met de Verordening. Het doel van het voorstel is de gezondheids- en veiligheidseisen voor speelgoed in alle lidstaten te harmoniseren ter waarborging van een hoog niveau van bescherming van kinderen tegen mogelijke risico’s van speelgoed en om ervoor te zorgen dat er geen belemmeringen zijn voor het vrije verkeer van speelgoed tussen de lidstaten.</w:t>
            </w:r>
          </w:p>
        </w:tc>
        <w:tc>
          <w:tcPr>
            <w:tcW w:w="2628" w:type="dxa"/>
          </w:tcPr>
          <w:p w:rsidRPr="0001224B" w:rsidR="00780BBB" w:rsidP="00E228E1" w:rsidRDefault="00780BBB" w14:paraId="752B67A0" w14:textId="77777777">
            <w:pPr>
              <w:rPr>
                <w:sz w:val="16"/>
                <w:szCs w:val="16"/>
              </w:rPr>
            </w:pPr>
            <w:r w:rsidRPr="0001224B">
              <w:rPr>
                <w:sz w:val="16"/>
                <w:szCs w:val="16"/>
              </w:rPr>
              <w:t>Uw Kamer heeft hierover op 6 oktober 2023 een BNC-fiche ontvangen.</w:t>
            </w:r>
          </w:p>
          <w:p w:rsidRPr="0001224B" w:rsidR="00780BBB" w:rsidP="00E228E1" w:rsidRDefault="00780BBB" w14:paraId="1D3368A0" w14:textId="73C27075">
            <w:pPr>
              <w:rPr>
                <w:sz w:val="16"/>
                <w:szCs w:val="16"/>
              </w:rPr>
            </w:pPr>
            <w:r w:rsidRPr="0001224B">
              <w:rPr>
                <w:sz w:val="16"/>
                <w:szCs w:val="16"/>
              </w:rPr>
              <w:t>Het voorstel is vervolgens in Raadswerkgroepen besproken waarna medio 2024 een akkoord is bereikt tussen de lidstaten</w:t>
            </w:r>
            <w:r w:rsidRPr="0001224B">
              <w:rPr>
                <w:sz w:val="16"/>
                <w:szCs w:val="16"/>
                <w:vertAlign w:val="superscript"/>
              </w:rPr>
              <w:footnoteReference w:id="3"/>
            </w:r>
            <w:r w:rsidRPr="0001224B">
              <w:rPr>
                <w:sz w:val="16"/>
                <w:szCs w:val="16"/>
              </w:rPr>
              <w:t>. Vervolgens zijn in september 2024 de trilogen tussen het Voorzitterschap, de EC en het EP van start gegaan.</w:t>
            </w:r>
            <w:r w:rsidRPr="0001224B" w:rsidR="0001224B">
              <w:rPr>
                <w:sz w:val="16"/>
                <w:szCs w:val="16"/>
              </w:rPr>
              <w:t xml:space="preserve"> Deze zijn in een vergevorderd stadium maar nog niet afgerond.</w:t>
            </w:r>
          </w:p>
        </w:tc>
      </w:tr>
      <w:tr w:rsidR="00CE17EE" w:rsidTr="007D493B" w14:paraId="4EA01E74" w14:textId="77777777">
        <w:tc>
          <w:tcPr>
            <w:tcW w:w="2344" w:type="dxa"/>
          </w:tcPr>
          <w:p w:rsidRPr="0001224B" w:rsidR="00CE17EE" w:rsidP="00E228E1" w:rsidRDefault="00CE17EE" w14:paraId="09B92E97" w14:textId="77777777">
            <w:pPr>
              <w:rPr>
                <w:sz w:val="16"/>
                <w:szCs w:val="16"/>
              </w:rPr>
            </w:pPr>
            <w:r w:rsidRPr="0001224B">
              <w:rPr>
                <w:sz w:val="16"/>
                <w:szCs w:val="16"/>
              </w:rPr>
              <w:t xml:space="preserve">Critical </w:t>
            </w:r>
            <w:proofErr w:type="spellStart"/>
            <w:r w:rsidRPr="0001224B">
              <w:rPr>
                <w:sz w:val="16"/>
                <w:szCs w:val="16"/>
              </w:rPr>
              <w:t>Medicines</w:t>
            </w:r>
            <w:proofErr w:type="spellEnd"/>
            <w:r w:rsidRPr="0001224B">
              <w:rPr>
                <w:sz w:val="16"/>
                <w:szCs w:val="16"/>
              </w:rPr>
              <w:t xml:space="preserve"> Act</w:t>
            </w:r>
          </w:p>
        </w:tc>
        <w:tc>
          <w:tcPr>
            <w:tcW w:w="1475" w:type="dxa"/>
          </w:tcPr>
          <w:p w:rsidRPr="0001224B" w:rsidR="00CE17EE" w:rsidP="00E228E1" w:rsidRDefault="00CE17EE" w14:paraId="203D16FF" w14:textId="77777777">
            <w:pPr>
              <w:rPr>
                <w:sz w:val="16"/>
                <w:szCs w:val="16"/>
              </w:rPr>
            </w:pPr>
            <w:r w:rsidRPr="0001224B">
              <w:rPr>
                <w:sz w:val="16"/>
                <w:szCs w:val="16"/>
              </w:rPr>
              <w:t>COM 2025 102</w:t>
            </w:r>
          </w:p>
          <w:p w:rsidRPr="0001224B" w:rsidR="00CE17EE" w:rsidP="00E228E1" w:rsidRDefault="00CE17EE" w14:paraId="62A7FAB1" w14:textId="77777777">
            <w:pPr>
              <w:rPr>
                <w:sz w:val="16"/>
                <w:szCs w:val="16"/>
              </w:rPr>
            </w:pPr>
            <w:r w:rsidRPr="0001224B">
              <w:rPr>
                <w:sz w:val="16"/>
                <w:szCs w:val="16"/>
              </w:rPr>
              <w:t>2025/102 (COD)</w:t>
            </w:r>
          </w:p>
        </w:tc>
        <w:tc>
          <w:tcPr>
            <w:tcW w:w="2625" w:type="dxa"/>
          </w:tcPr>
          <w:p w:rsidRPr="0001224B" w:rsidR="00CE17EE" w:rsidP="00E228E1" w:rsidRDefault="00CE17EE" w14:paraId="61495222" w14:textId="77777777">
            <w:pPr>
              <w:rPr>
                <w:sz w:val="16"/>
                <w:szCs w:val="16"/>
              </w:rPr>
            </w:pPr>
            <w:r w:rsidRPr="0001224B">
              <w:rPr>
                <w:sz w:val="16"/>
                <w:szCs w:val="16"/>
              </w:rPr>
              <w:t>De EC heeft op 11 maart 2025 een voorstel gepubliceerd om de toenemende problematiek rondom geneesmiddelentekorten in Europa aan te pakken. Deze verordening heeft twee doelstellingen, namelijk: 1) het versterken van de leveringszekerheid en beschikbaarheid van kritieke geneesmiddelen en 2) het verbeteren van de beschikbaarheid en toegankelijkheid van andere geneesmiddelen van een zogenoemd gemeenschappelijk belang. Het is een aanvulling op de lopende herziening van de Europese geneesmiddelenwetgeving.</w:t>
            </w:r>
          </w:p>
        </w:tc>
        <w:tc>
          <w:tcPr>
            <w:tcW w:w="2628" w:type="dxa"/>
          </w:tcPr>
          <w:p w:rsidR="00CE17EE" w:rsidP="00E228E1" w:rsidRDefault="00CE17EE" w14:paraId="54E0C987" w14:textId="5D8EEC72">
            <w:pPr>
              <w:rPr>
                <w:sz w:val="16"/>
                <w:szCs w:val="16"/>
              </w:rPr>
            </w:pPr>
            <w:r w:rsidRPr="0001224B">
              <w:rPr>
                <w:sz w:val="16"/>
                <w:szCs w:val="16"/>
              </w:rPr>
              <w:t>11 maart is het voorstel gepubliceerd. Het BNC</w:t>
            </w:r>
            <w:r w:rsidR="00D94E84">
              <w:rPr>
                <w:sz w:val="16"/>
                <w:szCs w:val="16"/>
              </w:rPr>
              <w:t>-fiche</w:t>
            </w:r>
            <w:r w:rsidRPr="0001224B">
              <w:rPr>
                <w:sz w:val="16"/>
                <w:szCs w:val="16"/>
              </w:rPr>
              <w:t xml:space="preserve"> </w:t>
            </w:r>
            <w:r w:rsidR="00D94E84">
              <w:rPr>
                <w:sz w:val="16"/>
                <w:szCs w:val="16"/>
              </w:rPr>
              <w:t xml:space="preserve">is </w:t>
            </w:r>
            <w:r w:rsidR="00E72839">
              <w:rPr>
                <w:sz w:val="16"/>
                <w:szCs w:val="16"/>
              </w:rPr>
              <w:t>6 juni 2025</w:t>
            </w:r>
            <w:r w:rsidR="00D94E84">
              <w:rPr>
                <w:sz w:val="16"/>
                <w:szCs w:val="16"/>
              </w:rPr>
              <w:t xml:space="preserve"> met de Kamer gedeeld. </w:t>
            </w:r>
            <w:r w:rsidRPr="0001224B">
              <w:rPr>
                <w:sz w:val="16"/>
                <w:szCs w:val="16"/>
              </w:rPr>
              <w:t xml:space="preserve">De Kamer heeft </w:t>
            </w:r>
            <w:r w:rsidR="0038363E">
              <w:rPr>
                <w:sz w:val="16"/>
                <w:szCs w:val="16"/>
              </w:rPr>
              <w:t>een</w:t>
            </w:r>
            <w:r w:rsidRPr="0001224B">
              <w:rPr>
                <w:sz w:val="16"/>
                <w:szCs w:val="16"/>
              </w:rPr>
              <w:t xml:space="preserve"> behandelvoorbehoud </w:t>
            </w:r>
            <w:r w:rsidR="0038363E">
              <w:rPr>
                <w:sz w:val="16"/>
                <w:szCs w:val="16"/>
              </w:rPr>
              <w:t>ingesteld</w:t>
            </w:r>
            <w:r w:rsidRPr="0001224B">
              <w:rPr>
                <w:sz w:val="16"/>
                <w:szCs w:val="16"/>
              </w:rPr>
              <w:t>.</w:t>
            </w:r>
            <w:r>
              <w:rPr>
                <w:sz w:val="16"/>
                <w:szCs w:val="16"/>
              </w:rPr>
              <w:t xml:space="preserve">  </w:t>
            </w:r>
          </w:p>
        </w:tc>
      </w:tr>
    </w:tbl>
    <w:p w:rsidR="00D3065A" w:rsidRDefault="00D3065A" w14:paraId="2E3AB614" w14:textId="77777777"/>
    <w:sectPr w:rsidR="00D3065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396A" w14:textId="77777777" w:rsidR="00D0352D" w:rsidRDefault="00D0352D" w:rsidP="00D4578E">
      <w:pPr>
        <w:spacing w:line="240" w:lineRule="auto"/>
      </w:pPr>
      <w:r>
        <w:separator/>
      </w:r>
    </w:p>
  </w:endnote>
  <w:endnote w:type="continuationSeparator" w:id="0">
    <w:p w14:paraId="20BCD7B9" w14:textId="77777777" w:rsidR="00D0352D" w:rsidRDefault="00D0352D" w:rsidP="00D45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E408" w14:textId="77777777" w:rsidR="00D0352D" w:rsidRDefault="00D0352D" w:rsidP="00D4578E">
      <w:pPr>
        <w:spacing w:line="240" w:lineRule="auto"/>
      </w:pPr>
      <w:r>
        <w:separator/>
      </w:r>
    </w:p>
  </w:footnote>
  <w:footnote w:type="continuationSeparator" w:id="0">
    <w:p w14:paraId="2B08D11E" w14:textId="77777777" w:rsidR="00D0352D" w:rsidRDefault="00D0352D" w:rsidP="00D4578E">
      <w:pPr>
        <w:spacing w:line="240" w:lineRule="auto"/>
      </w:pPr>
      <w:r>
        <w:continuationSeparator/>
      </w:r>
    </w:p>
  </w:footnote>
  <w:footnote w:id="1">
    <w:p w14:paraId="46775078" w14:textId="77777777" w:rsidR="00CE17EE" w:rsidRPr="00C1198C" w:rsidRDefault="00CE17EE" w:rsidP="00CE17EE">
      <w:pPr>
        <w:pStyle w:val="Voetnoottekst"/>
        <w:rPr>
          <w:sz w:val="16"/>
          <w:szCs w:val="16"/>
        </w:rPr>
      </w:pPr>
      <w:r w:rsidRPr="00C1198C">
        <w:rPr>
          <w:rStyle w:val="Voetnootmarkering"/>
          <w:sz w:val="16"/>
          <w:szCs w:val="16"/>
        </w:rPr>
        <w:footnoteRef/>
      </w:r>
      <w:r w:rsidRPr="00C1198C">
        <w:rPr>
          <w:sz w:val="16"/>
          <w:szCs w:val="16"/>
        </w:rPr>
        <w:t xml:space="preserve"> Kamerstuk 36365, nr. 2.</w:t>
      </w:r>
    </w:p>
  </w:footnote>
  <w:footnote w:id="2">
    <w:p w14:paraId="6A56E32F" w14:textId="77777777" w:rsidR="00CE17EE" w:rsidRPr="00C1198C" w:rsidRDefault="00CE17EE" w:rsidP="00CE17EE">
      <w:pPr>
        <w:pStyle w:val="Voetnoottekst"/>
        <w:rPr>
          <w:i/>
          <w:iCs/>
        </w:rPr>
      </w:pPr>
      <w:r w:rsidRPr="00C1198C">
        <w:rPr>
          <w:rStyle w:val="Voetnootmarkering"/>
          <w:sz w:val="16"/>
          <w:szCs w:val="16"/>
        </w:rPr>
        <w:footnoteRef/>
      </w:r>
      <w:r w:rsidRPr="00C1198C">
        <w:rPr>
          <w:i/>
          <w:iCs/>
          <w:sz w:val="16"/>
          <w:szCs w:val="16"/>
        </w:rPr>
        <w:t xml:space="preserve"> </w:t>
      </w:r>
      <w:r w:rsidRPr="00C1198C">
        <w:rPr>
          <w:sz w:val="16"/>
          <w:szCs w:val="16"/>
        </w:rPr>
        <w:t>Kamerstukken II, Vergaderjaar 2024-2025, 22 112, Nr. 4060</w:t>
      </w:r>
    </w:p>
  </w:footnote>
  <w:footnote w:id="3">
    <w:p w14:paraId="66C732E2" w14:textId="77777777" w:rsidR="00780BBB" w:rsidRPr="002D1C42" w:rsidRDefault="00780BBB" w:rsidP="00780BBB">
      <w:pPr>
        <w:pStyle w:val="Voetnoottekst"/>
        <w:rPr>
          <w:sz w:val="16"/>
          <w:szCs w:val="16"/>
        </w:rPr>
      </w:pPr>
      <w:r w:rsidRPr="00B441F4">
        <w:rPr>
          <w:rStyle w:val="Voetnootmarkering"/>
          <w:sz w:val="16"/>
          <w:szCs w:val="16"/>
        </w:rPr>
        <w:footnoteRef/>
      </w:r>
      <w:r w:rsidRPr="00B441F4">
        <w:rPr>
          <w:sz w:val="16"/>
          <w:szCs w:val="16"/>
        </w:rPr>
        <w:t xml:space="preserve"> Kamerstuk 22112-3795.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8E"/>
    <w:rsid w:val="0001224B"/>
    <w:rsid w:val="000E0612"/>
    <w:rsid w:val="00200F04"/>
    <w:rsid w:val="00253963"/>
    <w:rsid w:val="00373617"/>
    <w:rsid w:val="0038363E"/>
    <w:rsid w:val="00383AD7"/>
    <w:rsid w:val="003D3BA3"/>
    <w:rsid w:val="00400665"/>
    <w:rsid w:val="00780BBB"/>
    <w:rsid w:val="0079594B"/>
    <w:rsid w:val="007D493B"/>
    <w:rsid w:val="007E3ACB"/>
    <w:rsid w:val="00870F93"/>
    <w:rsid w:val="008F5E02"/>
    <w:rsid w:val="00932723"/>
    <w:rsid w:val="00974D7C"/>
    <w:rsid w:val="00A2351E"/>
    <w:rsid w:val="00A40F0F"/>
    <w:rsid w:val="00B74B1D"/>
    <w:rsid w:val="00B768DE"/>
    <w:rsid w:val="00BA4CEF"/>
    <w:rsid w:val="00C34399"/>
    <w:rsid w:val="00C66A7B"/>
    <w:rsid w:val="00CE17EE"/>
    <w:rsid w:val="00D0352D"/>
    <w:rsid w:val="00D3065A"/>
    <w:rsid w:val="00D4578E"/>
    <w:rsid w:val="00D94E84"/>
    <w:rsid w:val="00E214D0"/>
    <w:rsid w:val="00E336F0"/>
    <w:rsid w:val="00E72839"/>
    <w:rsid w:val="00F330E7"/>
    <w:rsid w:val="00F5287F"/>
    <w:rsid w:val="00FB3D51"/>
    <w:rsid w:val="00FD3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09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78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4578E"/>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D4578E"/>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D4578E"/>
    <w:rPr>
      <w:rFonts w:ascii="Verdana" w:eastAsia="DejaVu Sans" w:hAnsi="Verdana" w:cs="Mangal"/>
      <w:kern w:val="3"/>
      <w:sz w:val="20"/>
      <w:szCs w:val="18"/>
      <w:lang w:eastAsia="zh-CN" w:bidi="hi-IN"/>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D4578E"/>
    <w:rPr>
      <w:vertAlign w:val="superscript"/>
    </w:rPr>
  </w:style>
  <w:style w:type="character" w:customStyle="1" w:styleId="cf01">
    <w:name w:val="cf01"/>
    <w:basedOn w:val="Standaardalinea-lettertype"/>
    <w:rsid w:val="00D4578E"/>
    <w:rPr>
      <w:rFonts w:ascii="Segoe UI" w:hAnsi="Segoe UI" w:cs="Segoe UI" w:hint="default"/>
      <w:sz w:val="18"/>
      <w:szCs w:val="18"/>
    </w:rPr>
  </w:style>
  <w:style w:type="paragraph" w:styleId="Revisie">
    <w:name w:val="Revision"/>
    <w:hidden/>
    <w:uiPriority w:val="99"/>
    <w:semiHidden/>
    <w:rsid w:val="00B768DE"/>
    <w:pPr>
      <w:spacing w:after="0" w:line="240" w:lineRule="auto"/>
    </w:pPr>
    <w:rPr>
      <w:rFonts w:ascii="Verdana" w:eastAsia="DejaVu Sans" w:hAnsi="Verdana" w:cs="Mangal"/>
      <w:kern w:val="3"/>
      <w:sz w:val="18"/>
      <w:szCs w:val="24"/>
      <w:lang w:eastAsia="zh-CN" w:bidi="hi-IN"/>
    </w:rPr>
  </w:style>
  <w:style w:type="character" w:styleId="Verwijzingopmerking">
    <w:name w:val="annotation reference"/>
    <w:basedOn w:val="Standaardalinea-lettertype"/>
    <w:uiPriority w:val="99"/>
    <w:semiHidden/>
    <w:unhideWhenUsed/>
    <w:rsid w:val="00383AD7"/>
    <w:rPr>
      <w:sz w:val="16"/>
      <w:szCs w:val="16"/>
    </w:rPr>
  </w:style>
  <w:style w:type="paragraph" w:styleId="Tekstopmerking">
    <w:name w:val="annotation text"/>
    <w:basedOn w:val="Standaard"/>
    <w:link w:val="TekstopmerkingChar"/>
    <w:uiPriority w:val="99"/>
    <w:unhideWhenUsed/>
    <w:rsid w:val="00383AD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383AD7"/>
    <w:rPr>
      <w:rFonts w:ascii="Verdana" w:eastAsia="DejaVu Sans" w:hAnsi="Verdana" w:cs="Mangal"/>
      <w:kern w:val="3"/>
      <w:sz w:val="20"/>
      <w:szCs w:val="18"/>
      <w:lang w:eastAsia="zh-CN" w:bidi="hi-IN"/>
    </w:rPr>
  </w:style>
  <w:style w:type="paragraph" w:styleId="Onderwerpvanopmerking">
    <w:name w:val="annotation subject"/>
    <w:basedOn w:val="Tekstopmerking"/>
    <w:next w:val="Tekstopmerking"/>
    <w:link w:val="OnderwerpvanopmerkingChar"/>
    <w:uiPriority w:val="99"/>
    <w:semiHidden/>
    <w:unhideWhenUsed/>
    <w:rsid w:val="00383AD7"/>
    <w:rPr>
      <w:b/>
      <w:bCs/>
    </w:rPr>
  </w:style>
  <w:style w:type="character" w:customStyle="1" w:styleId="OnderwerpvanopmerkingChar">
    <w:name w:val="Onderwerp van opmerking Char"/>
    <w:basedOn w:val="TekstopmerkingChar"/>
    <w:link w:val="Onderwerpvanopmerking"/>
    <w:uiPriority w:val="99"/>
    <w:semiHidden/>
    <w:rsid w:val="00383AD7"/>
    <w:rPr>
      <w:rFonts w:ascii="Verdana" w:eastAsia="DejaVu Sans" w:hAnsi="Verdana"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4156">
      <w:bodyDiv w:val="1"/>
      <w:marLeft w:val="0"/>
      <w:marRight w:val="0"/>
      <w:marTop w:val="0"/>
      <w:marBottom w:val="0"/>
      <w:divBdr>
        <w:top w:val="none" w:sz="0" w:space="0" w:color="auto"/>
        <w:left w:val="none" w:sz="0" w:space="0" w:color="auto"/>
        <w:bottom w:val="none" w:sz="0" w:space="0" w:color="auto"/>
        <w:right w:val="none" w:sz="0" w:space="0" w:color="auto"/>
      </w:divBdr>
    </w:div>
    <w:div w:id="17073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643</ap:Words>
  <ap:Characters>3542</ap:Characters>
  <ap:DocSecurity>0</ap:DocSecurity>
  <ap:Lines>29</ap:Lines>
  <ap:Paragraphs>8</ap:Paragraphs>
  <ap:ScaleCrop>false</ap:ScaleCrop>
  <ap:LinksUpToDate>false</ap:LinksUpToDate>
  <ap:CharactersWithSpaces>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2025-06-06T13:11:00.0000000Z</dcterms:created>
  <dcterms:modified xsi:type="dcterms:W3CDTF">2025-06-06T13:11:00.0000000Z</dcterms:modified>
  <version/>
  <category/>
</coreProperties>
</file>