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04D8" w:rsidP="002604D8" w:rsidRDefault="002604D8" w14:paraId="0D64D938" w14:textId="222569CF">
      <w:r>
        <w:t>AH 2282</w:t>
      </w:r>
    </w:p>
    <w:p w:rsidR="002604D8" w:rsidP="002604D8" w:rsidRDefault="002604D8" w14:paraId="3C3D0785" w14:textId="0E9B0A94">
      <w:r>
        <w:t>2025Z07636</w:t>
      </w:r>
    </w:p>
    <w:p w:rsidRPr="002604D8" w:rsidR="002604D8" w:rsidP="002604D8" w:rsidRDefault="002604D8" w14:paraId="0678C7E4" w14:textId="45420FD6">
      <w:pPr>
        <w:rPr>
          <w:rFonts w:ascii="Times New Roman" w:hAnsi="Times New Roman"/>
          <w:sz w:val="24"/>
          <w:szCs w:val="24"/>
        </w:rPr>
      </w:pPr>
      <w:r w:rsidRPr="00A71055">
        <w:rPr>
          <w:rFonts w:ascii="Times New Roman" w:hAnsi="Times New Roman"/>
          <w:bCs/>
          <w:sz w:val="24"/>
          <w:szCs w:val="24"/>
        </w:rPr>
        <w:t>Antwoord van staatssecretaris Szabó (Binnenlandse Zaken en Koninkrijksrelaties)</w:t>
      </w:r>
      <w:r>
        <w:rPr>
          <w:rFonts w:ascii="Times New Roman" w:hAnsi="Times New Roman"/>
          <w:bCs/>
          <w:sz w:val="24"/>
          <w:szCs w:val="24"/>
        </w:rPr>
        <w:t xml:space="preserve">, mede namens de </w:t>
      </w:r>
      <w:r w:rsidRPr="00D80872">
        <w:rPr>
          <w:rFonts w:ascii="Times New Roman" w:hAnsi="Times New Roman"/>
          <w:sz w:val="24"/>
          <w:szCs w:val="24"/>
        </w:rPr>
        <w:t>minister van Buitenlandse Zaken</w:t>
      </w:r>
      <w:r w:rsidRPr="00A71055">
        <w:rPr>
          <w:rFonts w:ascii="Times New Roman" w:hAnsi="Times New Roman"/>
          <w:bCs/>
          <w:sz w:val="24"/>
          <w:szCs w:val="24"/>
        </w:rPr>
        <w:t xml:space="preserve"> (ontvangen</w:t>
      </w:r>
      <w:r>
        <w:rPr>
          <w:rFonts w:ascii="Times New Roman" w:hAnsi="Times New Roman"/>
          <w:bCs/>
          <w:sz w:val="24"/>
          <w:szCs w:val="24"/>
        </w:rPr>
        <w:t xml:space="preserve"> 23 mei 2025)</w:t>
      </w:r>
    </w:p>
    <w:p w:rsidRPr="002604D8" w:rsidR="002604D8" w:rsidP="002604D8" w:rsidRDefault="002604D8" w14:paraId="08808C08" w14:textId="77777777">
      <w:pPr>
        <w:rPr>
          <w:rFonts w:ascii="Times New Roman" w:hAnsi="Times New Roman"/>
          <w:bCs/>
          <w:sz w:val="24"/>
          <w:szCs w:val="24"/>
        </w:rPr>
      </w:pPr>
    </w:p>
    <w:p w:rsidRPr="003556A8" w:rsidR="002604D8" w:rsidP="002604D8" w:rsidRDefault="002604D8" w14:paraId="70EDFBF4" w14:textId="77777777">
      <w:pPr>
        <w:pStyle w:val="Lijstalinea"/>
        <w:numPr>
          <w:ilvl w:val="0"/>
          <w:numId w:val="1"/>
        </w:numPr>
        <w:spacing w:after="0"/>
        <w:rPr>
          <w:rFonts w:ascii="Verdana" w:hAnsi="Verdana"/>
          <w:b/>
          <w:bCs/>
          <w:sz w:val="18"/>
          <w:szCs w:val="18"/>
        </w:rPr>
      </w:pPr>
      <w:r w:rsidRPr="003556A8">
        <w:rPr>
          <w:rFonts w:ascii="Verdana" w:hAnsi="Verdana"/>
          <w:b/>
          <w:bCs/>
          <w:sz w:val="18"/>
          <w:szCs w:val="18"/>
        </w:rPr>
        <w:t>Bent u bekend met de aflevering “Gaby overlijdt, maar familie kan niet rouwen door onze overheid” van de serie BOOS?</w:t>
      </w:r>
    </w:p>
    <w:p w:rsidR="002604D8" w:rsidP="002604D8" w:rsidRDefault="002604D8" w14:paraId="74E7ABD6" w14:textId="77777777"/>
    <w:p w:rsidRPr="003556A8" w:rsidR="002604D8" w:rsidP="002604D8" w:rsidRDefault="002604D8" w14:paraId="76B815AB" w14:textId="77777777">
      <w:r w:rsidRPr="003556A8">
        <w:t>Ja.</w:t>
      </w:r>
    </w:p>
    <w:p w:rsidRPr="00F813FC" w:rsidR="002604D8" w:rsidP="002604D8" w:rsidRDefault="002604D8" w14:paraId="0F2434BD" w14:textId="77777777"/>
    <w:p w:rsidRPr="003556A8" w:rsidR="002604D8" w:rsidP="002604D8" w:rsidRDefault="002604D8" w14:paraId="7B07F49F" w14:textId="77777777">
      <w:pPr>
        <w:pStyle w:val="Lijstalinea"/>
        <w:numPr>
          <w:ilvl w:val="0"/>
          <w:numId w:val="1"/>
        </w:numPr>
        <w:spacing w:after="0"/>
        <w:rPr>
          <w:rFonts w:ascii="Verdana" w:hAnsi="Verdana"/>
          <w:b/>
          <w:bCs/>
          <w:sz w:val="18"/>
          <w:szCs w:val="18"/>
        </w:rPr>
      </w:pPr>
      <w:r w:rsidRPr="003556A8">
        <w:rPr>
          <w:rFonts w:ascii="Verdana" w:hAnsi="Verdana"/>
          <w:b/>
          <w:bCs/>
          <w:sz w:val="18"/>
          <w:szCs w:val="18"/>
        </w:rPr>
        <w:t>Klopt het dat overlijdensaktes van Nederlanders die in het buitenland overlijden in sommige gevallen lang op zich laten wachten, waardoor sommige gemeenten nog niet over willen gaan tot het officieel dood verklaren van de overledene?</w:t>
      </w:r>
    </w:p>
    <w:p w:rsidR="002604D8" w:rsidP="002604D8" w:rsidRDefault="002604D8" w14:paraId="7B408047" w14:textId="77777777"/>
    <w:p w:rsidRPr="002A621C" w:rsidR="002604D8" w:rsidP="002604D8" w:rsidRDefault="002604D8" w14:paraId="74862232" w14:textId="77777777">
      <w:r w:rsidRPr="002A621C">
        <w:t xml:space="preserve">Het klopt dat </w:t>
      </w:r>
      <w:r>
        <w:t>de in het buitenland opgemaakte akte</w:t>
      </w:r>
      <w:r w:rsidRPr="002A621C">
        <w:t xml:space="preserve"> in sommige gevallen op zich laat wachten. Dit zorgt voor een </w:t>
      </w:r>
      <w:r>
        <w:t>onzekere en belastende</w:t>
      </w:r>
      <w:r w:rsidRPr="002A621C">
        <w:t xml:space="preserve"> situatie voor de nabestaanden. In deze gevallen </w:t>
      </w:r>
      <w:r>
        <w:t>kan</w:t>
      </w:r>
      <w:r w:rsidRPr="002A621C">
        <w:t xml:space="preserve"> het ministerie van Buitenlandse Zaken haar netwerk van ambassades en consulaten waar mogelijk </w:t>
      </w:r>
      <w:r>
        <w:t xml:space="preserve">gebruiken </w:t>
      </w:r>
      <w:r w:rsidRPr="002A621C">
        <w:t>om het proces</w:t>
      </w:r>
      <w:r>
        <w:t xml:space="preserve"> van afgifte van de overlijdensakte</w:t>
      </w:r>
      <w:r w:rsidRPr="002A621C">
        <w:t xml:space="preserve"> te versnellen. Hierbij geldt dat </w:t>
      </w:r>
      <w:r>
        <w:t>Nederland</w:t>
      </w:r>
      <w:r w:rsidRPr="002A621C">
        <w:t xml:space="preserve"> zich </w:t>
      </w:r>
      <w:r>
        <w:t xml:space="preserve">wel </w:t>
      </w:r>
      <w:r w:rsidRPr="002A621C">
        <w:t xml:space="preserve">moet verhouden tot de regels en procedures die andere landen hebben. </w:t>
      </w:r>
    </w:p>
    <w:p w:rsidRPr="002A621C" w:rsidR="002604D8" w:rsidP="002604D8" w:rsidRDefault="002604D8" w14:paraId="58DAC27C" w14:textId="77777777"/>
    <w:p w:rsidRPr="002A621C" w:rsidR="002604D8" w:rsidP="002604D8" w:rsidRDefault="002604D8" w14:paraId="5B6405A8" w14:textId="77777777">
      <w:r w:rsidRPr="002A621C">
        <w:t>Gemeenten zijn verplicht om het overlijden</w:t>
      </w:r>
      <w:r>
        <w:t xml:space="preserve"> in de Basisregistratie Personen (BRP)</w:t>
      </w:r>
      <w:r w:rsidRPr="002A621C">
        <w:t xml:space="preserve"> te registreren op basis van een zo sterk mogelijk brondocument, conform artikel 2.8, tweede lid</w:t>
      </w:r>
      <w:r>
        <w:t>,</w:t>
      </w:r>
      <w:r w:rsidRPr="002A621C">
        <w:t xml:space="preserve"> van de Wet basisregistratie personen. Bij voorkeur gebeurt registratie van een overlijden in het buitenland door de gemeente op basis van een buitenlandse overlijdensakte. Er hoeft echter niet per se op de buitenlandse overlijdensakte gewacht te worden om het overlijden te kunnen registreren. </w:t>
      </w:r>
    </w:p>
    <w:p w:rsidRPr="002A621C" w:rsidR="002604D8" w:rsidP="002604D8" w:rsidRDefault="002604D8" w14:paraId="2739EC7A" w14:textId="77777777"/>
    <w:p w:rsidRPr="00A15427" w:rsidR="002604D8" w:rsidP="002604D8" w:rsidRDefault="002604D8" w14:paraId="7431D41E" w14:textId="77777777">
      <w:pPr>
        <w:rPr>
          <w:i/>
          <w:iCs/>
        </w:rPr>
      </w:pPr>
      <w:r w:rsidRPr="002A621C">
        <w:t xml:space="preserve">BZK </w:t>
      </w:r>
      <w:r>
        <w:t xml:space="preserve">weet niet </w:t>
      </w:r>
      <w:r w:rsidRPr="002A621C">
        <w:t xml:space="preserve">of er gemeenten zijn die dat wel doen. Wel is het voorstelbaar, dat de registratie langer op zich laat wachten omdat de gemeente dan op een andere manier moet kunnen vaststellen of de persoon daadwerkelijk overleden is. Dat moet uiteraard zorgvuldig gebeuren, omdat fouten daarbij ook zeer ernstige gevolgen kunnen hebben. </w:t>
      </w:r>
    </w:p>
    <w:p w:rsidRPr="00F813FC" w:rsidR="002604D8" w:rsidP="002604D8" w:rsidRDefault="002604D8" w14:paraId="36A36DE6" w14:textId="77777777"/>
    <w:p w:rsidRPr="003556A8" w:rsidR="002604D8" w:rsidP="002604D8" w:rsidRDefault="002604D8" w14:paraId="36BBD2B8" w14:textId="77777777">
      <w:pPr>
        <w:pStyle w:val="Lijstalinea"/>
        <w:numPr>
          <w:ilvl w:val="0"/>
          <w:numId w:val="1"/>
        </w:numPr>
        <w:spacing w:after="0"/>
        <w:rPr>
          <w:rFonts w:ascii="Verdana" w:hAnsi="Verdana"/>
          <w:b/>
          <w:bCs/>
          <w:sz w:val="18"/>
          <w:szCs w:val="18"/>
        </w:rPr>
      </w:pPr>
      <w:r w:rsidRPr="003556A8">
        <w:rPr>
          <w:rFonts w:ascii="Verdana" w:hAnsi="Verdana"/>
          <w:b/>
          <w:bCs/>
          <w:sz w:val="18"/>
          <w:szCs w:val="18"/>
        </w:rPr>
        <w:lastRenderedPageBreak/>
        <w:t>Herkent u het beeld dat veel gemeenten andere officiële documenten dan de overlijdensakte voldoende vinden om een Nederlander die overlijdt in het buitenland dood te verklaren, maar dat sommige gemeenten dit maatwerk niet bieden uit angst voor fraude?</w:t>
      </w:r>
    </w:p>
    <w:p w:rsidR="002604D8" w:rsidP="002604D8" w:rsidRDefault="002604D8" w14:paraId="5E8F9F3B" w14:textId="77777777"/>
    <w:p w:rsidR="002604D8" w:rsidP="002604D8" w:rsidRDefault="002604D8" w14:paraId="46DC71BA" w14:textId="77777777">
      <w:r w:rsidRPr="00931BC2">
        <w:t xml:space="preserve">De omstandigheden bij het overlijden van een </w:t>
      </w:r>
      <w:r>
        <w:t>N</w:t>
      </w:r>
      <w:r w:rsidRPr="00931BC2">
        <w:t>ederlander in het buitenland</w:t>
      </w:r>
      <w:r>
        <w:rPr>
          <w:rStyle w:val="Voetnootmarkering"/>
        </w:rPr>
        <w:footnoteReference w:id="1"/>
      </w:r>
      <w:r w:rsidRPr="00931BC2">
        <w:t xml:space="preserve"> verschillen per geval. Daarnaast hebben landen hun eigen regels en processen </w:t>
      </w:r>
      <w:r>
        <w:t>rondom</w:t>
      </w:r>
      <w:r w:rsidRPr="00931BC2">
        <w:t xml:space="preserve"> overlijden. Dit betekent dat er altijd maatwerk nodig is.</w:t>
      </w:r>
      <w:r>
        <w:t xml:space="preserve"> Het maakt ook uit of het lichaam van de overledene naar Nederland gebracht wordt, of dat de begrafenis of crematie in het buitenland plaatsvindt. </w:t>
      </w:r>
      <w:r w:rsidRPr="002A621C">
        <w:t xml:space="preserve">Het is aan de gemeente </w:t>
      </w:r>
      <w:r>
        <w:t xml:space="preserve">(het college van Burgemeesters en Wethouders) </w:t>
      </w:r>
      <w:r w:rsidRPr="002A621C">
        <w:t xml:space="preserve">om te beoordelen welk brondocument in het betreffende geval volstaat. </w:t>
      </w:r>
      <w:r>
        <w:t>Het is mogelijk dat de</w:t>
      </w:r>
      <w:r w:rsidRPr="002A621C">
        <w:t xml:space="preserve"> beoordeling van vergelijkbare gevallen </w:t>
      </w:r>
      <w:r>
        <w:t>tussen gemeenten verschilt. Die beoordeling is</w:t>
      </w:r>
      <w:r w:rsidRPr="002A621C">
        <w:t xml:space="preserve"> niet altijd gemakkelijk, als er geen sterke brondocumenten zijn of </w:t>
      </w:r>
      <w:r>
        <w:t>als</w:t>
      </w:r>
      <w:r w:rsidRPr="002A621C">
        <w:t xml:space="preserve"> het lang duurt om die te kunnen krijgen.</w:t>
      </w:r>
      <w:r>
        <w:t xml:space="preserve"> </w:t>
      </w:r>
      <w:r w:rsidRPr="002A621C">
        <w:t xml:space="preserve">Het onterecht registreren van een overlijden heeft grote gevolgen </w:t>
      </w:r>
      <w:r>
        <w:t>en uiteraard moet er ook aandacht zijn voor mogelijke fraude</w:t>
      </w:r>
      <w:r w:rsidRPr="002A621C">
        <w:t>.</w:t>
      </w:r>
      <w:r>
        <w:t xml:space="preserve"> De regelgeving geeft het kader aan voor de beoordeling door de gemeente. Hieronder schets ik wat de </w:t>
      </w:r>
      <w:r w:rsidRPr="002A621C">
        <w:t>Wet BRP</w:t>
      </w:r>
      <w:r>
        <w:t xml:space="preserve"> aan gemeenten voorschrijft.</w:t>
      </w:r>
    </w:p>
    <w:p w:rsidR="002604D8" w:rsidP="002604D8" w:rsidRDefault="002604D8" w14:paraId="1203B780" w14:textId="77777777"/>
    <w:p w:rsidRPr="002A621C" w:rsidR="002604D8" w:rsidP="002604D8" w:rsidRDefault="002604D8" w14:paraId="33A3758E" w14:textId="77777777">
      <w:r w:rsidRPr="002A621C">
        <w:t>De gegevens in de Basisregistratie Personen (BRP) worden geregistreerd aan de hand van brondocumenten. Artikel 2.8, tweede lid</w:t>
      </w:r>
      <w:r>
        <w:t xml:space="preserve"> van de</w:t>
      </w:r>
      <w:r w:rsidRPr="002A621C">
        <w:t xml:space="preserve"> Wet BRP schrijft limitatief de te gebruiken brondocumenten voor van feiten over de burgerlijke staat van een persoon</w:t>
      </w:r>
      <w:r w:rsidRPr="00FE6D1A">
        <w:t xml:space="preserve"> </w:t>
      </w:r>
      <w:r w:rsidRPr="002A621C">
        <w:t>d</w:t>
      </w:r>
      <w:r>
        <w:t>ie</w:t>
      </w:r>
      <w:r w:rsidRPr="002A621C">
        <w:t xml:space="preserve"> zich in het buitenland he</w:t>
      </w:r>
      <w:r>
        <w:t>bben</w:t>
      </w:r>
      <w:r w:rsidRPr="002A621C">
        <w:t xml:space="preserve"> voorgedaan, zoals </w:t>
      </w:r>
      <w:r>
        <w:t>diens</w:t>
      </w:r>
      <w:r w:rsidRPr="002A621C">
        <w:t xml:space="preserve"> overlijden, en brengt daarin een rangorde aan</w:t>
      </w:r>
      <w:r>
        <w:t xml:space="preserve"> (sub c, d, e)</w:t>
      </w:r>
      <w:r w:rsidRPr="002A621C">
        <w:t xml:space="preserve">. De </w:t>
      </w:r>
      <w:r>
        <w:t xml:space="preserve">buitenlandse </w:t>
      </w:r>
      <w:r w:rsidRPr="002A621C">
        <w:t xml:space="preserve">overlijdensakte is het sterkste brondocument. Als er nog geen buitenlandse overlijdensakte beschikbaar is, dan zou de gemeente het overlijden echter ook kunnen registreren op basis van een lager brondocument conform </w:t>
      </w:r>
      <w:r>
        <w:t>genoemd artikel (sub d of e)</w:t>
      </w:r>
      <w:r w:rsidRPr="002A621C">
        <w:t xml:space="preserve">. Een gegeven mag echter slechts aan een bepaald brondocument worden ontleend wanneer een sterker document op het moment van ontlening niet aanwezig is.  Na registratie op basis van een lager brondocument moet de gemeente wel proberen om het sterkste brondocument alsnog te verkrijgen. Het doet ook niet af aan de plicht van de </w:t>
      </w:r>
      <w:r>
        <w:t>nabestaande</w:t>
      </w:r>
      <w:r w:rsidRPr="002A621C">
        <w:t xml:space="preserve"> om eventueel na de inschrijving alsnog zo sterk mogelijke documenten te leveren indien het college van burgemeester en wethouders daarom verzoekt.</w:t>
      </w:r>
      <w:r>
        <w:t xml:space="preserve"> </w:t>
      </w:r>
    </w:p>
    <w:p w:rsidRPr="00F813FC" w:rsidR="002604D8" w:rsidP="002604D8" w:rsidRDefault="002604D8" w14:paraId="20E18A13" w14:textId="77777777"/>
    <w:p w:rsidRPr="003556A8" w:rsidR="002604D8" w:rsidP="002604D8" w:rsidRDefault="002604D8" w14:paraId="077ACB4E" w14:textId="77777777">
      <w:pPr>
        <w:pStyle w:val="Lijstalinea"/>
        <w:numPr>
          <w:ilvl w:val="0"/>
          <w:numId w:val="1"/>
        </w:numPr>
        <w:spacing w:after="0"/>
        <w:rPr>
          <w:rFonts w:ascii="Verdana" w:hAnsi="Verdana"/>
          <w:b/>
          <w:bCs/>
          <w:sz w:val="18"/>
          <w:szCs w:val="18"/>
        </w:rPr>
      </w:pPr>
      <w:r w:rsidRPr="003556A8">
        <w:rPr>
          <w:rFonts w:ascii="Verdana" w:hAnsi="Verdana"/>
          <w:b/>
          <w:bCs/>
          <w:sz w:val="18"/>
          <w:szCs w:val="18"/>
        </w:rPr>
        <w:t>Deelt u de mening dat regelgeving hier onevenredig hard uit kan pakken voor individuen, die soms maanden bezig zijn met extra bureaucratie en kosten, omdat bijvoorbeeld abonnementen of huurcontracten nog niet kunnen worden opgezegd?</w:t>
      </w:r>
    </w:p>
    <w:p w:rsidR="002604D8" w:rsidP="002604D8" w:rsidRDefault="002604D8" w14:paraId="0CD61EFE" w14:textId="77777777"/>
    <w:p w:rsidR="002604D8" w:rsidP="002604D8" w:rsidRDefault="002604D8" w14:paraId="0D6FBDD5" w14:textId="77777777">
      <w:r w:rsidRPr="002A621C">
        <w:t xml:space="preserve">Ik begrijp dat dit voor de nabestaanden </w:t>
      </w:r>
      <w:r>
        <w:t>lastige</w:t>
      </w:r>
      <w:r w:rsidRPr="002A621C">
        <w:t xml:space="preserve"> situaties kan opleveren. Desalniettemin is het van belang dat gemeenten zorgvuldig omgaan met </w:t>
      </w:r>
      <w:r>
        <w:t xml:space="preserve">het </w:t>
      </w:r>
      <w:r w:rsidRPr="002A621C">
        <w:t xml:space="preserve">registreren van een overlijden. Het onterecht registreren van een overlijden heeft grote gevolgen. Ook is het van belang dat fraude wordt voorkomen. De wet BRP biedt, zoals bij het antwoord op vraag 2 en 3 toegelicht, mogelijkheden om het overlijden te registreren, ook als er geen buitenlandse overlijdensakte is. </w:t>
      </w:r>
      <w:r>
        <w:t xml:space="preserve">De regelgeving biedt dus de benodigde ruimte, om te voorkomen dat burgers onevenredig hard getroffen worden. </w:t>
      </w:r>
    </w:p>
    <w:p w:rsidR="002604D8" w:rsidP="002604D8" w:rsidRDefault="002604D8" w14:paraId="12D259C4" w14:textId="77777777"/>
    <w:p w:rsidRPr="002A621C" w:rsidR="002604D8" w:rsidP="002604D8" w:rsidRDefault="002604D8" w14:paraId="2ACA6F53" w14:textId="77777777">
      <w:r>
        <w:t>Als h</w:t>
      </w:r>
      <w:r w:rsidRPr="002A621C">
        <w:t xml:space="preserve">et overlijden </w:t>
      </w:r>
      <w:r>
        <w:t xml:space="preserve">is geregistreerd in de BRP </w:t>
      </w:r>
      <w:r w:rsidRPr="002A621C">
        <w:t xml:space="preserve">wordt </w:t>
      </w:r>
      <w:r>
        <w:t>dit feit vanuit de centrale voorziening van de BRP</w:t>
      </w:r>
      <w:r w:rsidRPr="002A621C">
        <w:t xml:space="preserve"> doorgegeven aan organisaties die </w:t>
      </w:r>
      <w:r>
        <w:t xml:space="preserve">deze melding mogen krijgen (die </w:t>
      </w:r>
      <w:r w:rsidRPr="002A621C">
        <w:t>daarvoor geautoriseerd zijn</w:t>
      </w:r>
      <w:r>
        <w:t>)</w:t>
      </w:r>
      <w:r w:rsidRPr="002A621C">
        <w:t xml:space="preserve">. </w:t>
      </w:r>
      <w:r>
        <w:t xml:space="preserve">Commerciële partijen zijn in beginsel niet aangesloten op de BRP. </w:t>
      </w:r>
      <w:r w:rsidRPr="002A621C">
        <w:t xml:space="preserve">Of commerciële partijen een overlijdensakte of een uittreksel BRP eisen bij het stopzetten van contracten, is het beleid van deze partijen zelf. </w:t>
      </w:r>
    </w:p>
    <w:p w:rsidRPr="00F813FC" w:rsidR="002604D8" w:rsidP="002604D8" w:rsidRDefault="002604D8" w14:paraId="331D82B1" w14:textId="77777777"/>
    <w:p w:rsidRPr="003556A8" w:rsidR="002604D8" w:rsidP="002604D8" w:rsidRDefault="002604D8" w14:paraId="0E2B9B58" w14:textId="77777777">
      <w:pPr>
        <w:pStyle w:val="Lijstalinea"/>
        <w:numPr>
          <w:ilvl w:val="0"/>
          <w:numId w:val="1"/>
        </w:numPr>
        <w:spacing w:after="0"/>
        <w:rPr>
          <w:rFonts w:ascii="Verdana" w:hAnsi="Verdana"/>
          <w:b/>
          <w:bCs/>
          <w:sz w:val="18"/>
          <w:szCs w:val="18"/>
        </w:rPr>
      </w:pPr>
      <w:r w:rsidRPr="003556A8">
        <w:rPr>
          <w:rFonts w:ascii="Verdana" w:hAnsi="Verdana"/>
          <w:b/>
          <w:bCs/>
          <w:sz w:val="18"/>
          <w:szCs w:val="18"/>
        </w:rPr>
        <w:t>Bent u bereid het beleid zo te wijzigen dat als het lichaam van een in het buitenland overleden Nederlander in Nederland arriveert zonder overlijdensakte, er altijd direct een schouwarts aanwezig is om een overlijdensakte te tekenen zodat situaties zoals die van de familie van Gaby kunnen worden voorkomen? Zo nee, waarom niet?</w:t>
      </w:r>
    </w:p>
    <w:p w:rsidR="002604D8" w:rsidP="002604D8" w:rsidRDefault="002604D8" w14:paraId="39F326AE" w14:textId="77777777"/>
    <w:p w:rsidR="002604D8" w:rsidP="002604D8" w:rsidRDefault="002604D8" w14:paraId="401FC564" w14:textId="77777777">
      <w:r w:rsidRPr="002A621C">
        <w:t xml:space="preserve">Over deze situaties </w:t>
      </w:r>
      <w:r>
        <w:t>is overlegd</w:t>
      </w:r>
      <w:r w:rsidRPr="002A621C">
        <w:t xml:space="preserve"> met de Rijksdienst voor Identiteitsgegevens (RvIG</w:t>
      </w:r>
      <w:r>
        <w:t>)</w:t>
      </w:r>
      <w:r w:rsidRPr="002A621C">
        <w:t xml:space="preserve"> en de Nederlandse Vereniging voor Burgerzaken (NVVB). In deze situaties is voldoende maatwerk mogelijk. Ook in het geval van Gaby heeft de gemeente een oplossing kunnen vinden. </w:t>
      </w:r>
    </w:p>
    <w:p w:rsidR="002604D8" w:rsidP="002604D8" w:rsidRDefault="002604D8" w14:paraId="1DE4618D" w14:textId="77777777"/>
    <w:p w:rsidR="002604D8" w:rsidP="002604D8" w:rsidRDefault="002604D8" w14:paraId="5D7F17FE" w14:textId="77777777">
      <w:r>
        <w:t>Wel ga ik</w:t>
      </w:r>
      <w:r w:rsidRPr="002A621C">
        <w:t xml:space="preserve"> de mogelijkheden voor het gebruik van buitenlandse brondocumenten bij het registreren van een overlijden in het buitenland opnieuw onder de aandacht van gemeenten brengen. Naar aanleiding van de uitzending en deze Kamervragen heeft de NVVB dit in </w:t>
      </w:r>
      <w:r>
        <w:t xml:space="preserve">haar </w:t>
      </w:r>
      <w:r w:rsidRPr="002A621C">
        <w:t xml:space="preserve">nieuwsbrief al onder de aandacht gebracht van </w:t>
      </w:r>
      <w:r>
        <w:t xml:space="preserve">haar </w:t>
      </w:r>
      <w:r w:rsidRPr="002A621C">
        <w:t xml:space="preserve">leden. </w:t>
      </w:r>
      <w:r>
        <w:t>RvIG heeft de Handleiding Uitvoeringsprocedures aangevuld</w:t>
      </w:r>
      <w:r>
        <w:rPr>
          <w:rStyle w:val="Voetnootmarkering"/>
        </w:rPr>
        <w:footnoteReference w:id="2"/>
      </w:r>
      <w:r>
        <w:t xml:space="preserve">. De mogelijkheden voor het registreren van een overlijden in het buitenland, waar nog geen akte van beschikbaar is, worden daarin toegelicht. </w:t>
      </w:r>
    </w:p>
    <w:p w:rsidR="002604D8" w:rsidP="002604D8" w:rsidRDefault="002604D8" w14:paraId="6FC846D5" w14:textId="77777777"/>
    <w:p w:rsidRPr="002A621C" w:rsidR="002604D8" w:rsidP="002604D8" w:rsidRDefault="002604D8" w14:paraId="7152583B" w14:textId="77777777">
      <w:r w:rsidRPr="002A621C">
        <w:lastRenderedPageBreak/>
        <w:t xml:space="preserve">In moeilijke gevallen kan een gemeente overigens ook bij </w:t>
      </w:r>
      <w:r>
        <w:t xml:space="preserve">beide </w:t>
      </w:r>
      <w:r w:rsidRPr="002A621C">
        <w:t xml:space="preserve">genoemde organisaties terecht voor advies. </w:t>
      </w:r>
    </w:p>
    <w:p w:rsidRPr="00C94E42" w:rsidR="002604D8" w:rsidP="002604D8" w:rsidRDefault="002604D8" w14:paraId="7F0FBD33" w14:textId="77777777">
      <w:pPr>
        <w:rPr>
          <w:i/>
          <w:iCs/>
        </w:rPr>
      </w:pPr>
    </w:p>
    <w:p w:rsidR="002604D8" w:rsidP="002604D8" w:rsidRDefault="002604D8" w14:paraId="19DA51C7" w14:textId="77777777"/>
    <w:p w:rsidR="002604D8" w:rsidP="002604D8" w:rsidRDefault="002604D8" w14:paraId="678009B2" w14:textId="77777777"/>
    <w:p w:rsidR="002604D8" w:rsidP="002604D8" w:rsidRDefault="002604D8" w14:paraId="3600D9AA" w14:textId="77777777"/>
    <w:p w:rsidR="002604D8" w:rsidP="002604D8" w:rsidRDefault="002604D8" w14:paraId="59AB2D17" w14:textId="77777777"/>
    <w:p w:rsidR="006B2BD0" w:rsidRDefault="006B2BD0" w14:paraId="16EDBF7F" w14:textId="77777777"/>
    <w:sectPr w:rsidR="006B2BD0" w:rsidSect="002604D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CA45E" w14:textId="77777777" w:rsidR="002604D8" w:rsidRDefault="002604D8" w:rsidP="002604D8">
      <w:pPr>
        <w:spacing w:after="0" w:line="240" w:lineRule="auto"/>
      </w:pPr>
      <w:r>
        <w:separator/>
      </w:r>
    </w:p>
  </w:endnote>
  <w:endnote w:type="continuationSeparator" w:id="0">
    <w:p w14:paraId="4D2D06D4" w14:textId="77777777" w:rsidR="002604D8" w:rsidRDefault="002604D8" w:rsidP="0026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E1EEF" w14:textId="77777777" w:rsidR="002604D8" w:rsidRPr="002604D8" w:rsidRDefault="002604D8" w:rsidP="002604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805D" w14:textId="77777777" w:rsidR="002604D8" w:rsidRPr="002604D8" w:rsidRDefault="002604D8" w:rsidP="002604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6D42" w14:textId="77777777" w:rsidR="002604D8" w:rsidRPr="002604D8" w:rsidRDefault="002604D8" w:rsidP="002604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9581" w14:textId="77777777" w:rsidR="002604D8" w:rsidRDefault="002604D8" w:rsidP="002604D8">
      <w:pPr>
        <w:spacing w:after="0" w:line="240" w:lineRule="auto"/>
      </w:pPr>
      <w:r>
        <w:separator/>
      </w:r>
    </w:p>
  </w:footnote>
  <w:footnote w:type="continuationSeparator" w:id="0">
    <w:p w14:paraId="4562AA8D" w14:textId="77777777" w:rsidR="002604D8" w:rsidRDefault="002604D8" w:rsidP="002604D8">
      <w:pPr>
        <w:spacing w:after="0" w:line="240" w:lineRule="auto"/>
      </w:pPr>
      <w:r>
        <w:continuationSeparator/>
      </w:r>
    </w:p>
  </w:footnote>
  <w:footnote w:id="1">
    <w:p w14:paraId="7C12F93E" w14:textId="77777777" w:rsidR="002604D8" w:rsidRDefault="002604D8" w:rsidP="002604D8">
      <w:pPr>
        <w:pStyle w:val="Voetnoottekst"/>
      </w:pPr>
      <w:r>
        <w:rPr>
          <w:rStyle w:val="Voetnootmarkering"/>
        </w:rPr>
        <w:footnoteRef/>
      </w:r>
      <w:r>
        <w:t xml:space="preserve"> In de BRP staan niet alleen Nederlanders, maar alle mensen die formeel in Nederland wonen, er kan dus sprake zijn van een andere nationaliteit dan de Nederlandse. </w:t>
      </w:r>
    </w:p>
  </w:footnote>
  <w:footnote w:id="2">
    <w:p w14:paraId="7EF0AC81" w14:textId="77777777" w:rsidR="002604D8" w:rsidRDefault="002604D8" w:rsidP="002604D8">
      <w:pPr>
        <w:pStyle w:val="Voetnoottekst"/>
      </w:pPr>
      <w:r>
        <w:rPr>
          <w:rStyle w:val="Voetnootmarkering"/>
        </w:rPr>
        <w:footnoteRef/>
      </w:r>
      <w:r>
        <w:t xml:space="preserve"> </w:t>
      </w:r>
      <w:hyperlink r:id="rId1" w:history="1">
        <w:r>
          <w:rPr>
            <w:rStyle w:val="Hyperlink"/>
          </w:rPr>
          <w:t>https://www.rvig.nl/hup/overlijden-buitenland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A55D" w14:textId="77777777" w:rsidR="002604D8" w:rsidRPr="002604D8" w:rsidRDefault="002604D8" w:rsidP="002604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FC81" w14:textId="77777777" w:rsidR="002604D8" w:rsidRPr="002604D8" w:rsidRDefault="002604D8" w:rsidP="002604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8E2D9" w14:textId="77777777" w:rsidR="002604D8" w:rsidRPr="002604D8" w:rsidRDefault="002604D8" w:rsidP="002604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333C"/>
    <w:multiLevelType w:val="hybridMultilevel"/>
    <w:tmpl w:val="AF0E45BE"/>
    <w:lvl w:ilvl="0" w:tplc="5B16D788">
      <w:start w:val="1"/>
      <w:numFmt w:val="decimal"/>
      <w:lvlText w:val="%1."/>
      <w:lvlJc w:val="left"/>
      <w:pPr>
        <w:ind w:left="720" w:hanging="360"/>
      </w:pPr>
      <w:rPr>
        <w:rFonts w:hint="default"/>
      </w:rPr>
    </w:lvl>
    <w:lvl w:ilvl="1" w:tplc="FCC836E6" w:tentative="1">
      <w:start w:val="1"/>
      <w:numFmt w:val="lowerLetter"/>
      <w:lvlText w:val="%2."/>
      <w:lvlJc w:val="left"/>
      <w:pPr>
        <w:ind w:left="1440" w:hanging="360"/>
      </w:pPr>
    </w:lvl>
    <w:lvl w:ilvl="2" w:tplc="7E1C9AA2" w:tentative="1">
      <w:start w:val="1"/>
      <w:numFmt w:val="lowerRoman"/>
      <w:lvlText w:val="%3."/>
      <w:lvlJc w:val="right"/>
      <w:pPr>
        <w:ind w:left="2160" w:hanging="180"/>
      </w:pPr>
    </w:lvl>
    <w:lvl w:ilvl="3" w:tplc="CAD0194E" w:tentative="1">
      <w:start w:val="1"/>
      <w:numFmt w:val="decimal"/>
      <w:lvlText w:val="%4."/>
      <w:lvlJc w:val="left"/>
      <w:pPr>
        <w:ind w:left="2880" w:hanging="360"/>
      </w:pPr>
    </w:lvl>
    <w:lvl w:ilvl="4" w:tplc="2FDC89BE" w:tentative="1">
      <w:start w:val="1"/>
      <w:numFmt w:val="lowerLetter"/>
      <w:lvlText w:val="%5."/>
      <w:lvlJc w:val="left"/>
      <w:pPr>
        <w:ind w:left="3600" w:hanging="360"/>
      </w:pPr>
    </w:lvl>
    <w:lvl w:ilvl="5" w:tplc="9E32520A" w:tentative="1">
      <w:start w:val="1"/>
      <w:numFmt w:val="lowerRoman"/>
      <w:lvlText w:val="%6."/>
      <w:lvlJc w:val="right"/>
      <w:pPr>
        <w:ind w:left="4320" w:hanging="180"/>
      </w:pPr>
    </w:lvl>
    <w:lvl w:ilvl="6" w:tplc="AF8E5FD2" w:tentative="1">
      <w:start w:val="1"/>
      <w:numFmt w:val="decimal"/>
      <w:lvlText w:val="%7."/>
      <w:lvlJc w:val="left"/>
      <w:pPr>
        <w:ind w:left="5040" w:hanging="360"/>
      </w:pPr>
    </w:lvl>
    <w:lvl w:ilvl="7" w:tplc="58ECEB1C" w:tentative="1">
      <w:start w:val="1"/>
      <w:numFmt w:val="lowerLetter"/>
      <w:lvlText w:val="%8."/>
      <w:lvlJc w:val="left"/>
      <w:pPr>
        <w:ind w:left="5760" w:hanging="360"/>
      </w:pPr>
    </w:lvl>
    <w:lvl w:ilvl="8" w:tplc="220CA408" w:tentative="1">
      <w:start w:val="1"/>
      <w:numFmt w:val="lowerRoman"/>
      <w:lvlText w:val="%9."/>
      <w:lvlJc w:val="right"/>
      <w:pPr>
        <w:ind w:left="6480" w:hanging="180"/>
      </w:pPr>
    </w:lvl>
  </w:abstractNum>
  <w:num w:numId="1" w16cid:durableId="18594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D8"/>
    <w:rsid w:val="002604D8"/>
    <w:rsid w:val="006B2BD0"/>
    <w:rsid w:val="009A2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C18D"/>
  <w15:chartTrackingRefBased/>
  <w15:docId w15:val="{B7E6265C-4816-487D-8A93-BD831874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4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604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604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604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604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604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4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4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4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4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604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604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604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604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604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4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4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4D8"/>
    <w:rPr>
      <w:rFonts w:eastAsiaTheme="majorEastAsia" w:cstheme="majorBidi"/>
      <w:color w:val="272727" w:themeColor="text1" w:themeTint="D8"/>
    </w:rPr>
  </w:style>
  <w:style w:type="paragraph" w:styleId="Titel">
    <w:name w:val="Title"/>
    <w:basedOn w:val="Standaard"/>
    <w:next w:val="Standaard"/>
    <w:link w:val="TitelChar"/>
    <w:uiPriority w:val="10"/>
    <w:qFormat/>
    <w:rsid w:val="00260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4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4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4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4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4D8"/>
    <w:rPr>
      <w:i/>
      <w:iCs/>
      <w:color w:val="404040" w:themeColor="text1" w:themeTint="BF"/>
    </w:rPr>
  </w:style>
  <w:style w:type="paragraph" w:styleId="Lijstalinea">
    <w:name w:val="List Paragraph"/>
    <w:basedOn w:val="Standaard"/>
    <w:uiPriority w:val="34"/>
    <w:qFormat/>
    <w:rsid w:val="002604D8"/>
    <w:pPr>
      <w:ind w:left="720"/>
      <w:contextualSpacing/>
    </w:pPr>
  </w:style>
  <w:style w:type="character" w:styleId="Intensievebenadrukking">
    <w:name w:val="Intense Emphasis"/>
    <w:basedOn w:val="Standaardalinea-lettertype"/>
    <w:uiPriority w:val="21"/>
    <w:qFormat/>
    <w:rsid w:val="002604D8"/>
    <w:rPr>
      <w:i/>
      <w:iCs/>
      <w:color w:val="2F5496" w:themeColor="accent1" w:themeShade="BF"/>
    </w:rPr>
  </w:style>
  <w:style w:type="paragraph" w:styleId="Duidelijkcitaat">
    <w:name w:val="Intense Quote"/>
    <w:basedOn w:val="Standaard"/>
    <w:next w:val="Standaard"/>
    <w:link w:val="DuidelijkcitaatChar"/>
    <w:uiPriority w:val="30"/>
    <w:qFormat/>
    <w:rsid w:val="00260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604D8"/>
    <w:rPr>
      <w:i/>
      <w:iCs/>
      <w:color w:val="2F5496" w:themeColor="accent1" w:themeShade="BF"/>
    </w:rPr>
  </w:style>
  <w:style w:type="character" w:styleId="Intensieveverwijzing">
    <w:name w:val="Intense Reference"/>
    <w:basedOn w:val="Standaardalinea-lettertype"/>
    <w:uiPriority w:val="32"/>
    <w:qFormat/>
    <w:rsid w:val="002604D8"/>
    <w:rPr>
      <w:b/>
      <w:bCs/>
      <w:smallCaps/>
      <w:color w:val="2F5496" w:themeColor="accent1" w:themeShade="BF"/>
      <w:spacing w:val="5"/>
    </w:rPr>
  </w:style>
  <w:style w:type="character" w:styleId="Hyperlink">
    <w:name w:val="Hyperlink"/>
    <w:basedOn w:val="Standaardalinea-lettertype"/>
    <w:uiPriority w:val="99"/>
    <w:unhideWhenUsed/>
    <w:rsid w:val="002604D8"/>
    <w:rPr>
      <w:color w:val="0563C1" w:themeColor="hyperlink"/>
      <w:u w:val="single"/>
    </w:rPr>
  </w:style>
  <w:style w:type="paragraph" w:styleId="Voetnoottekst">
    <w:name w:val="footnote text"/>
    <w:basedOn w:val="Standaard"/>
    <w:link w:val="VoetnoottekstChar"/>
    <w:uiPriority w:val="99"/>
    <w:semiHidden/>
    <w:unhideWhenUsed/>
    <w:rsid w:val="002604D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04D8"/>
    <w:rPr>
      <w:sz w:val="20"/>
      <w:szCs w:val="20"/>
    </w:rPr>
  </w:style>
  <w:style w:type="character" w:styleId="Voetnootmarkering">
    <w:name w:val="footnote reference"/>
    <w:basedOn w:val="Standaardalinea-lettertype"/>
    <w:uiPriority w:val="99"/>
    <w:semiHidden/>
    <w:unhideWhenUsed/>
    <w:rsid w:val="002604D8"/>
    <w:rPr>
      <w:vertAlign w:val="superscript"/>
    </w:rPr>
  </w:style>
  <w:style w:type="paragraph" w:styleId="Koptekst">
    <w:name w:val="header"/>
    <w:basedOn w:val="Standaard"/>
    <w:link w:val="KoptekstChar"/>
    <w:uiPriority w:val="99"/>
    <w:unhideWhenUsed/>
    <w:rsid w:val="002604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04D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04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04D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ig.nl/hup/overlijden-buiten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1017</ap:Words>
  <ap:Characters>5595</ap:Characters>
  <ap:DocSecurity>0</ap:DocSecurity>
  <ap:Lines>46</ap:Lines>
  <ap:Paragraphs>13</ap:Paragraphs>
  <ap:ScaleCrop>false</ap:ScaleCrop>
  <ap:LinksUpToDate>false</ap:LinksUpToDate>
  <ap:CharactersWithSpaces>6599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2025-05-23T18:32:00.0000000Z</dcterms:created>
  <dcterms:modified xsi:type="dcterms:W3CDTF">2025-05-23T18:33:00.0000000Z</dcterms:modified>
  <version/>
  <category/>
</coreProperties>
</file>