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93FE1" w:rsidTr="00D9561B" w14:paraId="034760EE" w14:textId="77777777">
        <w:trPr>
          <w:trHeight w:val="1514"/>
        </w:trPr>
        <w:tc>
          <w:tcPr>
            <w:tcW w:w="7522" w:type="dxa"/>
            <w:tcBorders>
              <w:top w:val="nil"/>
              <w:left w:val="nil"/>
              <w:bottom w:val="nil"/>
              <w:right w:val="nil"/>
            </w:tcBorders>
            <w:tcMar>
              <w:left w:w="0" w:type="dxa"/>
              <w:right w:w="0" w:type="dxa"/>
            </w:tcMar>
          </w:tcPr>
          <w:p w:rsidR="00374412" w:rsidP="00D9561B" w:rsidRDefault="001F365B" w14:paraId="4ED06B47" w14:textId="77777777">
            <w:r>
              <w:t>De v</w:t>
            </w:r>
            <w:r w:rsidR="008E3932">
              <w:t>oorzitter van de Tweede Kamer der Staten-Generaal</w:t>
            </w:r>
          </w:p>
          <w:p w:rsidR="00374412" w:rsidP="00D9561B" w:rsidRDefault="001F365B" w14:paraId="2CB05690" w14:textId="77777777">
            <w:r>
              <w:t>Postbus 20018</w:t>
            </w:r>
          </w:p>
          <w:p w:rsidR="008E3932" w:rsidP="00D9561B" w:rsidRDefault="001F365B" w14:paraId="03F5AF01" w14:textId="13529544">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93FE1" w:rsidTr="00FF66F9" w14:paraId="70699A8F" w14:textId="77777777">
        <w:trPr>
          <w:trHeight w:val="289" w:hRule="exact"/>
        </w:trPr>
        <w:tc>
          <w:tcPr>
            <w:tcW w:w="929" w:type="dxa"/>
          </w:tcPr>
          <w:p w:rsidRPr="00434042" w:rsidR="0005404B" w:rsidP="00FF66F9" w:rsidRDefault="001F365B" w14:paraId="645E3A57" w14:textId="77777777">
            <w:pPr>
              <w:rPr>
                <w:lang w:eastAsia="en-US"/>
              </w:rPr>
            </w:pPr>
            <w:r>
              <w:rPr>
                <w:lang w:eastAsia="en-US"/>
              </w:rPr>
              <w:t>Datum</w:t>
            </w:r>
          </w:p>
        </w:tc>
        <w:tc>
          <w:tcPr>
            <w:tcW w:w="6581" w:type="dxa"/>
          </w:tcPr>
          <w:p w:rsidRPr="00434042" w:rsidR="0005404B" w:rsidP="00FF66F9" w:rsidRDefault="00B15B69" w14:paraId="0DF0F813" w14:textId="6BAA97A4">
            <w:pPr>
              <w:rPr>
                <w:lang w:eastAsia="en-US"/>
              </w:rPr>
            </w:pPr>
            <w:r>
              <w:rPr>
                <w:lang w:eastAsia="en-US"/>
              </w:rPr>
              <w:t>22 mei 2025</w:t>
            </w:r>
          </w:p>
        </w:tc>
      </w:tr>
      <w:tr w:rsidR="00493FE1" w:rsidTr="00FF66F9" w14:paraId="68920ECD" w14:textId="77777777">
        <w:trPr>
          <w:trHeight w:val="368"/>
        </w:trPr>
        <w:tc>
          <w:tcPr>
            <w:tcW w:w="929" w:type="dxa"/>
          </w:tcPr>
          <w:p w:rsidR="0005404B" w:rsidP="00FF66F9" w:rsidRDefault="001F365B" w14:paraId="1E5B5FDB" w14:textId="77777777">
            <w:pPr>
              <w:rPr>
                <w:lang w:eastAsia="en-US"/>
              </w:rPr>
            </w:pPr>
            <w:r>
              <w:rPr>
                <w:lang w:eastAsia="en-US"/>
              </w:rPr>
              <w:t>Betreft</w:t>
            </w:r>
          </w:p>
        </w:tc>
        <w:tc>
          <w:tcPr>
            <w:tcW w:w="6581" w:type="dxa"/>
          </w:tcPr>
          <w:p w:rsidR="0005404B" w:rsidP="00FF66F9" w:rsidRDefault="001F365B" w14:paraId="32790A6F" w14:textId="2C8067F2">
            <w:pPr>
              <w:rPr>
                <w:lang w:eastAsia="en-US"/>
              </w:rPr>
            </w:pPr>
            <w:r>
              <w:rPr>
                <w:lang w:eastAsia="en-US"/>
              </w:rPr>
              <w:t>Toekenning tweede tranche financiële middelen voor vitale opleidingen in krimpregio's</w:t>
            </w:r>
          </w:p>
        </w:tc>
      </w:tr>
    </w:tbl>
    <w:p w:rsidRPr="00E21DFF" w:rsidR="00493FE1" w:rsidRDefault="00493FE1" w14:paraId="464EBD71" w14:textId="1D1FA79C"/>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21DFF" w:rsidR="00493FE1" w:rsidTr="00A421A1" w14:paraId="48842A75" w14:textId="77777777">
        <w:tc>
          <w:tcPr>
            <w:tcW w:w="2160" w:type="dxa"/>
          </w:tcPr>
          <w:p w:rsidRPr="00E21DFF" w:rsidR="006205C0" w:rsidP="00686AED" w:rsidRDefault="001F365B" w14:paraId="55C67243" w14:textId="77777777">
            <w:pPr>
              <w:pStyle w:val="Colofonkop"/>
              <w:framePr w:hSpace="0" w:wrap="auto" w:hAnchor="text" w:vAnchor="margin" w:xAlign="left" w:yAlign="inline"/>
            </w:pPr>
            <w:r w:rsidRPr="00E21DFF">
              <w:t>Hoger Onderwijs en Studiefinanciering</w:t>
            </w:r>
          </w:p>
          <w:p w:rsidRPr="00E21DFF" w:rsidR="006205C0" w:rsidP="00A421A1" w:rsidRDefault="001F365B" w14:paraId="391A68DB" w14:textId="77777777">
            <w:pPr>
              <w:pStyle w:val="Huisstijl-Gegeven"/>
              <w:spacing w:after="0"/>
            </w:pPr>
            <w:r w:rsidRPr="00E21DFF">
              <w:t xml:space="preserve">Rijnstraat 50 </w:t>
            </w:r>
          </w:p>
          <w:p w:rsidRPr="00E21DFF" w:rsidR="004425A7" w:rsidP="00E972A2" w:rsidRDefault="001F365B" w14:paraId="45355E58" w14:textId="77777777">
            <w:pPr>
              <w:pStyle w:val="Huisstijl-Gegeven"/>
              <w:spacing w:after="0"/>
            </w:pPr>
            <w:r w:rsidRPr="00E21DFF">
              <w:t>Den Haag</w:t>
            </w:r>
          </w:p>
          <w:p w:rsidRPr="00E21DFF" w:rsidR="004425A7" w:rsidP="00E972A2" w:rsidRDefault="001F365B" w14:paraId="2B712612" w14:textId="77777777">
            <w:pPr>
              <w:pStyle w:val="Huisstijl-Gegeven"/>
              <w:spacing w:after="0"/>
            </w:pPr>
            <w:r w:rsidRPr="00E21DFF">
              <w:t>Postbus 16375</w:t>
            </w:r>
          </w:p>
          <w:p w:rsidRPr="00E21DFF" w:rsidR="004425A7" w:rsidP="00E972A2" w:rsidRDefault="001F365B" w14:paraId="2ECE3AAF" w14:textId="77777777">
            <w:pPr>
              <w:pStyle w:val="Huisstijl-Gegeven"/>
              <w:spacing w:after="0"/>
            </w:pPr>
            <w:r w:rsidRPr="00E21DFF">
              <w:t>2500 BJ Den Haag</w:t>
            </w:r>
          </w:p>
          <w:p w:rsidRPr="00596178" w:rsidR="006205C0" w:rsidP="00596178" w:rsidRDefault="001F365B" w14:paraId="2ABA4F62" w14:textId="6BF8C953">
            <w:pPr>
              <w:pStyle w:val="Huisstijl-Gegeven"/>
              <w:spacing w:after="90"/>
            </w:pPr>
            <w:r w:rsidRPr="00E21DFF">
              <w:t>www.rijksoverheid.nl</w:t>
            </w:r>
          </w:p>
        </w:tc>
      </w:tr>
      <w:tr w:rsidRPr="00E21DFF" w:rsidR="00493FE1" w:rsidTr="00A421A1" w14:paraId="519328D6" w14:textId="77777777">
        <w:trPr>
          <w:trHeight w:val="200" w:hRule="exact"/>
        </w:trPr>
        <w:tc>
          <w:tcPr>
            <w:tcW w:w="2160" w:type="dxa"/>
          </w:tcPr>
          <w:p w:rsidRPr="00E21DFF" w:rsidR="006205C0" w:rsidP="00A421A1" w:rsidRDefault="006205C0" w14:paraId="115DABC4" w14:textId="77777777">
            <w:pPr>
              <w:spacing w:after="90" w:line="180" w:lineRule="exact"/>
              <w:rPr>
                <w:sz w:val="13"/>
                <w:szCs w:val="13"/>
                <w:lang w:val="en-US"/>
              </w:rPr>
            </w:pPr>
          </w:p>
        </w:tc>
      </w:tr>
      <w:tr w:rsidRPr="00E21DFF" w:rsidR="00493FE1" w:rsidTr="00A421A1" w14:paraId="021A2C14" w14:textId="77777777">
        <w:trPr>
          <w:trHeight w:val="450"/>
        </w:trPr>
        <w:tc>
          <w:tcPr>
            <w:tcW w:w="2160" w:type="dxa"/>
          </w:tcPr>
          <w:p w:rsidRPr="00E21DFF" w:rsidR="00F51A76" w:rsidP="00A421A1" w:rsidRDefault="001F365B" w14:paraId="15928125" w14:textId="77777777">
            <w:pPr>
              <w:spacing w:line="180" w:lineRule="exact"/>
              <w:rPr>
                <w:b/>
                <w:sz w:val="13"/>
                <w:szCs w:val="13"/>
              </w:rPr>
            </w:pPr>
            <w:r w:rsidRPr="00E21DFF">
              <w:rPr>
                <w:b/>
                <w:sz w:val="13"/>
                <w:szCs w:val="13"/>
              </w:rPr>
              <w:t>Onze referentie</w:t>
            </w:r>
          </w:p>
          <w:p w:rsidR="006205C0" w:rsidP="00215356" w:rsidRDefault="001F365B" w14:paraId="4CE2BF33" w14:textId="42CDE21A">
            <w:pPr>
              <w:spacing w:line="180" w:lineRule="exact"/>
              <w:rPr>
                <w:sz w:val="13"/>
                <w:szCs w:val="13"/>
              </w:rPr>
            </w:pPr>
            <w:r w:rsidRPr="00E21DFF">
              <w:rPr>
                <w:sz w:val="13"/>
                <w:szCs w:val="13"/>
              </w:rPr>
              <w:t>5</w:t>
            </w:r>
            <w:r w:rsidR="00D56AF3">
              <w:rPr>
                <w:sz w:val="13"/>
                <w:szCs w:val="13"/>
              </w:rPr>
              <w:t>2450192</w:t>
            </w:r>
          </w:p>
          <w:p w:rsidRPr="00E21DFF" w:rsidR="00D56AF3" w:rsidP="00D56AF3" w:rsidRDefault="00D56AF3" w14:paraId="30713565" w14:textId="77777777">
            <w:pPr>
              <w:spacing w:line="240" w:lineRule="auto"/>
              <w:textAlignment w:val="baseline"/>
              <w:rPr>
                <w:sz w:val="13"/>
                <w:szCs w:val="13"/>
              </w:rPr>
            </w:pPr>
          </w:p>
        </w:tc>
      </w:tr>
      <w:tr w:rsidRPr="00E21DFF" w:rsidR="00493FE1" w:rsidTr="00D130C0" w14:paraId="0E3DE423" w14:textId="77777777">
        <w:trPr>
          <w:trHeight w:val="113"/>
        </w:trPr>
        <w:tc>
          <w:tcPr>
            <w:tcW w:w="2160" w:type="dxa"/>
          </w:tcPr>
          <w:p w:rsidRPr="00E21DFF" w:rsidR="006205C0" w:rsidP="00D36088" w:rsidRDefault="001F365B" w14:paraId="41199A36" w14:textId="77777777">
            <w:pPr>
              <w:tabs>
                <w:tab w:val="center" w:pos="1080"/>
              </w:tabs>
              <w:spacing w:line="180" w:lineRule="exact"/>
              <w:rPr>
                <w:sz w:val="13"/>
                <w:szCs w:val="13"/>
              </w:rPr>
            </w:pPr>
            <w:r w:rsidRPr="00E21DFF">
              <w:rPr>
                <w:b/>
                <w:sz w:val="13"/>
                <w:szCs w:val="13"/>
              </w:rPr>
              <w:t>Bijlagen</w:t>
            </w:r>
          </w:p>
        </w:tc>
      </w:tr>
      <w:tr w:rsidRPr="00E21DFF" w:rsidR="00493FE1" w:rsidTr="00D130C0" w14:paraId="1690B60E" w14:textId="77777777">
        <w:trPr>
          <w:trHeight w:val="113"/>
        </w:trPr>
        <w:tc>
          <w:tcPr>
            <w:tcW w:w="2160" w:type="dxa"/>
          </w:tcPr>
          <w:p w:rsidRPr="00E21DFF" w:rsidR="006205C0" w:rsidP="00A421A1" w:rsidRDefault="006205C0" w14:paraId="7765C703" w14:textId="1AE4A744">
            <w:pPr>
              <w:spacing w:after="90" w:line="180" w:lineRule="exact"/>
              <w:rPr>
                <w:sz w:val="13"/>
              </w:rPr>
            </w:pPr>
          </w:p>
        </w:tc>
      </w:tr>
    </w:tbl>
    <w:p w:rsidR="00765D1C" w:rsidP="00765D1C" w:rsidRDefault="00765D1C" w14:paraId="1BA5A3A4" w14:textId="77777777">
      <w:pPr>
        <w:rPr>
          <w:szCs w:val="18"/>
        </w:rPr>
      </w:pPr>
      <w:r w:rsidRPr="00C03A8B">
        <w:rPr>
          <w:szCs w:val="18"/>
        </w:rPr>
        <w:t>Hogescholen worden geconfronteerd met de gevolgen van demografische krimp. Hierdoor staat op meerdere plekken het hbo-opleidingsaanbod onder druk. Met deze brief informeer ik u</w:t>
      </w:r>
      <w:r>
        <w:rPr>
          <w:szCs w:val="18"/>
        </w:rPr>
        <w:t>w Kamer</w:t>
      </w:r>
      <w:r w:rsidRPr="00C03A8B">
        <w:rPr>
          <w:szCs w:val="18"/>
        </w:rPr>
        <w:t xml:space="preserve"> over mijn inzet op de korte termijn</w:t>
      </w:r>
      <w:r>
        <w:rPr>
          <w:szCs w:val="18"/>
        </w:rPr>
        <w:t>, met het toekennen van de tweed</w:t>
      </w:r>
      <w:r w:rsidRPr="00C03A8B">
        <w:rPr>
          <w:szCs w:val="18"/>
        </w:rPr>
        <w:t>e tranche financiële middelen voor vitale opleidingen in krimpregio's</w:t>
      </w:r>
      <w:r>
        <w:rPr>
          <w:szCs w:val="18"/>
        </w:rPr>
        <w:t xml:space="preserve">. </w:t>
      </w:r>
    </w:p>
    <w:p w:rsidR="00765D1C" w:rsidP="00765D1C" w:rsidRDefault="00765D1C" w14:paraId="3C838ACB" w14:textId="77777777">
      <w:pPr>
        <w:rPr>
          <w:szCs w:val="18"/>
        </w:rPr>
      </w:pPr>
    </w:p>
    <w:p w:rsidR="00765D1C" w:rsidP="00765D1C" w:rsidRDefault="00765D1C" w14:paraId="1D705AC6" w14:textId="77777777">
      <w:pPr>
        <w:rPr>
          <w:szCs w:val="18"/>
        </w:rPr>
      </w:pPr>
      <w:r>
        <w:rPr>
          <w:szCs w:val="18"/>
        </w:rPr>
        <w:t xml:space="preserve">Deze middelen, in totaal </w:t>
      </w:r>
      <w:r w:rsidRPr="00CC6D5E">
        <w:t>€</w:t>
      </w:r>
      <w:r>
        <w:rPr>
          <w:szCs w:val="18"/>
        </w:rPr>
        <w:t>90 miljoe</w:t>
      </w:r>
      <w:r w:rsidRPr="00156E4A">
        <w:rPr>
          <w:szCs w:val="18"/>
        </w:rPr>
        <w:t>n</w:t>
      </w:r>
      <w:r w:rsidRPr="00433B76">
        <w:rPr>
          <w:rStyle w:val="Voetnootmarkering"/>
          <w:szCs w:val="18"/>
        </w:rPr>
        <w:footnoteReference w:id="2"/>
      </w:r>
      <w:r w:rsidRPr="00433B76">
        <w:rPr>
          <w:szCs w:val="18"/>
        </w:rPr>
        <w:t>,</w:t>
      </w:r>
      <w:r>
        <w:rPr>
          <w:szCs w:val="18"/>
        </w:rPr>
        <w:t xml:space="preserve"> zijn in 2022 beschikbaar gekomen voor sterk krimpende regio’s, met als doel samen een toegankelijk en gevarieerd onderwijsaanbod te behouden dat aansluit op de regionale arbeidsmarkt. </w:t>
      </w:r>
    </w:p>
    <w:p w:rsidR="00765D1C" w:rsidP="00765D1C" w:rsidRDefault="00765D1C" w14:paraId="7A572D47" w14:textId="77777777">
      <w:pPr>
        <w:rPr>
          <w:szCs w:val="18"/>
        </w:rPr>
      </w:pPr>
      <w:r>
        <w:rPr>
          <w:szCs w:val="18"/>
        </w:rPr>
        <w:t>De effecten van dalende studentaantallen, zoals het opheffen van opleidingen of afstudeerrichtingen, kunnen daarmee voorkomen of vertraagd worden.</w:t>
      </w:r>
    </w:p>
    <w:p w:rsidR="00765D1C" w:rsidP="00765D1C" w:rsidRDefault="00765D1C" w14:paraId="7D70E457" w14:textId="77777777">
      <w:pPr>
        <w:rPr>
          <w:szCs w:val="18"/>
        </w:rPr>
      </w:pPr>
    </w:p>
    <w:p w:rsidR="00765D1C" w:rsidP="00765D1C" w:rsidRDefault="00765D1C" w14:paraId="6EF4DF01" w14:textId="77777777">
      <w:r w:rsidRPr="00CC6D5E">
        <w:t xml:space="preserve">In </w:t>
      </w:r>
      <w:r>
        <w:t>mijn</w:t>
      </w:r>
      <w:r w:rsidRPr="00CC6D5E">
        <w:t xml:space="preserve"> </w:t>
      </w:r>
      <w:r>
        <w:t>krimp</w:t>
      </w:r>
      <w:r w:rsidRPr="00CC6D5E">
        <w:t xml:space="preserve">aanpak werk ik via drie actielijnen aan een kwalitatief goed, toegankelijk en doelmatig opleidingsaanbod: </w:t>
      </w:r>
    </w:p>
    <w:p w:rsidRPr="00596178" w:rsidR="00765D1C" w:rsidP="00765D1C" w:rsidRDefault="00765D1C" w14:paraId="431C1DE0" w14:textId="77777777">
      <w:pPr>
        <w:pStyle w:val="Lijstalinea"/>
        <w:numPr>
          <w:ilvl w:val="0"/>
          <w:numId w:val="37"/>
        </w:numPr>
        <w:rPr>
          <w:color w:val="1F497D"/>
          <w:szCs w:val="18"/>
        </w:rPr>
      </w:pPr>
      <w:r w:rsidRPr="00CC6D5E">
        <w:t>het verkennen van mogelijkheden tot verdere stabilisering van de bekostigingssystematiek</w:t>
      </w:r>
      <w:r>
        <w:t>;</w:t>
      </w:r>
    </w:p>
    <w:p w:rsidRPr="00596178" w:rsidR="00765D1C" w:rsidP="00765D1C" w:rsidRDefault="00765D1C" w14:paraId="28B30599" w14:textId="77777777">
      <w:pPr>
        <w:pStyle w:val="Lijstalinea"/>
        <w:numPr>
          <w:ilvl w:val="0"/>
          <w:numId w:val="37"/>
        </w:numPr>
        <w:rPr>
          <w:color w:val="1F497D"/>
          <w:szCs w:val="18"/>
        </w:rPr>
      </w:pPr>
      <w:r w:rsidRPr="00596178">
        <w:rPr>
          <w:rFonts w:cstheme="minorHAnsi"/>
          <w:szCs w:val="18"/>
        </w:rPr>
        <w:t>een beleidskader voor keuzes rond het opleidingsaanbod</w:t>
      </w:r>
      <w:r>
        <w:rPr>
          <w:rFonts w:cstheme="minorHAnsi"/>
          <w:szCs w:val="18"/>
        </w:rPr>
        <w:t>;</w:t>
      </w:r>
      <w:r w:rsidRPr="00596178">
        <w:rPr>
          <w:rFonts w:cstheme="minorHAnsi"/>
          <w:szCs w:val="18"/>
        </w:rPr>
        <w:t xml:space="preserve"> en </w:t>
      </w:r>
    </w:p>
    <w:p w:rsidRPr="00596178" w:rsidR="00765D1C" w:rsidP="00765D1C" w:rsidRDefault="00765D1C" w14:paraId="76EA95A5" w14:textId="77777777">
      <w:pPr>
        <w:pStyle w:val="Lijstalinea"/>
        <w:numPr>
          <w:ilvl w:val="0"/>
          <w:numId w:val="37"/>
        </w:numPr>
        <w:rPr>
          <w:color w:val="1F497D"/>
          <w:szCs w:val="18"/>
        </w:rPr>
      </w:pPr>
      <w:r w:rsidRPr="00596178">
        <w:rPr>
          <w:rFonts w:cstheme="minorHAnsi"/>
          <w:szCs w:val="18"/>
        </w:rPr>
        <w:t>het wettelijk verankeren van een gezamenlijke verantwoordelijkheid voor het opleidingsaanbod.</w:t>
      </w:r>
      <w:r w:rsidRPr="00CC6D5E">
        <w:t xml:space="preserve"> </w:t>
      </w:r>
    </w:p>
    <w:p w:rsidR="00765D1C" w:rsidP="00765D1C" w:rsidRDefault="00765D1C" w14:paraId="207BDDB2" w14:textId="77777777">
      <w:pPr>
        <w:rPr>
          <w:szCs w:val="18"/>
        </w:rPr>
      </w:pPr>
      <w:r w:rsidRPr="00596178">
        <w:rPr>
          <w:szCs w:val="18"/>
        </w:rPr>
        <w:t>Deze maatregelen ontwikkel ik binnen een lange termijnaanpak om opleidingen te behouden die essentieel zijn voor de maatschappij en de arbeidsmarkt, en om kansen te verzilveren voor de Nederlandse economie.</w:t>
      </w:r>
      <w:r>
        <w:rPr>
          <w:rStyle w:val="Voetnootmarkering"/>
          <w:szCs w:val="18"/>
        </w:rPr>
        <w:footnoteReference w:id="3"/>
      </w:r>
      <w:r w:rsidRPr="00596178">
        <w:rPr>
          <w:szCs w:val="18"/>
        </w:rPr>
        <w:t xml:space="preserve"> </w:t>
      </w:r>
      <w:r>
        <w:rPr>
          <w:szCs w:val="18"/>
        </w:rPr>
        <w:t>Z</w:t>
      </w:r>
      <w:r w:rsidRPr="00483AD4">
        <w:rPr>
          <w:szCs w:val="18"/>
        </w:rPr>
        <w:t>oals ik</w:t>
      </w:r>
      <w:r>
        <w:rPr>
          <w:szCs w:val="18"/>
        </w:rPr>
        <w:t xml:space="preserve"> </w:t>
      </w:r>
      <w:r w:rsidRPr="00483AD4">
        <w:rPr>
          <w:szCs w:val="18"/>
        </w:rPr>
        <w:t xml:space="preserve">in mijn beleidsbrief </w:t>
      </w:r>
      <w:r w:rsidRPr="00CC6D5E">
        <w:t>vervolgonderwijs, onderzoek en wetenschap</w:t>
      </w:r>
      <w:r w:rsidRPr="00CC6D5E">
        <w:rPr>
          <w:rStyle w:val="Voetnootmarkering"/>
        </w:rPr>
        <w:footnoteReference w:id="4"/>
      </w:r>
      <w:r>
        <w:t xml:space="preserve"> </w:t>
      </w:r>
      <w:r w:rsidRPr="00483AD4">
        <w:rPr>
          <w:szCs w:val="18"/>
        </w:rPr>
        <w:t>heb aangekondig</w:t>
      </w:r>
      <w:r>
        <w:rPr>
          <w:szCs w:val="18"/>
        </w:rPr>
        <w:t>d werk ik tegelijkertijd aan een</w:t>
      </w:r>
      <w:r w:rsidRPr="00483AD4">
        <w:rPr>
          <w:szCs w:val="18"/>
        </w:rPr>
        <w:t xml:space="preserve"> wijziging van het bekostigingsmodel </w:t>
      </w:r>
      <w:r>
        <w:rPr>
          <w:szCs w:val="18"/>
        </w:rPr>
        <w:t>waarbij ik ook een variant verken voor meer regionale bekostiging.</w:t>
      </w:r>
      <w:r w:rsidRPr="00483AD4">
        <w:rPr>
          <w:szCs w:val="18"/>
        </w:rPr>
        <w:t xml:space="preserve"> </w:t>
      </w:r>
    </w:p>
    <w:p w:rsidRPr="00596178" w:rsidR="00765D1C" w:rsidP="00765D1C" w:rsidRDefault="00765D1C" w14:paraId="4AF4A7CA" w14:textId="77777777">
      <w:pPr>
        <w:rPr>
          <w:color w:val="1F497D"/>
          <w:szCs w:val="18"/>
        </w:rPr>
      </w:pPr>
      <w:r w:rsidRPr="00596178">
        <w:rPr>
          <w:szCs w:val="18"/>
        </w:rPr>
        <w:t xml:space="preserve">Om toe te werken naar meer stabiliteit in de bekostiging zijn sinds dit jaar de kwaliteitsmiddelen toegevoegd aan de vaste voet. Daarmee is de vaste voet </w:t>
      </w:r>
      <w:r w:rsidRPr="00596178">
        <w:rPr>
          <w:szCs w:val="18"/>
        </w:rPr>
        <w:lastRenderedPageBreak/>
        <w:t>hoger geworden en is de bekostiging stabieler geworden voor het hbo en wo omdat een minder groot aandeel van de bekostiging gebaseerd wordt op studentenaantallen.</w:t>
      </w:r>
      <w:r w:rsidRPr="00596178">
        <w:rPr>
          <w:color w:val="1F497D"/>
          <w:szCs w:val="18"/>
        </w:rPr>
        <w:t xml:space="preserve"> </w:t>
      </w:r>
    </w:p>
    <w:p w:rsidR="00765D1C" w:rsidP="00765D1C" w:rsidRDefault="00765D1C" w14:paraId="26D5DE14" w14:textId="77777777">
      <w:pPr>
        <w:rPr>
          <w:szCs w:val="18"/>
        </w:rPr>
      </w:pPr>
    </w:p>
    <w:p w:rsidR="00765D1C" w:rsidP="00765D1C" w:rsidRDefault="00765D1C" w14:paraId="75B57C1B" w14:textId="77777777">
      <w:r>
        <w:rPr>
          <w:szCs w:val="18"/>
        </w:rPr>
        <w:t xml:space="preserve">In voorliggende brief licht ik mijn besluit rond de toekenning van de tweede tranche krimpmiddelen toe. Ik zal daarbij ook ingaan op een aantal voorstellen waarvoor de Vereniging Hogescholen (VH) mijn aandacht heeft gevraagd. </w:t>
      </w:r>
    </w:p>
    <w:p w:rsidRPr="00CC6D5E" w:rsidR="00765D1C" w:rsidP="00765D1C" w:rsidRDefault="00765D1C" w14:paraId="4E6705A7" w14:textId="77777777">
      <w:pPr>
        <w:rPr>
          <w:szCs w:val="18"/>
        </w:rPr>
      </w:pPr>
    </w:p>
    <w:p w:rsidRPr="00CC6D5E" w:rsidR="00765D1C" w:rsidP="00765D1C" w:rsidRDefault="00765D1C" w14:paraId="6150BC98" w14:textId="77777777">
      <w:pPr>
        <w:rPr>
          <w:szCs w:val="18"/>
          <w:u w:val="single"/>
        </w:rPr>
      </w:pPr>
      <w:r>
        <w:rPr>
          <w:szCs w:val="18"/>
          <w:u w:val="single"/>
        </w:rPr>
        <w:t>Besluit t</w:t>
      </w:r>
      <w:r w:rsidRPr="00CC6D5E">
        <w:rPr>
          <w:szCs w:val="18"/>
          <w:u w:val="single"/>
        </w:rPr>
        <w:t>oekenningen tweede tranche krimpmiddelen</w:t>
      </w:r>
    </w:p>
    <w:p w:rsidRPr="00CC6D5E" w:rsidR="00765D1C" w:rsidP="00765D1C" w:rsidRDefault="00765D1C" w14:paraId="716006C1" w14:textId="77777777">
      <w:pPr>
        <w:rPr>
          <w:szCs w:val="18"/>
        </w:rPr>
      </w:pPr>
      <w:r w:rsidRPr="00433B76">
        <w:rPr>
          <w:szCs w:val="18"/>
        </w:rPr>
        <w:t xml:space="preserve">Ik heb de VH verzocht een plan op te stellen voor de verdeling van de tweede tranche krimpmiddelen. </w:t>
      </w:r>
      <w:r w:rsidRPr="00433B76">
        <w:t>In aansluiting op de eerste tranche van € 45 miljoen (2022)</w:t>
      </w:r>
      <w:r>
        <w:t xml:space="preserve"> was</w:t>
      </w:r>
      <w:r w:rsidRPr="00433B76">
        <w:t xml:space="preserve"> voor de tweede tranche eenzelfde bedrag beschikbaar.</w:t>
      </w:r>
      <w:r>
        <w:t xml:space="preserve"> D</w:t>
      </w:r>
      <w:r w:rsidRPr="00433B76">
        <w:t xml:space="preserve">oor indexatie </w:t>
      </w:r>
      <w:r>
        <w:t xml:space="preserve">van dit bedrag is </w:t>
      </w:r>
      <w:r w:rsidRPr="00433B76">
        <w:t xml:space="preserve">€ 50,1 miljoen beschikbaar (prijspeil 2024). </w:t>
      </w:r>
      <w:r w:rsidRPr="00433B76">
        <w:rPr>
          <w:szCs w:val="18"/>
        </w:rPr>
        <w:t xml:space="preserve">Deze middelen </w:t>
      </w:r>
      <w:r>
        <w:rPr>
          <w:szCs w:val="18"/>
        </w:rPr>
        <w:t>worden in 2025 en 2026 aan de rijksbijdrage toegevoegd, waarna de instellingen het kasritme nader kunnen vormgeven</w:t>
      </w:r>
      <w:r w:rsidRPr="005172E6">
        <w:rPr>
          <w:szCs w:val="18"/>
        </w:rPr>
        <w:t>.</w:t>
      </w:r>
    </w:p>
    <w:p w:rsidRPr="00CC6D5E" w:rsidR="00765D1C" w:rsidP="00765D1C" w:rsidRDefault="00765D1C" w14:paraId="0BF01DC4" w14:textId="77777777">
      <w:pPr>
        <w:rPr>
          <w:szCs w:val="18"/>
        </w:rPr>
      </w:pPr>
    </w:p>
    <w:p w:rsidR="00765D1C" w:rsidP="00765D1C" w:rsidRDefault="00765D1C" w14:paraId="15B2A13A" w14:textId="77777777">
      <w:pPr>
        <w:rPr>
          <w:szCs w:val="18"/>
        </w:rPr>
      </w:pPr>
      <w:r w:rsidRPr="00CC6D5E">
        <w:rPr>
          <w:szCs w:val="18"/>
        </w:rPr>
        <w:t xml:space="preserve">Mijn toekenningen binnen de tweede tranche zijn gebaseerd op </w:t>
      </w:r>
      <w:r>
        <w:rPr>
          <w:szCs w:val="18"/>
        </w:rPr>
        <w:t>het</w:t>
      </w:r>
      <w:r w:rsidRPr="00CC6D5E">
        <w:rPr>
          <w:szCs w:val="18"/>
        </w:rPr>
        <w:t xml:space="preserve"> advies van een onafhankelijke stuurgroep onder leiding van </w:t>
      </w:r>
      <w:r>
        <w:rPr>
          <w:szCs w:val="18"/>
        </w:rPr>
        <w:t xml:space="preserve">de heer </w:t>
      </w:r>
      <w:r w:rsidRPr="00CC6D5E">
        <w:rPr>
          <w:szCs w:val="18"/>
        </w:rPr>
        <w:t xml:space="preserve">Michaël van </w:t>
      </w:r>
      <w:proofErr w:type="spellStart"/>
      <w:r w:rsidRPr="00CC6D5E">
        <w:rPr>
          <w:szCs w:val="18"/>
        </w:rPr>
        <w:t>Straalen</w:t>
      </w:r>
      <w:proofErr w:type="spellEnd"/>
      <w:r w:rsidRPr="00CC6D5E">
        <w:rPr>
          <w:szCs w:val="18"/>
        </w:rPr>
        <w:t xml:space="preserve">, in opdracht van de VH. De stuurgroep heeft alle </w:t>
      </w:r>
      <w:r>
        <w:rPr>
          <w:szCs w:val="18"/>
        </w:rPr>
        <w:t xml:space="preserve">ingediende voorstellen </w:t>
      </w:r>
      <w:r w:rsidRPr="00CC6D5E">
        <w:rPr>
          <w:szCs w:val="18"/>
        </w:rPr>
        <w:t xml:space="preserve">beoordeeld op basis van heldere criteria, waaronder arbeidsmarktrelevantie, onderwijsinfrastructuur en transitiegerichtheid. Hiervoor heeft de stuurgroep in 2022 </w:t>
      </w:r>
      <w:r>
        <w:rPr>
          <w:szCs w:val="18"/>
        </w:rPr>
        <w:t xml:space="preserve">(bij de eerste tranche) reeds </w:t>
      </w:r>
      <w:r w:rsidRPr="00CC6D5E">
        <w:rPr>
          <w:szCs w:val="18"/>
        </w:rPr>
        <w:t xml:space="preserve">een beoordelings- en afwegingskader ontworpen. </w:t>
      </w:r>
      <w:r>
        <w:rPr>
          <w:szCs w:val="18"/>
        </w:rPr>
        <w:t>Voor</w:t>
      </w:r>
      <w:r w:rsidRPr="00CC6D5E">
        <w:rPr>
          <w:szCs w:val="18"/>
        </w:rPr>
        <w:t xml:space="preserve"> de tweede tranche is uitgegaan van hetzelfde beoordelings- en afwegingskader. </w:t>
      </w:r>
    </w:p>
    <w:p w:rsidR="00765D1C" w:rsidP="00765D1C" w:rsidRDefault="00765D1C" w14:paraId="00DFEA51" w14:textId="77777777">
      <w:pPr>
        <w:rPr>
          <w:szCs w:val="18"/>
        </w:rPr>
      </w:pPr>
    </w:p>
    <w:p w:rsidR="00765D1C" w:rsidP="00765D1C" w:rsidRDefault="00765D1C" w14:paraId="292CDA67" w14:textId="77777777">
      <w:r>
        <w:rPr>
          <w:szCs w:val="18"/>
        </w:rPr>
        <w:t xml:space="preserve">In deze tweede tranche </w:t>
      </w:r>
      <w:r w:rsidRPr="00CC6D5E">
        <w:rPr>
          <w:szCs w:val="18"/>
        </w:rPr>
        <w:t>heb ik</w:t>
      </w:r>
      <w:r>
        <w:rPr>
          <w:szCs w:val="18"/>
        </w:rPr>
        <w:t xml:space="preserve"> </w:t>
      </w:r>
      <w:r w:rsidRPr="00CC6D5E">
        <w:rPr>
          <w:szCs w:val="18"/>
        </w:rPr>
        <w:t xml:space="preserve">aandacht gevraagd voor structurele oplossingen via de zogenaamde transitieplannen. Dit omdat bleek dat in de eerste tranche veel middelen werden aangevraagd voor de instandhouding van opleidingen en minder werd toegewerkt naar lange termijnoplossingen (transitie). Als richtlijn heb ik aangegeven dat circa twee derde van de </w:t>
      </w:r>
      <w:r>
        <w:rPr>
          <w:szCs w:val="18"/>
        </w:rPr>
        <w:t>ingediende plannen</w:t>
      </w:r>
      <w:r w:rsidRPr="00CC6D5E">
        <w:rPr>
          <w:szCs w:val="18"/>
        </w:rPr>
        <w:t xml:space="preserve"> gericht </w:t>
      </w:r>
      <w:r>
        <w:rPr>
          <w:szCs w:val="18"/>
        </w:rPr>
        <w:t>moeten</w:t>
      </w:r>
      <w:r w:rsidRPr="00CC6D5E">
        <w:rPr>
          <w:szCs w:val="18"/>
        </w:rPr>
        <w:t xml:space="preserve"> zijn op transitie, en één derde op instandhouding. </w:t>
      </w:r>
      <w:r w:rsidRPr="00CC6D5E">
        <w:t xml:space="preserve">Ook heb ik specifiek aandacht gevraagd voor grote opleidingen binnen kleine instellingen, </w:t>
      </w:r>
      <w:r>
        <w:t>zoals</w:t>
      </w:r>
      <w:r w:rsidRPr="00CC6D5E">
        <w:t xml:space="preserve"> </w:t>
      </w:r>
      <w:proofErr w:type="spellStart"/>
      <w:r w:rsidRPr="00CC6D5E">
        <w:t>monosectorale</w:t>
      </w:r>
      <w:proofErr w:type="spellEnd"/>
      <w:r w:rsidRPr="00CC6D5E">
        <w:t xml:space="preserve"> </w:t>
      </w:r>
      <w:proofErr w:type="spellStart"/>
      <w:r w:rsidRPr="00CC6D5E">
        <w:t>pabo</w:t>
      </w:r>
      <w:r>
        <w:t>’s</w:t>
      </w:r>
      <w:proofErr w:type="spellEnd"/>
      <w:r>
        <w:t xml:space="preserve"> als</w:t>
      </w:r>
      <w:r w:rsidRPr="00CC6D5E">
        <w:t xml:space="preserve"> hogeschool </w:t>
      </w:r>
      <w:proofErr w:type="spellStart"/>
      <w:r w:rsidRPr="00CC6D5E">
        <w:t>Iselinge</w:t>
      </w:r>
      <w:proofErr w:type="spellEnd"/>
      <w:r>
        <w:t>,</w:t>
      </w:r>
      <w:r w:rsidRPr="00CC6D5E">
        <w:t xml:space="preserve"> die vanwege de gehanteerde criteria in de eerste tranche niet in aanmerking kwamen voor deze middelen. In de tweede tranche zijn deze opleidingen wel meegenomen, gelet op hun kwetsbare positie en het belang van hun bijdrage aan de regionale onderwijsvoorziening.</w:t>
      </w:r>
      <w:r>
        <w:t xml:space="preserve"> </w:t>
      </w:r>
      <w:r w:rsidRPr="00CC6D5E">
        <w:t xml:space="preserve">Daarnaast is </w:t>
      </w:r>
      <w:r>
        <w:t xml:space="preserve">de </w:t>
      </w:r>
      <w:r w:rsidRPr="00CC6D5E">
        <w:t xml:space="preserve">voorbereidingstijd </w:t>
      </w:r>
      <w:r>
        <w:t>voor de instellingen verruimd</w:t>
      </w:r>
      <w:r w:rsidRPr="00CC6D5E">
        <w:t xml:space="preserve"> voor de tweede tranche, zodat instellingen voldoende gelegenheid hadden om hun </w:t>
      </w:r>
      <w:r>
        <w:t>voorstellen</w:t>
      </w:r>
      <w:r w:rsidRPr="00CC6D5E">
        <w:t xml:space="preserve"> te ontwikkelen. </w:t>
      </w:r>
      <w:r>
        <w:t>Ook</w:t>
      </w:r>
      <w:r w:rsidRPr="00CC6D5E">
        <w:t xml:space="preserve"> zijn voorlichtingssessies georganiseerd door de stuurgroep en de VH om hogescholen te inspireren en ondersteunen bij het ontwikkelen van hun </w:t>
      </w:r>
      <w:r>
        <w:t>voorstellen</w:t>
      </w:r>
      <w:r w:rsidRPr="00CC6D5E">
        <w:t xml:space="preserve">. </w:t>
      </w:r>
      <w:bookmarkStart w:name="_Hlk197589467" w:id="0"/>
    </w:p>
    <w:p w:rsidR="00765D1C" w:rsidP="00765D1C" w:rsidRDefault="00765D1C" w14:paraId="38C36501" w14:textId="77777777"/>
    <w:p w:rsidR="00765D1C" w:rsidP="00765D1C" w:rsidRDefault="00765D1C" w14:paraId="3B06B68F" w14:textId="77777777">
      <w:pPr>
        <w:rPr>
          <w:rFonts w:cs="Calibri"/>
          <w:szCs w:val="18"/>
        </w:rPr>
      </w:pPr>
      <w:r>
        <w:t>Deze</w:t>
      </w:r>
      <w:r>
        <w:rPr>
          <w:rFonts w:cs="Calibri"/>
          <w:szCs w:val="18"/>
        </w:rPr>
        <w:t xml:space="preserve"> extra inzet in de voorbereidingsfase heeft zijn vruchten afgeworpen. In de tweede tranche is bij de ingediende voorstellen veel aandacht voor transitieplannen met daarin lange termijnoplossingen. Zo zijn er voorstellen ontvangen vanuit onderwijsopleidingen waarbij men werkt </w:t>
      </w:r>
      <w:r w:rsidRPr="002643AC">
        <w:rPr>
          <w:rFonts w:cs="Calibri"/>
          <w:szCs w:val="18"/>
        </w:rPr>
        <w:t xml:space="preserve">met leeruitkomsten. Door </w:t>
      </w:r>
      <w:r>
        <w:rPr>
          <w:rFonts w:cs="Calibri"/>
          <w:szCs w:val="18"/>
        </w:rPr>
        <w:t>de leeruitkomsten</w:t>
      </w:r>
      <w:r w:rsidRPr="002643AC">
        <w:rPr>
          <w:rFonts w:cs="Calibri"/>
          <w:szCs w:val="18"/>
        </w:rPr>
        <w:t xml:space="preserve"> gezamenlijk te formuleren ontstaat de mogelijkheid om deze op een efficiëntere wijze aan te bieden aan een grotere groep studenten.</w:t>
      </w:r>
      <w:r w:rsidRPr="008741D9">
        <w:rPr>
          <w:rFonts w:cs="Calibri"/>
          <w:szCs w:val="18"/>
        </w:rPr>
        <w:t xml:space="preserve"> </w:t>
      </w:r>
      <w:r>
        <w:rPr>
          <w:rFonts w:cs="Calibri"/>
          <w:szCs w:val="18"/>
        </w:rPr>
        <w:t xml:space="preserve">Bijkomend positief effect is dat deze manier van werken de </w:t>
      </w:r>
      <w:r w:rsidRPr="002643AC">
        <w:rPr>
          <w:rFonts w:cs="Calibri"/>
          <w:szCs w:val="18"/>
        </w:rPr>
        <w:t xml:space="preserve">doorstroom en </w:t>
      </w:r>
      <w:r>
        <w:rPr>
          <w:rFonts w:cs="Calibri"/>
          <w:szCs w:val="18"/>
        </w:rPr>
        <w:t>overstap</w:t>
      </w:r>
      <w:r w:rsidRPr="002643AC">
        <w:rPr>
          <w:rFonts w:cs="Calibri"/>
          <w:szCs w:val="18"/>
        </w:rPr>
        <w:t xml:space="preserve"> van studenten tussen de opleidingen</w:t>
      </w:r>
      <w:r>
        <w:rPr>
          <w:rFonts w:cs="Calibri"/>
          <w:szCs w:val="18"/>
        </w:rPr>
        <w:t xml:space="preserve"> vergemakkelijkt</w:t>
      </w:r>
      <w:r w:rsidRPr="002643AC">
        <w:rPr>
          <w:rFonts w:cs="Calibri"/>
          <w:szCs w:val="18"/>
        </w:rPr>
        <w:t>.</w:t>
      </w:r>
    </w:p>
    <w:p w:rsidR="00765D1C" w:rsidP="00765D1C" w:rsidRDefault="00765D1C" w14:paraId="0B96705B" w14:textId="77777777">
      <w:pPr>
        <w:pStyle w:val="xmsonormal"/>
        <w:spacing w:line="240" w:lineRule="atLeast"/>
        <w:rPr>
          <w:rFonts w:ascii="Verdana" w:hAnsi="Verdana" w:cs="Calibri"/>
          <w:sz w:val="18"/>
          <w:szCs w:val="18"/>
        </w:rPr>
      </w:pPr>
      <w:r>
        <w:rPr>
          <w:rFonts w:ascii="Verdana" w:hAnsi="Verdana" w:cs="Calibri"/>
          <w:sz w:val="18"/>
          <w:szCs w:val="18"/>
        </w:rPr>
        <w:lastRenderedPageBreak/>
        <w:t xml:space="preserve">In andere voorstellen zette men in op het </w:t>
      </w:r>
      <w:r w:rsidRPr="002643AC">
        <w:rPr>
          <w:rFonts w:ascii="Verdana" w:hAnsi="Verdana" w:cs="Calibri"/>
          <w:sz w:val="18"/>
          <w:szCs w:val="18"/>
        </w:rPr>
        <w:t>clusteren van verschillende opleidingen</w:t>
      </w:r>
      <w:r>
        <w:rPr>
          <w:rFonts w:ascii="Verdana" w:hAnsi="Verdana" w:cs="Calibri"/>
          <w:sz w:val="18"/>
          <w:szCs w:val="18"/>
        </w:rPr>
        <w:t xml:space="preserve">. Zo werken in één aanvraag vier </w:t>
      </w:r>
      <w:r w:rsidRPr="002643AC">
        <w:rPr>
          <w:rFonts w:ascii="Verdana" w:hAnsi="Verdana" w:cs="Calibri"/>
          <w:sz w:val="18"/>
          <w:szCs w:val="18"/>
        </w:rPr>
        <w:t>agrarische opleidingen samen. Hierdoor ontstaat meer synergie</w:t>
      </w:r>
      <w:r>
        <w:rPr>
          <w:rFonts w:ascii="Verdana" w:hAnsi="Verdana" w:cs="Calibri"/>
          <w:sz w:val="18"/>
          <w:szCs w:val="18"/>
        </w:rPr>
        <w:t xml:space="preserve">, zet men in op vernieuwing en sluiten instellingen aan bij </w:t>
      </w:r>
      <w:r w:rsidRPr="002643AC">
        <w:rPr>
          <w:rFonts w:ascii="Verdana" w:hAnsi="Verdana" w:cs="Calibri"/>
          <w:sz w:val="18"/>
          <w:szCs w:val="18"/>
        </w:rPr>
        <w:t>de landelijke en regionale transities in het werkveld.</w:t>
      </w:r>
      <w:r>
        <w:rPr>
          <w:rFonts w:ascii="Verdana" w:hAnsi="Verdana" w:cs="Calibri"/>
          <w:sz w:val="18"/>
          <w:szCs w:val="18"/>
        </w:rPr>
        <w:t xml:space="preserve"> </w:t>
      </w:r>
      <w:r w:rsidRPr="002643AC">
        <w:rPr>
          <w:rFonts w:ascii="Verdana" w:hAnsi="Verdana" w:cs="Calibri"/>
          <w:sz w:val="18"/>
          <w:szCs w:val="18"/>
        </w:rPr>
        <w:t>Daarnaast brengt men focus aan in het aanbod</w:t>
      </w:r>
      <w:r>
        <w:rPr>
          <w:rFonts w:ascii="Verdana" w:hAnsi="Verdana" w:cs="Calibri"/>
          <w:sz w:val="18"/>
          <w:szCs w:val="18"/>
        </w:rPr>
        <w:t xml:space="preserve"> van minors</w:t>
      </w:r>
      <w:r w:rsidRPr="002643AC">
        <w:rPr>
          <w:rFonts w:ascii="Verdana" w:hAnsi="Verdana" w:cs="Calibri"/>
          <w:sz w:val="18"/>
          <w:szCs w:val="18"/>
        </w:rPr>
        <w:t xml:space="preserve"> om zo een helder en aansprekend aanbod te creëren. Hierdoor stijgt </w:t>
      </w:r>
      <w:r>
        <w:rPr>
          <w:rFonts w:ascii="Verdana" w:hAnsi="Verdana" w:cs="Calibri"/>
          <w:sz w:val="18"/>
          <w:szCs w:val="18"/>
        </w:rPr>
        <w:t xml:space="preserve">naar verwachting </w:t>
      </w:r>
      <w:r w:rsidRPr="002643AC">
        <w:rPr>
          <w:rFonts w:ascii="Verdana" w:hAnsi="Verdana" w:cs="Calibri"/>
          <w:sz w:val="18"/>
          <w:szCs w:val="18"/>
        </w:rPr>
        <w:t>het aantal deelnemers per minor</w:t>
      </w:r>
      <w:r>
        <w:rPr>
          <w:rFonts w:ascii="Verdana" w:hAnsi="Verdana" w:cs="Calibri"/>
          <w:sz w:val="18"/>
          <w:szCs w:val="18"/>
        </w:rPr>
        <w:t>,</w:t>
      </w:r>
      <w:r w:rsidRPr="002643AC">
        <w:rPr>
          <w:rFonts w:ascii="Verdana" w:hAnsi="Verdana" w:cs="Calibri"/>
          <w:sz w:val="18"/>
          <w:szCs w:val="18"/>
        </w:rPr>
        <w:t xml:space="preserve"> waardoor deze beter in stand gehouden </w:t>
      </w:r>
      <w:r>
        <w:rPr>
          <w:rFonts w:ascii="Verdana" w:hAnsi="Verdana" w:cs="Calibri"/>
          <w:sz w:val="18"/>
          <w:szCs w:val="18"/>
        </w:rPr>
        <w:t>kunnen</w:t>
      </w:r>
      <w:r w:rsidRPr="002643AC">
        <w:rPr>
          <w:rFonts w:ascii="Verdana" w:hAnsi="Verdana" w:cs="Calibri"/>
          <w:sz w:val="18"/>
          <w:szCs w:val="18"/>
        </w:rPr>
        <w:t xml:space="preserve"> worden.</w:t>
      </w:r>
      <w:r>
        <w:rPr>
          <w:rFonts w:ascii="Verdana" w:hAnsi="Verdana" w:cs="Calibri"/>
          <w:sz w:val="18"/>
          <w:szCs w:val="18"/>
        </w:rPr>
        <w:t xml:space="preserve"> </w:t>
      </w:r>
    </w:p>
    <w:p w:rsidR="00765D1C" w:rsidP="00765D1C" w:rsidRDefault="00765D1C" w14:paraId="256115D2" w14:textId="77777777">
      <w:pPr>
        <w:pStyle w:val="xmsonormal"/>
        <w:spacing w:line="240" w:lineRule="atLeast"/>
        <w:rPr>
          <w:rFonts w:ascii="Verdana" w:hAnsi="Verdana" w:cs="Calibri"/>
          <w:sz w:val="18"/>
          <w:szCs w:val="18"/>
        </w:rPr>
      </w:pPr>
    </w:p>
    <w:p w:rsidRPr="00BC7315" w:rsidR="00765D1C" w:rsidP="00765D1C" w:rsidRDefault="00765D1C" w14:paraId="188EED10" w14:textId="77777777">
      <w:pPr>
        <w:rPr>
          <w:szCs w:val="18"/>
          <w:lang w:eastAsia="en-US"/>
        </w:rPr>
      </w:pPr>
      <w:r>
        <w:rPr>
          <w:rFonts w:cs="Calibri"/>
          <w:szCs w:val="18"/>
        </w:rPr>
        <w:t>In de genoemde voorbeelden</w:t>
      </w:r>
      <w:r w:rsidRPr="002643AC">
        <w:rPr>
          <w:rFonts w:cs="Calibri"/>
          <w:szCs w:val="18"/>
        </w:rPr>
        <w:t xml:space="preserve"> geldt dat</w:t>
      </w:r>
      <w:r>
        <w:rPr>
          <w:rFonts w:cs="Calibri"/>
          <w:szCs w:val="18"/>
        </w:rPr>
        <w:t xml:space="preserve"> tijdelijk extra middelen ingezet worden </w:t>
      </w:r>
      <w:r w:rsidRPr="003728C3">
        <w:rPr>
          <w:rFonts w:cs="Calibri"/>
          <w:szCs w:val="18"/>
        </w:rPr>
        <w:t>om</w:t>
      </w:r>
      <w:r>
        <w:rPr>
          <w:rFonts w:cs="Calibri"/>
          <w:szCs w:val="18"/>
        </w:rPr>
        <w:t xml:space="preserve"> toe te werken naar een toekomstbestendige situatie. </w:t>
      </w:r>
      <w:bookmarkStart w:name="_Hlk197589441" w:id="1"/>
      <w:bookmarkEnd w:id="0"/>
      <w:r w:rsidRPr="00BC7315">
        <w:rPr>
          <w:szCs w:val="18"/>
          <w:lang w:eastAsia="en-US"/>
        </w:rPr>
        <w:t>Ook in het licht van de bedoeling van het amendement Bontenbal</w:t>
      </w:r>
      <w:r>
        <w:rPr>
          <w:rStyle w:val="Voetnootmarkering"/>
          <w:szCs w:val="18"/>
          <w:lang w:eastAsia="en-US"/>
        </w:rPr>
        <w:footnoteReference w:id="5"/>
      </w:r>
      <w:r w:rsidRPr="00BC7315">
        <w:rPr>
          <w:szCs w:val="18"/>
          <w:lang w:eastAsia="en-US"/>
        </w:rPr>
        <w:t xml:space="preserve"> om het onderwijs in (krimp)regio’s ook naar de toekomst toe te borgen, is de uitkering van deze middelen van belang. Instellingen die in aanmerking komen voor deze middelen zijn bovendien vaak gelegen in regio’s zoals benoemd in het amendement van Bontenbal.</w:t>
      </w:r>
    </w:p>
    <w:bookmarkEnd w:id="1"/>
    <w:p w:rsidRPr="00F85E29" w:rsidR="00765D1C" w:rsidP="00765D1C" w:rsidRDefault="00765D1C" w14:paraId="3E293523" w14:textId="77777777">
      <w:pPr>
        <w:pStyle w:val="xmsonormal"/>
        <w:spacing w:line="240" w:lineRule="atLeast"/>
        <w:rPr>
          <w:rFonts w:ascii="Verdana" w:hAnsi="Verdana" w:cs="Calibri"/>
          <w:sz w:val="18"/>
          <w:szCs w:val="18"/>
        </w:rPr>
      </w:pPr>
    </w:p>
    <w:p w:rsidR="00765D1C" w:rsidP="00765D1C" w:rsidRDefault="00765D1C" w14:paraId="4DE84DA4" w14:textId="77777777">
      <w:pPr>
        <w:pStyle w:val="xmsonormal"/>
        <w:spacing w:line="240" w:lineRule="atLeast"/>
        <w:rPr>
          <w:rFonts w:ascii="Verdana" w:hAnsi="Verdana" w:cs="Calibri"/>
          <w:sz w:val="18"/>
          <w:szCs w:val="18"/>
        </w:rPr>
      </w:pPr>
      <w:r w:rsidRPr="00483AD4">
        <w:rPr>
          <w:rFonts w:ascii="Verdana" w:hAnsi="Verdana" w:cs="Calibri"/>
          <w:sz w:val="18"/>
          <w:szCs w:val="18"/>
        </w:rPr>
        <w:t xml:space="preserve">In totaal </w:t>
      </w:r>
      <w:r>
        <w:rPr>
          <w:rFonts w:ascii="Verdana" w:hAnsi="Verdana" w:cs="Calibri"/>
          <w:sz w:val="18"/>
          <w:szCs w:val="18"/>
        </w:rPr>
        <w:t>hebben</w:t>
      </w:r>
      <w:r w:rsidRPr="00483AD4">
        <w:rPr>
          <w:rFonts w:ascii="Verdana" w:hAnsi="Verdana" w:cs="Calibri"/>
          <w:sz w:val="18"/>
          <w:szCs w:val="18"/>
        </w:rPr>
        <w:t xml:space="preserve"> veertien hogescholen in krimpgebieden 256 </w:t>
      </w:r>
      <w:r>
        <w:rPr>
          <w:rFonts w:ascii="Verdana" w:hAnsi="Verdana" w:cs="Calibri"/>
          <w:sz w:val="18"/>
          <w:szCs w:val="18"/>
        </w:rPr>
        <w:t>voorstellen</w:t>
      </w:r>
      <w:r w:rsidRPr="00483AD4">
        <w:rPr>
          <w:rFonts w:ascii="Verdana" w:hAnsi="Verdana" w:cs="Calibri"/>
          <w:sz w:val="18"/>
          <w:szCs w:val="18"/>
        </w:rPr>
        <w:t xml:space="preserve"> ingediend</w:t>
      </w:r>
      <w:r>
        <w:rPr>
          <w:rFonts w:ascii="Verdana" w:hAnsi="Verdana" w:cs="Calibri"/>
          <w:sz w:val="18"/>
          <w:szCs w:val="18"/>
        </w:rPr>
        <w:t>,</w:t>
      </w:r>
      <w:r w:rsidRPr="00483AD4">
        <w:rPr>
          <w:rFonts w:ascii="Verdana" w:hAnsi="Verdana" w:cs="Calibri"/>
          <w:sz w:val="18"/>
          <w:szCs w:val="18"/>
        </w:rPr>
        <w:t xml:space="preserve"> met een gezamenlijk omvang van bijna € 120 miljoen</w:t>
      </w:r>
      <w:r>
        <w:rPr>
          <w:rFonts w:ascii="Verdana" w:hAnsi="Verdana" w:cs="Calibri"/>
          <w:sz w:val="18"/>
          <w:szCs w:val="18"/>
        </w:rPr>
        <w:t>. De hogescholen die voorstellen hebben ingediend, zijn</w:t>
      </w:r>
      <w:r w:rsidRPr="00483AD4">
        <w:rPr>
          <w:rFonts w:ascii="Verdana" w:hAnsi="Verdana" w:cs="Calibri"/>
          <w:sz w:val="18"/>
          <w:szCs w:val="18"/>
        </w:rPr>
        <w:t xml:space="preserve"> </w:t>
      </w:r>
      <w:proofErr w:type="spellStart"/>
      <w:r w:rsidRPr="00483AD4">
        <w:rPr>
          <w:rFonts w:ascii="Verdana" w:hAnsi="Verdana" w:cs="Calibri"/>
          <w:sz w:val="18"/>
          <w:szCs w:val="18"/>
        </w:rPr>
        <w:t>Aeres</w:t>
      </w:r>
      <w:proofErr w:type="spellEnd"/>
      <w:r w:rsidRPr="00483AD4">
        <w:rPr>
          <w:rFonts w:ascii="Verdana" w:hAnsi="Verdana" w:cs="Calibri"/>
          <w:sz w:val="18"/>
          <w:szCs w:val="18"/>
        </w:rPr>
        <w:t xml:space="preserve"> Hogeschool, </w:t>
      </w:r>
      <w:proofErr w:type="spellStart"/>
      <w:r w:rsidRPr="00483AD4">
        <w:rPr>
          <w:rFonts w:ascii="Verdana" w:hAnsi="Verdana" w:cs="Calibri"/>
          <w:sz w:val="18"/>
          <w:szCs w:val="18"/>
        </w:rPr>
        <w:t>Avans</w:t>
      </w:r>
      <w:proofErr w:type="spellEnd"/>
      <w:r w:rsidRPr="00483AD4">
        <w:rPr>
          <w:rFonts w:ascii="Verdana" w:hAnsi="Verdana" w:cs="Calibri"/>
          <w:sz w:val="18"/>
          <w:szCs w:val="18"/>
        </w:rPr>
        <w:t xml:space="preserve"> Hogeschool, Christelijke Hogeschool Windesheim, </w:t>
      </w:r>
      <w:proofErr w:type="spellStart"/>
      <w:r w:rsidRPr="00483AD4">
        <w:rPr>
          <w:rFonts w:ascii="Verdana" w:hAnsi="Verdana" w:cs="Calibri"/>
          <w:sz w:val="18"/>
          <w:szCs w:val="18"/>
        </w:rPr>
        <w:t>Fontys</w:t>
      </w:r>
      <w:proofErr w:type="spellEnd"/>
      <w:r w:rsidRPr="00483AD4">
        <w:rPr>
          <w:rFonts w:ascii="Verdana" w:hAnsi="Verdana" w:cs="Calibri"/>
          <w:sz w:val="18"/>
          <w:szCs w:val="18"/>
        </w:rPr>
        <w:t xml:space="preserve"> Hogeschool, Hanzehogeschool Groningen, HAS green </w:t>
      </w:r>
      <w:proofErr w:type="spellStart"/>
      <w:r w:rsidRPr="00483AD4">
        <w:rPr>
          <w:rFonts w:ascii="Verdana" w:hAnsi="Verdana" w:cs="Calibri"/>
          <w:sz w:val="18"/>
          <w:szCs w:val="18"/>
        </w:rPr>
        <w:t>academy</w:t>
      </w:r>
      <w:proofErr w:type="spellEnd"/>
      <w:r w:rsidRPr="00483AD4">
        <w:rPr>
          <w:rFonts w:ascii="Verdana" w:hAnsi="Verdana" w:cs="Calibri"/>
          <w:sz w:val="18"/>
          <w:szCs w:val="18"/>
        </w:rPr>
        <w:t xml:space="preserve">, Hogeschool KPZ, Hogeschool van Arnhem en Nijmegen, Hogeschool Van Hall </w:t>
      </w:r>
      <w:proofErr w:type="spellStart"/>
      <w:r w:rsidRPr="00483AD4">
        <w:rPr>
          <w:rFonts w:ascii="Verdana" w:hAnsi="Verdana" w:cs="Calibri"/>
          <w:sz w:val="18"/>
          <w:szCs w:val="18"/>
        </w:rPr>
        <w:t>Larenstein</w:t>
      </w:r>
      <w:proofErr w:type="spellEnd"/>
      <w:r w:rsidRPr="00483AD4">
        <w:rPr>
          <w:rFonts w:ascii="Verdana" w:hAnsi="Verdana" w:cs="Calibri"/>
          <w:sz w:val="18"/>
          <w:szCs w:val="18"/>
        </w:rPr>
        <w:t xml:space="preserve">, HZ University of </w:t>
      </w:r>
      <w:proofErr w:type="spellStart"/>
      <w:r w:rsidRPr="00483AD4">
        <w:rPr>
          <w:rFonts w:ascii="Verdana" w:hAnsi="Verdana" w:cs="Calibri"/>
          <w:sz w:val="18"/>
          <w:szCs w:val="18"/>
        </w:rPr>
        <w:t>Applied</w:t>
      </w:r>
      <w:proofErr w:type="spellEnd"/>
      <w:r w:rsidRPr="00483AD4">
        <w:rPr>
          <w:rFonts w:ascii="Verdana" w:hAnsi="Verdana" w:cs="Calibri"/>
          <w:sz w:val="18"/>
          <w:szCs w:val="18"/>
        </w:rPr>
        <w:t xml:space="preserve"> Sciences, </w:t>
      </w:r>
      <w:proofErr w:type="spellStart"/>
      <w:r w:rsidRPr="00483AD4">
        <w:rPr>
          <w:rFonts w:ascii="Verdana" w:hAnsi="Verdana" w:cs="Calibri"/>
          <w:sz w:val="18"/>
          <w:szCs w:val="18"/>
        </w:rPr>
        <w:t>Iselinge</w:t>
      </w:r>
      <w:proofErr w:type="spellEnd"/>
      <w:r w:rsidRPr="00483AD4">
        <w:rPr>
          <w:rFonts w:ascii="Verdana" w:hAnsi="Verdana" w:cs="Calibri"/>
          <w:sz w:val="18"/>
          <w:szCs w:val="18"/>
        </w:rPr>
        <w:t xml:space="preserve"> Hogeschool, NHL Stenden Hogeschool, Saxion Hogeschool en Zuyd Hogeschool. </w:t>
      </w:r>
    </w:p>
    <w:p w:rsidR="00765D1C" w:rsidP="00765D1C" w:rsidRDefault="00765D1C" w14:paraId="63F762D2" w14:textId="77777777">
      <w:pPr>
        <w:pStyle w:val="xmsonormal"/>
        <w:spacing w:line="240" w:lineRule="atLeast"/>
        <w:rPr>
          <w:rFonts w:ascii="Verdana" w:hAnsi="Verdana" w:cs="Calibri"/>
          <w:sz w:val="18"/>
          <w:szCs w:val="18"/>
        </w:rPr>
      </w:pPr>
    </w:p>
    <w:p w:rsidRPr="00483AD4" w:rsidR="00765D1C" w:rsidP="00765D1C" w:rsidRDefault="00765D1C" w14:paraId="2496EEC1" w14:textId="77777777">
      <w:pPr>
        <w:pStyle w:val="xmsonormal"/>
        <w:spacing w:line="240" w:lineRule="atLeast"/>
        <w:rPr>
          <w:rFonts w:ascii="Verdana" w:hAnsi="Verdana" w:cs="Calibri"/>
          <w:sz w:val="18"/>
          <w:szCs w:val="18"/>
        </w:rPr>
      </w:pPr>
      <w:r w:rsidRPr="00483AD4">
        <w:rPr>
          <w:rFonts w:ascii="Verdana" w:hAnsi="Verdana" w:cs="Calibri"/>
          <w:sz w:val="18"/>
          <w:szCs w:val="18"/>
        </w:rPr>
        <w:t xml:space="preserve">Van de ingediende </w:t>
      </w:r>
      <w:r>
        <w:rPr>
          <w:rFonts w:ascii="Verdana" w:hAnsi="Verdana" w:cs="Calibri"/>
          <w:sz w:val="18"/>
          <w:szCs w:val="18"/>
        </w:rPr>
        <w:t>voorstellen</w:t>
      </w:r>
      <w:r w:rsidRPr="00483AD4">
        <w:rPr>
          <w:rFonts w:ascii="Verdana" w:hAnsi="Verdana" w:cs="Calibri"/>
          <w:sz w:val="18"/>
          <w:szCs w:val="18"/>
        </w:rPr>
        <w:t xml:space="preserve"> heeft de stuurgroep € 49,2 miljoen aan lange termijnoplossingen/ transitiemaatregelen positief beoordeeld. Voor de instandhouding van opleidingen (korte termijn ondersteuning) is € 24,2 miljoen </w:t>
      </w:r>
      <w:r>
        <w:rPr>
          <w:rFonts w:ascii="Verdana" w:hAnsi="Verdana" w:cs="Calibri"/>
          <w:sz w:val="18"/>
          <w:szCs w:val="18"/>
        </w:rPr>
        <w:t>adequaat</w:t>
      </w:r>
      <w:r w:rsidRPr="00483AD4">
        <w:rPr>
          <w:rFonts w:ascii="Verdana" w:hAnsi="Verdana" w:cs="Calibri"/>
          <w:sz w:val="18"/>
          <w:szCs w:val="18"/>
        </w:rPr>
        <w:t xml:space="preserve"> bevonden</w:t>
      </w:r>
      <w:r>
        <w:rPr>
          <w:rFonts w:ascii="Verdana" w:hAnsi="Verdana" w:cs="Calibri"/>
          <w:sz w:val="18"/>
          <w:szCs w:val="18"/>
        </w:rPr>
        <w:t xml:space="preserve"> om te financieren</w:t>
      </w:r>
      <w:r w:rsidRPr="00483AD4">
        <w:rPr>
          <w:rFonts w:ascii="Verdana" w:hAnsi="Verdana" w:cs="Calibri"/>
          <w:sz w:val="18"/>
          <w:szCs w:val="18"/>
        </w:rPr>
        <w:t xml:space="preserve">. In totaal komt het bedrag aan positief beoordeelde </w:t>
      </w:r>
      <w:r>
        <w:rPr>
          <w:rFonts w:ascii="Verdana" w:hAnsi="Verdana" w:cs="Calibri"/>
          <w:sz w:val="18"/>
          <w:szCs w:val="18"/>
        </w:rPr>
        <w:t>voorstellen</w:t>
      </w:r>
      <w:r w:rsidRPr="00483AD4">
        <w:rPr>
          <w:rFonts w:ascii="Verdana" w:hAnsi="Verdana" w:cs="Calibri"/>
          <w:sz w:val="18"/>
          <w:szCs w:val="18"/>
        </w:rPr>
        <w:t xml:space="preserve"> daarmee op € 73,4 miljoen. Omdat dit het beschikbare budget overschrijdt, </w:t>
      </w:r>
      <w:r>
        <w:rPr>
          <w:rFonts w:ascii="Verdana" w:hAnsi="Verdana" w:cs="Calibri"/>
          <w:sz w:val="18"/>
          <w:szCs w:val="18"/>
        </w:rPr>
        <w:t>heeft</w:t>
      </w:r>
      <w:r w:rsidRPr="00483AD4">
        <w:rPr>
          <w:rFonts w:ascii="Verdana" w:hAnsi="Verdana" w:cs="Calibri"/>
          <w:sz w:val="18"/>
          <w:szCs w:val="18"/>
        </w:rPr>
        <w:t xml:space="preserve"> de VH geadviseerd om de middelen proportioneel te verdelen over de positief beoordeelde </w:t>
      </w:r>
      <w:r>
        <w:rPr>
          <w:rFonts w:ascii="Verdana" w:hAnsi="Verdana" w:cs="Calibri"/>
          <w:sz w:val="18"/>
          <w:szCs w:val="18"/>
        </w:rPr>
        <w:t>voorstellen</w:t>
      </w:r>
      <w:r w:rsidRPr="00483AD4">
        <w:rPr>
          <w:rFonts w:ascii="Verdana" w:hAnsi="Verdana" w:cs="Calibri"/>
          <w:sz w:val="18"/>
          <w:szCs w:val="18"/>
        </w:rPr>
        <w:t xml:space="preserve">. De volledige afweging van de stuurgroep is terug te vinden in bijlage 1. </w:t>
      </w:r>
    </w:p>
    <w:p w:rsidRPr="00CC6D5E" w:rsidR="00765D1C" w:rsidP="00765D1C" w:rsidRDefault="00765D1C" w14:paraId="4D521B22" w14:textId="77777777">
      <w:pPr>
        <w:rPr>
          <w:szCs w:val="18"/>
        </w:rPr>
      </w:pPr>
    </w:p>
    <w:p w:rsidRPr="00CC6D5E" w:rsidR="00765D1C" w:rsidP="00765D1C" w:rsidRDefault="00765D1C" w14:paraId="57E5F148" w14:textId="77777777">
      <w:pPr>
        <w:rPr>
          <w:szCs w:val="18"/>
          <w:u w:val="single"/>
        </w:rPr>
      </w:pPr>
      <w:r w:rsidRPr="00CC6D5E">
        <w:rPr>
          <w:szCs w:val="18"/>
          <w:u w:val="single"/>
        </w:rPr>
        <w:t>Aandachtspunten vanuit de VH en de stuurgroep</w:t>
      </w:r>
    </w:p>
    <w:p w:rsidRPr="00483AD4" w:rsidR="00765D1C" w:rsidP="00765D1C" w:rsidRDefault="00765D1C" w14:paraId="2B662CE0" w14:textId="77777777">
      <w:r w:rsidRPr="007134B6">
        <w:rPr>
          <w:szCs w:val="18"/>
        </w:rPr>
        <w:t xml:space="preserve">In de brief waarin de VH het </w:t>
      </w:r>
      <w:r>
        <w:rPr>
          <w:szCs w:val="18"/>
        </w:rPr>
        <w:t>totaal</w:t>
      </w:r>
      <w:r w:rsidRPr="007134B6">
        <w:rPr>
          <w:szCs w:val="18"/>
        </w:rPr>
        <w:t xml:space="preserve">voorstel presenteert voor de verdeling van de tweede tranche krimpmiddelen, brengt </w:t>
      </w:r>
      <w:r>
        <w:rPr>
          <w:szCs w:val="18"/>
        </w:rPr>
        <w:t>men</w:t>
      </w:r>
      <w:r w:rsidRPr="007134B6">
        <w:rPr>
          <w:szCs w:val="18"/>
        </w:rPr>
        <w:t xml:space="preserve"> ook een aantal gerelateerde punten onder mijn aandacht</w:t>
      </w:r>
      <w:r>
        <w:rPr>
          <w:szCs w:val="18"/>
        </w:rPr>
        <w:t>:</w:t>
      </w:r>
    </w:p>
    <w:p w:rsidRPr="00CC6D5E" w:rsidR="00765D1C" w:rsidP="00765D1C" w:rsidRDefault="00765D1C" w14:paraId="09D45F6D" w14:textId="77777777">
      <w:pPr>
        <w:pStyle w:val="Lijstalinea"/>
        <w:numPr>
          <w:ilvl w:val="0"/>
          <w:numId w:val="30"/>
        </w:numPr>
        <w:ind w:left="426" w:hanging="426"/>
        <w:rPr>
          <w:szCs w:val="18"/>
        </w:rPr>
      </w:pPr>
      <w:r w:rsidRPr="00CC6D5E">
        <w:rPr>
          <w:szCs w:val="18"/>
          <w:u w:val="single"/>
        </w:rPr>
        <w:t>Samenwerking</w:t>
      </w:r>
      <w:r w:rsidRPr="00CC6D5E">
        <w:rPr>
          <w:szCs w:val="18"/>
        </w:rPr>
        <w:t xml:space="preserve">: </w:t>
      </w:r>
      <w:bookmarkStart w:name="_Hlk196911597" w:id="2"/>
      <w:r w:rsidRPr="00CC6D5E">
        <w:rPr>
          <w:szCs w:val="18"/>
        </w:rPr>
        <w:t xml:space="preserve">de VH en de stuurgroep constateren dat er binnen instellingen sprake is van toenemende samenwerking, veelal in de vorm van domein- of </w:t>
      </w:r>
      <w:proofErr w:type="spellStart"/>
      <w:r w:rsidRPr="00CC6D5E">
        <w:rPr>
          <w:szCs w:val="18"/>
        </w:rPr>
        <w:t>academiebrede</w:t>
      </w:r>
      <w:proofErr w:type="spellEnd"/>
      <w:r w:rsidRPr="00CC6D5E">
        <w:rPr>
          <w:szCs w:val="18"/>
        </w:rPr>
        <w:t xml:space="preserve"> aanpakken. Tussen instellingen onderling blijft samenwerking echter grotendeels uit. </w:t>
      </w:r>
      <w:r>
        <w:rPr>
          <w:szCs w:val="18"/>
        </w:rPr>
        <w:t>G</w:t>
      </w:r>
      <w:r w:rsidRPr="00CC6D5E">
        <w:rPr>
          <w:szCs w:val="18"/>
        </w:rPr>
        <w:t xml:space="preserve">ezien het belang van een breed en nabij opleidingsaanbod in de regio acht de VH dit een gemiste kans. </w:t>
      </w:r>
      <w:bookmarkEnd w:id="2"/>
    </w:p>
    <w:p w:rsidRPr="00CC6D5E" w:rsidR="00765D1C" w:rsidP="00765D1C" w:rsidRDefault="00765D1C" w14:paraId="335D881A" w14:textId="77777777">
      <w:pPr>
        <w:pStyle w:val="Lijstalinea"/>
        <w:numPr>
          <w:ilvl w:val="0"/>
          <w:numId w:val="30"/>
        </w:numPr>
        <w:ind w:left="425" w:hanging="425"/>
        <w:rPr>
          <w:szCs w:val="18"/>
        </w:rPr>
      </w:pPr>
      <w:r w:rsidRPr="00CC6D5E">
        <w:rPr>
          <w:szCs w:val="18"/>
          <w:u w:val="single"/>
        </w:rPr>
        <w:t xml:space="preserve">Krimp </w:t>
      </w:r>
      <w:r>
        <w:rPr>
          <w:szCs w:val="18"/>
          <w:u w:val="single"/>
        </w:rPr>
        <w:t>is breed zichtbaar</w:t>
      </w:r>
      <w:r w:rsidRPr="00CC6D5E">
        <w:rPr>
          <w:szCs w:val="18"/>
        </w:rPr>
        <w:t xml:space="preserve">: daarnaast wijst men erop dat demografische krimp in het hbo zich de komende jaren niet beperkt tot de randen van Nederland, maar zich landelijk </w:t>
      </w:r>
      <w:r>
        <w:rPr>
          <w:szCs w:val="18"/>
        </w:rPr>
        <w:t>zal manifesteren</w:t>
      </w:r>
      <w:r w:rsidRPr="00CC6D5E">
        <w:rPr>
          <w:szCs w:val="18"/>
        </w:rPr>
        <w:t xml:space="preserve">. Dit vraagt om een bredere, toekomstgerichte aanpak dan de huidige regeling, die is ingericht als overbruggingsmaatregel voor regio’s waarin krimp zich als eerste voltrok. </w:t>
      </w:r>
    </w:p>
    <w:p w:rsidR="00765D1C" w:rsidP="00765D1C" w:rsidRDefault="00765D1C" w14:paraId="263B2D6E" w14:textId="77777777">
      <w:pPr>
        <w:pStyle w:val="Lijstalinea"/>
        <w:numPr>
          <w:ilvl w:val="0"/>
          <w:numId w:val="30"/>
        </w:numPr>
        <w:ind w:left="426" w:hanging="426"/>
        <w:rPr>
          <w:szCs w:val="18"/>
        </w:rPr>
      </w:pPr>
      <w:r w:rsidRPr="00CC6D5E">
        <w:rPr>
          <w:szCs w:val="18"/>
          <w:u w:val="single"/>
        </w:rPr>
        <w:lastRenderedPageBreak/>
        <w:t>Aandacht voor kleine opleidingen</w:t>
      </w:r>
      <w:r w:rsidRPr="00CC6D5E">
        <w:rPr>
          <w:szCs w:val="18"/>
        </w:rPr>
        <w:t xml:space="preserve">: ook vragen de VH en de stuurgroep specifieke aandacht voor kleine opleidingen. Deze </w:t>
      </w:r>
      <w:r w:rsidRPr="00CC6D5E">
        <w:t>opleidingen met minder dan 25 studenten zijn uitgesloten van deelname aan dit instrument (krimpmiddelen)</w:t>
      </w:r>
      <w:r>
        <w:t>,</w:t>
      </w:r>
      <w:r w:rsidRPr="00CC6D5E">
        <w:t xml:space="preserve"> omdat hun problematiek niet door krimpende studentenaantallen wordt veroorzaakt. Zij vallen onder het bredere, landelijke vraagstuk van kleine opleidingen. </w:t>
      </w:r>
      <w:r w:rsidRPr="00CC6D5E">
        <w:rPr>
          <w:szCs w:val="18"/>
        </w:rPr>
        <w:t xml:space="preserve">Deze opleidingen kunnen nu vaak blijven bestaan door interne kruisfinanciering, </w:t>
      </w:r>
      <w:r>
        <w:rPr>
          <w:szCs w:val="18"/>
        </w:rPr>
        <w:t>maar</w:t>
      </w:r>
      <w:r w:rsidRPr="00CC6D5E">
        <w:rPr>
          <w:szCs w:val="18"/>
        </w:rPr>
        <w:t xml:space="preserve"> dit </w:t>
      </w:r>
      <w:r>
        <w:rPr>
          <w:szCs w:val="18"/>
        </w:rPr>
        <w:t xml:space="preserve">staat </w:t>
      </w:r>
      <w:r w:rsidRPr="00CC6D5E">
        <w:rPr>
          <w:szCs w:val="18"/>
        </w:rPr>
        <w:t>onder druk door het afnemend aantal studenten. Kleine opleidingen kunnen essentieel zijn voor het behoud van regionale onderwijsinfrastructuur, ook buiten krimpregio’s. De VH pleit daarom voor een landelijk aanpak van deze problematiek.</w:t>
      </w:r>
    </w:p>
    <w:p w:rsidRPr="00DE74EC" w:rsidR="00765D1C" w:rsidP="00765D1C" w:rsidRDefault="00765D1C" w14:paraId="474AA296" w14:textId="77777777">
      <w:pPr>
        <w:pStyle w:val="Lijstalinea"/>
        <w:numPr>
          <w:ilvl w:val="0"/>
          <w:numId w:val="30"/>
        </w:numPr>
        <w:ind w:left="426" w:hanging="426"/>
        <w:rPr>
          <w:u w:val="single"/>
        </w:rPr>
      </w:pPr>
      <w:r w:rsidRPr="007134B6">
        <w:rPr>
          <w:szCs w:val="18"/>
          <w:u w:val="single"/>
        </w:rPr>
        <w:t>LLO</w:t>
      </w:r>
      <w:r w:rsidRPr="007134B6">
        <w:rPr>
          <w:szCs w:val="18"/>
        </w:rPr>
        <w:t xml:space="preserve">: tot slot merkt de stuurgroep op dat in de plannen relatief weinig aandacht is besteed aan het versterken van Leven Lang Ontwikkelen (LLO), terwijl dit juist kansen biedt om nieuwe doelgroepen te bereiken en bij te dragen aan de Human </w:t>
      </w:r>
      <w:proofErr w:type="spellStart"/>
      <w:r w:rsidRPr="007134B6">
        <w:rPr>
          <w:szCs w:val="18"/>
        </w:rPr>
        <w:t>Capital</w:t>
      </w:r>
      <w:proofErr w:type="spellEnd"/>
      <w:r w:rsidRPr="007134B6">
        <w:rPr>
          <w:szCs w:val="18"/>
        </w:rPr>
        <w:t xml:space="preserve"> Agenda’s en het terugdringen van arbeidstekorten. De VH geeft aan dat dit komt omdat de wettelijke </w:t>
      </w:r>
      <w:r>
        <w:rPr>
          <w:szCs w:val="18"/>
        </w:rPr>
        <w:t>taak</w:t>
      </w:r>
      <w:r w:rsidRPr="007134B6">
        <w:rPr>
          <w:szCs w:val="18"/>
        </w:rPr>
        <w:t xml:space="preserve"> van hogescholen nu beperkt is tot het geven van initieel, diplomagericht onderwijs. </w:t>
      </w:r>
      <w:r w:rsidRPr="00B97394">
        <w:rPr>
          <w:szCs w:val="18"/>
        </w:rPr>
        <w:t xml:space="preserve">Zij beschouwen LLO echter wel als één van hun wettelijke taken en zij </w:t>
      </w:r>
      <w:r>
        <w:rPr>
          <w:szCs w:val="18"/>
        </w:rPr>
        <w:t xml:space="preserve">zouden graag zien dat gerichte bij- en omscholing onderdeel wordt van de wettelijke taak. Ze kijken daarom uit naar de uitkomsten van de lopende verkenning naar een mogelijke wettelijke opdracht voor LLO. </w:t>
      </w:r>
    </w:p>
    <w:p w:rsidRPr="003A6BA5" w:rsidR="00765D1C" w:rsidP="00765D1C" w:rsidRDefault="00765D1C" w14:paraId="154C353A" w14:textId="77777777">
      <w:pPr>
        <w:pStyle w:val="Lijstalinea"/>
        <w:ind w:left="426"/>
        <w:rPr>
          <w:szCs w:val="18"/>
        </w:rPr>
      </w:pPr>
    </w:p>
    <w:p w:rsidRPr="00CC6D5E" w:rsidR="00765D1C" w:rsidP="00765D1C" w:rsidRDefault="00765D1C" w14:paraId="27A2B8A8" w14:textId="77777777">
      <w:pPr>
        <w:rPr>
          <w:szCs w:val="18"/>
          <w:u w:val="single"/>
        </w:rPr>
      </w:pPr>
      <w:r w:rsidRPr="00CC6D5E">
        <w:rPr>
          <w:szCs w:val="18"/>
        </w:rPr>
        <w:t xml:space="preserve">De aanbevelingen van de VH zie ik als aanmoediging en ondersteuning van mijn beleidskeuzes. Met name het uitbouwen van samenwerking tussen hogescholen biedt kansen om een dekkend aanbod te behouden. </w:t>
      </w:r>
      <w:r w:rsidRPr="007134B6">
        <w:rPr>
          <w:szCs w:val="18"/>
        </w:rPr>
        <w:t xml:space="preserve">Ik adresseer de aanbevelingen hieronder puntsgewijs. </w:t>
      </w:r>
    </w:p>
    <w:p w:rsidRPr="00CC6D5E" w:rsidR="00765D1C" w:rsidP="00765D1C" w:rsidRDefault="00765D1C" w14:paraId="2892BC8E" w14:textId="77777777">
      <w:pPr>
        <w:rPr>
          <w:szCs w:val="18"/>
          <w:u w:val="single"/>
        </w:rPr>
      </w:pPr>
    </w:p>
    <w:p w:rsidRPr="00066324" w:rsidR="00765D1C" w:rsidP="00765D1C" w:rsidRDefault="00765D1C" w14:paraId="20585DEB" w14:textId="77777777">
      <w:pPr>
        <w:pStyle w:val="Lijstalinea"/>
        <w:numPr>
          <w:ilvl w:val="0"/>
          <w:numId w:val="35"/>
        </w:numPr>
        <w:rPr>
          <w:color w:val="000000"/>
        </w:rPr>
      </w:pPr>
      <w:r w:rsidRPr="007134B6">
        <w:rPr>
          <w:szCs w:val="18"/>
          <w:u w:val="single"/>
        </w:rPr>
        <w:t>Samenwerk</w:t>
      </w:r>
      <w:r>
        <w:rPr>
          <w:szCs w:val="18"/>
          <w:u w:val="single"/>
        </w:rPr>
        <w:t>ing</w:t>
      </w:r>
      <w:r w:rsidRPr="007134B6">
        <w:rPr>
          <w:szCs w:val="18"/>
          <w:u w:val="single"/>
        </w:rPr>
        <w:t>:</w:t>
      </w:r>
      <w:r w:rsidRPr="00483AD4">
        <w:t xml:space="preserve"> </w:t>
      </w:r>
      <w:r w:rsidRPr="007134B6">
        <w:rPr>
          <w:szCs w:val="18"/>
        </w:rPr>
        <w:t xml:space="preserve">de VH </w:t>
      </w:r>
      <w:r>
        <w:rPr>
          <w:szCs w:val="18"/>
        </w:rPr>
        <w:t xml:space="preserve">en de stuurgroep geven aan </w:t>
      </w:r>
      <w:r w:rsidRPr="007134B6">
        <w:rPr>
          <w:szCs w:val="18"/>
        </w:rPr>
        <w:t xml:space="preserve">dat </w:t>
      </w:r>
      <w:r>
        <w:rPr>
          <w:szCs w:val="18"/>
        </w:rPr>
        <w:t xml:space="preserve">de </w:t>
      </w:r>
      <w:r w:rsidRPr="007134B6">
        <w:rPr>
          <w:szCs w:val="18"/>
        </w:rPr>
        <w:t xml:space="preserve">samenwerking tussen instellingen onderling grotendeels </w:t>
      </w:r>
      <w:r w:rsidRPr="00433B76">
        <w:rPr>
          <w:szCs w:val="18"/>
        </w:rPr>
        <w:t xml:space="preserve">uitblijft. </w:t>
      </w:r>
      <w:r>
        <w:rPr>
          <w:szCs w:val="18"/>
        </w:rPr>
        <w:t xml:space="preserve">Dit </w:t>
      </w:r>
      <w:bookmarkStart w:name="_Hlk197590412" w:id="3"/>
      <w:r w:rsidRPr="00433B76">
        <w:t xml:space="preserve">onderstreept het belang van </w:t>
      </w:r>
      <w:r>
        <w:t>de</w:t>
      </w:r>
      <w:r w:rsidRPr="00433B76">
        <w:t xml:space="preserve"> in mijn beleidsbrief ingezette </w:t>
      </w:r>
      <w:r>
        <w:t>koers</w:t>
      </w:r>
      <w:r w:rsidRPr="00433B76">
        <w:rPr>
          <w:szCs w:val="18"/>
        </w:rPr>
        <w:t>,</w:t>
      </w:r>
      <w:r w:rsidRPr="00066324">
        <w:rPr>
          <w:szCs w:val="18"/>
        </w:rPr>
        <w:t xml:space="preserve"> w</w:t>
      </w:r>
      <w:r w:rsidRPr="00433B76">
        <w:rPr>
          <w:szCs w:val="18"/>
        </w:rPr>
        <w:t xml:space="preserve">aarin ik instellingen </w:t>
      </w:r>
      <w:r w:rsidRPr="00433B76">
        <w:rPr>
          <w:color w:val="000000"/>
          <w:szCs w:val="18"/>
        </w:rPr>
        <w:t>oproep</w:t>
      </w:r>
      <w:r w:rsidRPr="00066324">
        <w:rPr>
          <w:color w:val="000000"/>
          <w:szCs w:val="18"/>
        </w:rPr>
        <w:t xml:space="preserve"> </w:t>
      </w:r>
      <w:bookmarkEnd w:id="3"/>
      <w:r w:rsidRPr="00066324">
        <w:rPr>
          <w:color w:val="000000"/>
          <w:szCs w:val="18"/>
        </w:rPr>
        <w:t>om een gemeenschappelijke verantwoorde</w:t>
      </w:r>
      <w:r>
        <w:rPr>
          <w:color w:val="000000"/>
          <w:szCs w:val="18"/>
        </w:rPr>
        <w:t>l</w:t>
      </w:r>
      <w:r w:rsidRPr="00066324">
        <w:rPr>
          <w:color w:val="000000"/>
          <w:szCs w:val="18"/>
        </w:rPr>
        <w:t>ijkheid te voelen om cruciale opleidingen landelijk te borgen.</w:t>
      </w:r>
      <w:r w:rsidRPr="00066324">
        <w:rPr>
          <w:szCs w:val="18"/>
        </w:rPr>
        <w:t xml:space="preserve"> Deze oproep ondersteun ik door middel van het creëren van een wettelijke grondslag voor deze samenwerking in de WHW en het ontwikkelen van een inhoudelijk beleidskader voor een landelijk doelmatig aanbod samen met de sector.</w:t>
      </w:r>
      <w:r>
        <w:rPr>
          <w:szCs w:val="18"/>
        </w:rPr>
        <w:t xml:space="preserve"> </w:t>
      </w:r>
      <w:r>
        <w:rPr>
          <w:szCs w:val="18"/>
        </w:rPr>
        <w:br/>
      </w:r>
      <w:r w:rsidRPr="00CC6D5E">
        <w:rPr>
          <w:szCs w:val="18"/>
        </w:rPr>
        <w:t>De VH heeft aangegeven zich bewust te zijn van de noodzaak om als sector gezamenlijk de verantwoordelijkheid te nemen voor het opleiding</w:t>
      </w:r>
      <w:r>
        <w:rPr>
          <w:szCs w:val="18"/>
        </w:rPr>
        <w:t>s</w:t>
      </w:r>
      <w:r w:rsidRPr="00CC6D5E">
        <w:rPr>
          <w:szCs w:val="18"/>
        </w:rPr>
        <w:t>aanbod</w:t>
      </w:r>
      <w:r>
        <w:rPr>
          <w:szCs w:val="18"/>
        </w:rPr>
        <w:t xml:space="preserve"> en pakt dit actief op</w:t>
      </w:r>
      <w:r w:rsidRPr="00CC6D5E">
        <w:rPr>
          <w:szCs w:val="18"/>
        </w:rPr>
        <w:t xml:space="preserve">. </w:t>
      </w:r>
      <w:r>
        <w:rPr>
          <w:szCs w:val="18"/>
        </w:rPr>
        <w:t xml:space="preserve">Het is goed te zien dat de VH verdere stappen gaat zetten op het gebied van samenwerking. </w:t>
      </w:r>
      <w:r w:rsidRPr="00CC6D5E">
        <w:rPr>
          <w:szCs w:val="18"/>
        </w:rPr>
        <w:t xml:space="preserve">Ik </w:t>
      </w:r>
      <w:r>
        <w:rPr>
          <w:szCs w:val="18"/>
        </w:rPr>
        <w:t>steun</w:t>
      </w:r>
      <w:r w:rsidRPr="00CC6D5E">
        <w:rPr>
          <w:szCs w:val="18"/>
        </w:rPr>
        <w:t xml:space="preserve"> </w:t>
      </w:r>
      <w:r>
        <w:rPr>
          <w:szCs w:val="18"/>
        </w:rPr>
        <w:t>dit van harte</w:t>
      </w:r>
      <w:r w:rsidRPr="00CC6D5E">
        <w:rPr>
          <w:szCs w:val="18"/>
        </w:rPr>
        <w:t>.</w:t>
      </w:r>
    </w:p>
    <w:p w:rsidR="00765D1C" w:rsidP="00765D1C" w:rsidRDefault="00765D1C" w14:paraId="7917BB09" w14:textId="77777777">
      <w:pPr>
        <w:pStyle w:val="Lijstalinea"/>
        <w:numPr>
          <w:ilvl w:val="0"/>
          <w:numId w:val="35"/>
        </w:numPr>
        <w:rPr>
          <w:szCs w:val="18"/>
        </w:rPr>
      </w:pPr>
      <w:r w:rsidRPr="007134B6">
        <w:rPr>
          <w:szCs w:val="18"/>
          <w:u w:val="single"/>
        </w:rPr>
        <w:t xml:space="preserve">Krimp </w:t>
      </w:r>
      <w:r>
        <w:rPr>
          <w:szCs w:val="18"/>
          <w:u w:val="single"/>
        </w:rPr>
        <w:t>is breed zichtbaar</w:t>
      </w:r>
      <w:r w:rsidRPr="00483AD4">
        <w:t xml:space="preserve">: </w:t>
      </w:r>
      <w:r>
        <w:rPr>
          <w:szCs w:val="18"/>
        </w:rPr>
        <w:t>D</w:t>
      </w:r>
      <w:r w:rsidRPr="007134B6">
        <w:rPr>
          <w:szCs w:val="18"/>
        </w:rPr>
        <w:t>e VH</w:t>
      </w:r>
      <w:r>
        <w:rPr>
          <w:szCs w:val="18"/>
        </w:rPr>
        <w:t xml:space="preserve"> geeft terecht aan dat krimpende</w:t>
      </w:r>
      <w:r w:rsidRPr="007134B6">
        <w:rPr>
          <w:szCs w:val="18"/>
        </w:rPr>
        <w:t xml:space="preserve"> studentaantallen</w:t>
      </w:r>
      <w:r>
        <w:rPr>
          <w:szCs w:val="18"/>
        </w:rPr>
        <w:t xml:space="preserve"> in de toekomst een landelijk vraagstuk worden in het hbo. </w:t>
      </w:r>
    </w:p>
    <w:p w:rsidRPr="007134B6" w:rsidR="00765D1C" w:rsidP="00765D1C" w:rsidRDefault="00765D1C" w14:paraId="1E6F5117" w14:textId="77777777">
      <w:pPr>
        <w:pStyle w:val="Lijstalinea"/>
        <w:ind w:left="360"/>
        <w:rPr>
          <w:szCs w:val="18"/>
        </w:rPr>
      </w:pPr>
      <w:r w:rsidRPr="00433B76">
        <w:t xml:space="preserve">Ook deze constatering geeft de noodzaak voor een </w:t>
      </w:r>
      <w:r>
        <w:t xml:space="preserve">integrale </w:t>
      </w:r>
      <w:r w:rsidRPr="00433B76">
        <w:t>krimpaanpak weer.</w:t>
      </w:r>
      <w:r>
        <w:t xml:space="preserve"> </w:t>
      </w:r>
      <w:r>
        <w:rPr>
          <w:szCs w:val="18"/>
        </w:rPr>
        <w:t>Het aspect van een regionale rol in de financiering</w:t>
      </w:r>
      <w:r w:rsidRPr="007134B6">
        <w:rPr>
          <w:szCs w:val="18"/>
        </w:rPr>
        <w:t xml:space="preserve">, </w:t>
      </w:r>
      <w:r>
        <w:rPr>
          <w:szCs w:val="18"/>
        </w:rPr>
        <w:t>zeer van belang</w:t>
      </w:r>
      <w:r w:rsidRPr="007134B6">
        <w:rPr>
          <w:szCs w:val="18"/>
        </w:rPr>
        <w:t xml:space="preserve"> v</w:t>
      </w:r>
      <w:r>
        <w:rPr>
          <w:szCs w:val="18"/>
        </w:rPr>
        <w:t>oor</w:t>
      </w:r>
      <w:r w:rsidRPr="007134B6">
        <w:rPr>
          <w:szCs w:val="18"/>
        </w:rPr>
        <w:t xml:space="preserve"> de VH, </w:t>
      </w:r>
      <w:r>
        <w:rPr>
          <w:szCs w:val="18"/>
        </w:rPr>
        <w:t>betrek ik</w:t>
      </w:r>
      <w:r w:rsidRPr="007134B6">
        <w:rPr>
          <w:szCs w:val="18"/>
        </w:rPr>
        <w:t xml:space="preserve"> als variant </w:t>
      </w:r>
      <w:r>
        <w:rPr>
          <w:szCs w:val="18"/>
        </w:rPr>
        <w:t>in de verkenning rond de bekostigingssystematiek voor de lange termijn</w:t>
      </w:r>
      <w:r w:rsidRPr="007134B6">
        <w:rPr>
          <w:szCs w:val="18"/>
        </w:rPr>
        <w:t xml:space="preserve">. </w:t>
      </w:r>
    </w:p>
    <w:p w:rsidRPr="00ED2B60" w:rsidR="00765D1C" w:rsidP="00765D1C" w:rsidRDefault="00765D1C" w14:paraId="2F86ACE8" w14:textId="77777777">
      <w:pPr>
        <w:pStyle w:val="Lijstalinea"/>
        <w:numPr>
          <w:ilvl w:val="0"/>
          <w:numId w:val="35"/>
        </w:numPr>
        <w:rPr>
          <w:szCs w:val="18"/>
        </w:rPr>
      </w:pPr>
      <w:r w:rsidRPr="000050AA">
        <w:rPr>
          <w:szCs w:val="18"/>
          <w:u w:val="single"/>
        </w:rPr>
        <w:t>Aandacht voor kleine opleidingen</w:t>
      </w:r>
      <w:r w:rsidRPr="000050AA">
        <w:rPr>
          <w:szCs w:val="18"/>
        </w:rPr>
        <w:t xml:space="preserve">: </w:t>
      </w:r>
      <w:r>
        <w:rPr>
          <w:szCs w:val="18"/>
        </w:rPr>
        <w:t>I</w:t>
      </w:r>
      <w:r w:rsidRPr="000050AA">
        <w:rPr>
          <w:szCs w:val="18"/>
        </w:rPr>
        <w:t>k deel de constatering van de VH en de stuurgroep dat extra aandacht nodig is voor kleine opleidingen in heel Nederland. Deze kleine opleidingen vervullen vaak een onmisbare rol in het waarborgen van een breed en toegankelijk opleidingsaanbod</w:t>
      </w:r>
      <w:r>
        <w:rPr>
          <w:szCs w:val="18"/>
        </w:rPr>
        <w:t>. I</w:t>
      </w:r>
      <w:r w:rsidRPr="000050AA">
        <w:rPr>
          <w:szCs w:val="18"/>
        </w:rPr>
        <w:t xml:space="preserve">nstellingen </w:t>
      </w:r>
      <w:r>
        <w:rPr>
          <w:szCs w:val="18"/>
        </w:rPr>
        <w:t>kunnen</w:t>
      </w:r>
      <w:r w:rsidRPr="000050AA">
        <w:rPr>
          <w:szCs w:val="18"/>
        </w:rPr>
        <w:t xml:space="preserve"> de komende jaren voor de keuze</w:t>
      </w:r>
      <w:r>
        <w:rPr>
          <w:szCs w:val="18"/>
        </w:rPr>
        <w:t xml:space="preserve"> komen</w:t>
      </w:r>
      <w:r w:rsidRPr="000050AA">
        <w:rPr>
          <w:szCs w:val="18"/>
        </w:rPr>
        <w:t xml:space="preserve"> te staan om bepaalde opleidingen al dan niet af te bouwen.</w:t>
      </w:r>
      <w:r w:rsidRPr="00433B76">
        <w:t xml:space="preserve"> Dit onderstreept het belang van mij</w:t>
      </w:r>
      <w:r>
        <w:t>n</w:t>
      </w:r>
      <w:r w:rsidRPr="00433B76">
        <w:t xml:space="preserve"> </w:t>
      </w:r>
      <w:r w:rsidRPr="00433B76">
        <w:lastRenderedPageBreak/>
        <w:t>ingezette beleid</w:t>
      </w:r>
      <w:r w:rsidRPr="007614A8">
        <w:rPr>
          <w:szCs w:val="18"/>
        </w:rPr>
        <w:t xml:space="preserve"> op samenwerking tussen instellingen en het ontwikkelen van een beleidskader voor het opleidingsaanbod, omdat de keuzes die individuele instellingen hierin maken, niet automatisch optellen tot een optimaal regionaal en/of landelijk gewenst opleidingsaanbod.</w:t>
      </w:r>
      <w:r>
        <w:rPr>
          <w:szCs w:val="18"/>
        </w:rPr>
        <w:t xml:space="preserve"> </w:t>
      </w:r>
    </w:p>
    <w:p w:rsidRPr="00CC6D5E" w:rsidR="00765D1C" w:rsidP="00765D1C" w:rsidRDefault="00765D1C" w14:paraId="5CA41A0B" w14:textId="77777777">
      <w:pPr>
        <w:pStyle w:val="Lijstalinea"/>
        <w:numPr>
          <w:ilvl w:val="0"/>
          <w:numId w:val="35"/>
        </w:numPr>
        <w:rPr>
          <w:rFonts w:eastAsia="Verdana" w:cs="Verdana"/>
          <w:szCs w:val="18"/>
        </w:rPr>
      </w:pPr>
      <w:r w:rsidRPr="00CC6D5E">
        <w:rPr>
          <w:szCs w:val="18"/>
          <w:u w:val="single"/>
        </w:rPr>
        <w:t>LLO</w:t>
      </w:r>
      <w:r w:rsidRPr="007614A8">
        <w:rPr>
          <w:szCs w:val="18"/>
        </w:rPr>
        <w:t>:</w:t>
      </w:r>
      <w:r w:rsidRPr="007614A8">
        <w:rPr>
          <w:rFonts w:eastAsia="Verdana" w:cs="Verdana"/>
          <w:szCs w:val="18"/>
        </w:rPr>
        <w:t xml:space="preserve"> </w:t>
      </w:r>
      <w:r w:rsidRPr="00433B76">
        <w:rPr>
          <w:rFonts w:eastAsia="Verdana" w:cs="Verdana"/>
          <w:szCs w:val="18"/>
        </w:rPr>
        <w:t>Ik begrijp dat LLO bij de</w:t>
      </w:r>
      <w:r>
        <w:rPr>
          <w:rFonts w:eastAsia="Verdana" w:cs="Verdana"/>
          <w:szCs w:val="18"/>
        </w:rPr>
        <w:t xml:space="preserve"> ingediende voorstellen </w:t>
      </w:r>
      <w:r w:rsidRPr="00433B76">
        <w:rPr>
          <w:rFonts w:eastAsia="Verdana" w:cs="Verdana"/>
          <w:szCs w:val="18"/>
        </w:rPr>
        <w:t xml:space="preserve">een geringe rol speelt, omdat de </w:t>
      </w:r>
      <w:r>
        <w:rPr>
          <w:rFonts w:eastAsia="Verdana" w:cs="Verdana"/>
          <w:szCs w:val="18"/>
        </w:rPr>
        <w:t>voorstellen</w:t>
      </w:r>
      <w:r w:rsidRPr="00433B76">
        <w:rPr>
          <w:rFonts w:eastAsia="Verdana" w:cs="Verdana"/>
          <w:szCs w:val="18"/>
        </w:rPr>
        <w:t xml:space="preserve"> gericht zijn op de huidige wettelijke taak van hogescholen</w:t>
      </w:r>
      <w:r w:rsidRPr="007614A8">
        <w:rPr>
          <w:rFonts w:eastAsia="Verdana" w:cs="Verdana"/>
          <w:szCs w:val="18"/>
        </w:rPr>
        <w:t>.</w:t>
      </w:r>
      <w:r>
        <w:rPr>
          <w:rFonts w:eastAsia="Verdana" w:cs="Verdana"/>
          <w:szCs w:val="18"/>
        </w:rPr>
        <w:t xml:space="preserve"> </w:t>
      </w:r>
      <w:r w:rsidRPr="00CC6D5E">
        <w:rPr>
          <w:rFonts w:eastAsia="Verdana" w:cs="Verdana"/>
          <w:szCs w:val="18"/>
        </w:rPr>
        <w:t xml:space="preserve">De staatssecretaris van OCW </w:t>
      </w:r>
      <w:r>
        <w:rPr>
          <w:rFonts w:eastAsia="Verdana" w:cs="Verdana"/>
          <w:szCs w:val="18"/>
        </w:rPr>
        <w:t>en ik</w:t>
      </w:r>
      <w:r w:rsidRPr="00CC6D5E">
        <w:rPr>
          <w:rFonts w:eastAsia="Verdana" w:cs="Verdana"/>
          <w:szCs w:val="18"/>
        </w:rPr>
        <w:t xml:space="preserve"> werken aan de onderwijsagenda LLO als belangrijk onderdeel van de LLO-agenda van dit kabinet. Onderdeel daarvan is de lopende verkenning naar de vraag of het mogelijk en wenselijk is dat het mbo, hbo en wo een wettelijke opdracht krijgen voor LLO gericht op bij- en omscholing. Zodat publieke opleiders meer kunnen bijdragen aan LLO in aanvulling op de meerwaarde en kwaliteit van private opleiders. Uiterlijk begin 2026 verwacht ik </w:t>
      </w:r>
      <w:r>
        <w:rPr>
          <w:rFonts w:eastAsia="Verdana" w:cs="Verdana"/>
          <w:szCs w:val="18"/>
        </w:rPr>
        <w:t>u</w:t>
      </w:r>
      <w:r w:rsidRPr="00CC6D5E">
        <w:rPr>
          <w:rFonts w:eastAsia="Verdana" w:cs="Verdana"/>
          <w:szCs w:val="18"/>
        </w:rPr>
        <w:t xml:space="preserve">w </w:t>
      </w:r>
      <w:r>
        <w:rPr>
          <w:rFonts w:eastAsia="Verdana" w:cs="Verdana"/>
          <w:szCs w:val="18"/>
        </w:rPr>
        <w:t>K</w:t>
      </w:r>
      <w:r w:rsidRPr="00CC6D5E">
        <w:rPr>
          <w:rFonts w:eastAsia="Verdana" w:cs="Verdana"/>
          <w:szCs w:val="18"/>
        </w:rPr>
        <w:t>amer over de uitkomsten te kunnen informeren.</w:t>
      </w:r>
    </w:p>
    <w:p w:rsidR="00765D1C" w:rsidP="00765D1C" w:rsidRDefault="00765D1C" w14:paraId="1E880911" w14:textId="77777777">
      <w:pPr>
        <w:rPr>
          <w:szCs w:val="18"/>
        </w:rPr>
      </w:pPr>
    </w:p>
    <w:p w:rsidRPr="00B15020" w:rsidR="00765D1C" w:rsidP="00765D1C" w:rsidRDefault="00765D1C" w14:paraId="63D08852" w14:textId="77777777">
      <w:pPr>
        <w:rPr>
          <w:szCs w:val="18"/>
          <w:u w:val="single"/>
        </w:rPr>
      </w:pPr>
      <w:r>
        <w:rPr>
          <w:szCs w:val="18"/>
          <w:u w:val="single"/>
        </w:rPr>
        <w:t>K</w:t>
      </w:r>
      <w:r w:rsidRPr="00B15020">
        <w:rPr>
          <w:szCs w:val="18"/>
          <w:u w:val="single"/>
        </w:rPr>
        <w:t>rimpmiddelen voor het mbo</w:t>
      </w:r>
    </w:p>
    <w:p w:rsidR="00765D1C" w:rsidP="00765D1C" w:rsidRDefault="00765D1C" w14:paraId="520AA601" w14:textId="77777777">
      <w:pPr>
        <w:rPr>
          <w:szCs w:val="18"/>
        </w:rPr>
      </w:pPr>
      <w:r>
        <w:rPr>
          <w:szCs w:val="18"/>
        </w:rPr>
        <w:t xml:space="preserve">Ook </w:t>
      </w:r>
      <w:r w:rsidRPr="00CC6D5E">
        <w:rPr>
          <w:szCs w:val="18"/>
        </w:rPr>
        <w:t>het middelbaar beroepsonderwijs (mbo)</w:t>
      </w:r>
      <w:r>
        <w:rPr>
          <w:szCs w:val="18"/>
        </w:rPr>
        <w:t xml:space="preserve"> wordt </w:t>
      </w:r>
      <w:r w:rsidRPr="00CC6D5E">
        <w:rPr>
          <w:szCs w:val="18"/>
        </w:rPr>
        <w:t>geconfronteerd met de gevolgen van de dalende studentaantallen</w:t>
      </w:r>
      <w:r>
        <w:rPr>
          <w:szCs w:val="18"/>
        </w:rPr>
        <w:t xml:space="preserve">. Net </w:t>
      </w:r>
      <w:r w:rsidRPr="00CC6D5E">
        <w:rPr>
          <w:szCs w:val="18"/>
        </w:rPr>
        <w:t xml:space="preserve">als voor het hbo, </w:t>
      </w:r>
      <w:r>
        <w:rPr>
          <w:szCs w:val="18"/>
        </w:rPr>
        <w:t xml:space="preserve">heb ik </w:t>
      </w:r>
      <w:r w:rsidRPr="00CC6D5E">
        <w:rPr>
          <w:szCs w:val="18"/>
        </w:rPr>
        <w:t xml:space="preserve">€ 90 miljoen beschikbaar gesteld voor de aanpak van krimp op de korte termijn </w:t>
      </w:r>
    </w:p>
    <w:p w:rsidRPr="00CC6D5E" w:rsidR="00765D1C" w:rsidP="00765D1C" w:rsidRDefault="00765D1C" w14:paraId="7D8F43A2" w14:textId="77777777">
      <w:pPr>
        <w:rPr>
          <w:szCs w:val="18"/>
        </w:rPr>
      </w:pPr>
      <w:r w:rsidRPr="00CC6D5E">
        <w:rPr>
          <w:szCs w:val="18"/>
        </w:rPr>
        <w:t xml:space="preserve">(2025–2027). In het mbo heb ik ervoor gekozen om bij het instrument krimpmiddelen samenwerking tussen instellingen centraal te stellen. Instellingen kunnen alleen door samen maatregelen voor te stellen aanspraak maken op de aanvullende middelen. Onlangs hebben de instellingen hun regioplannen ingediend. Op dit moment worden deze beoordeeld. Ik zal uw Kamer over mijn beoordeling informeren voor de zomer. </w:t>
      </w:r>
      <w:r>
        <w:rPr>
          <w:szCs w:val="18"/>
        </w:rPr>
        <w:t xml:space="preserve">Net als in het hbo en wo ben ik ook bezig met de </w:t>
      </w:r>
      <w:r w:rsidRPr="00CC6D5E">
        <w:rPr>
          <w:szCs w:val="18"/>
        </w:rPr>
        <w:t>herzie</w:t>
      </w:r>
      <w:r>
        <w:rPr>
          <w:szCs w:val="18"/>
        </w:rPr>
        <w:t>ning</w:t>
      </w:r>
      <w:r w:rsidRPr="00CC6D5E">
        <w:rPr>
          <w:szCs w:val="18"/>
        </w:rPr>
        <w:t xml:space="preserve"> </w:t>
      </w:r>
      <w:r>
        <w:rPr>
          <w:szCs w:val="18"/>
        </w:rPr>
        <w:t xml:space="preserve">van </w:t>
      </w:r>
      <w:r w:rsidRPr="00CC6D5E">
        <w:rPr>
          <w:szCs w:val="18"/>
        </w:rPr>
        <w:t>de bekostigingssystematiek van de sector</w:t>
      </w:r>
      <w:r>
        <w:rPr>
          <w:szCs w:val="18"/>
        </w:rPr>
        <w:t xml:space="preserve"> voor de lange termijn</w:t>
      </w:r>
      <w:r w:rsidRPr="00CC6D5E">
        <w:rPr>
          <w:szCs w:val="18"/>
        </w:rPr>
        <w:t xml:space="preserve">. </w:t>
      </w:r>
      <w:r>
        <w:rPr>
          <w:szCs w:val="18"/>
        </w:rPr>
        <w:t>Dit vergt</w:t>
      </w:r>
      <w:r w:rsidRPr="00CC6D5E">
        <w:rPr>
          <w:szCs w:val="18"/>
        </w:rPr>
        <w:t xml:space="preserve"> een wetswijziging. Ik verwacht dat de nieuwe bekostigingssystematiek in 2029 in werking treedt. Ik bekijk hoe er na het aflopen van de extra middelen voor dalende studentaantallen in 2027 een soepele overgang geborgd wordt</w:t>
      </w:r>
      <w:r>
        <w:rPr>
          <w:szCs w:val="18"/>
        </w:rPr>
        <w:t xml:space="preserve"> voor zowel het mbo als het hbo</w:t>
      </w:r>
      <w:r w:rsidRPr="00CC6D5E">
        <w:rPr>
          <w:szCs w:val="18"/>
        </w:rPr>
        <w:t>.</w:t>
      </w:r>
    </w:p>
    <w:p w:rsidRPr="00CC6D5E" w:rsidR="00765D1C" w:rsidP="00765D1C" w:rsidRDefault="00765D1C" w14:paraId="7C22A4CB" w14:textId="77777777">
      <w:pPr>
        <w:rPr>
          <w:szCs w:val="18"/>
        </w:rPr>
      </w:pPr>
    </w:p>
    <w:p w:rsidRPr="00CC6D5E" w:rsidR="00765D1C" w:rsidP="00765D1C" w:rsidRDefault="00765D1C" w14:paraId="58190531" w14:textId="77777777">
      <w:pPr>
        <w:rPr>
          <w:u w:val="single"/>
        </w:rPr>
      </w:pPr>
      <w:r w:rsidRPr="00CC6D5E">
        <w:rPr>
          <w:u w:val="single"/>
        </w:rPr>
        <w:t>Afsluiting</w:t>
      </w:r>
    </w:p>
    <w:p w:rsidRPr="00CC6D5E" w:rsidR="00765D1C" w:rsidP="00765D1C" w:rsidRDefault="00765D1C" w14:paraId="52E915F8" w14:textId="77777777">
      <w:pPr>
        <w:rPr>
          <w:szCs w:val="18"/>
        </w:rPr>
      </w:pPr>
      <w:r w:rsidRPr="00CC6D5E">
        <w:t xml:space="preserve">De komende jaren is er minder geld beschikbaar voor onderwijs en wetenschap. Tegelijk zijn er grote maatschappelijke uitdagingen. In mijn beleidsbrief heb ik aangegeven hoe ik toe wil werken naar een toekomstbestendig stelsel. In deze brief ben ik </w:t>
      </w:r>
      <w:r>
        <w:t xml:space="preserve">hoofdzakelijk </w:t>
      </w:r>
      <w:r w:rsidRPr="00CC6D5E">
        <w:t xml:space="preserve">ingegaan op mijn inzet op de korte termijn voor het hbo (voorkomen dat </w:t>
      </w:r>
      <w:r w:rsidRPr="00CC6D5E">
        <w:rPr>
          <w:szCs w:val="18"/>
        </w:rPr>
        <w:t xml:space="preserve">korte termijn onomkeerbare besluiten worden zoals het opheffen van opleidingen of afstudeerrichtingen). De komende maanden werk ik hard om mijn lange termijn ambities vorm te geven, zodat </w:t>
      </w:r>
      <w:r w:rsidRPr="00CC6D5E">
        <w:t>we een robuust en toekomstbestendig opleidingsaanbod in stand kunnen houden.</w:t>
      </w:r>
      <w:r w:rsidRPr="00CC6D5E">
        <w:rPr>
          <w:szCs w:val="18"/>
        </w:rPr>
        <w:t xml:space="preserve"> Ik zal uw </w:t>
      </w:r>
      <w:r>
        <w:rPr>
          <w:szCs w:val="18"/>
        </w:rPr>
        <w:t>K</w:t>
      </w:r>
      <w:r w:rsidRPr="00CC6D5E">
        <w:rPr>
          <w:szCs w:val="18"/>
        </w:rPr>
        <w:t xml:space="preserve">amer hierover aan het eind van dit jaar </w:t>
      </w:r>
      <w:r>
        <w:rPr>
          <w:szCs w:val="18"/>
        </w:rPr>
        <w:t xml:space="preserve">over de voortgang </w:t>
      </w:r>
      <w:r w:rsidRPr="00CC6D5E">
        <w:rPr>
          <w:szCs w:val="18"/>
        </w:rPr>
        <w:t xml:space="preserve">in den brede informeren. </w:t>
      </w:r>
    </w:p>
    <w:p w:rsidRPr="00CC6D5E" w:rsidR="00765D1C" w:rsidP="00765D1C" w:rsidRDefault="00765D1C" w14:paraId="52FCBDE2" w14:textId="77777777">
      <w:pPr>
        <w:rPr>
          <w:szCs w:val="18"/>
        </w:rPr>
      </w:pPr>
    </w:p>
    <w:p w:rsidR="00765D1C" w:rsidP="00765D1C" w:rsidRDefault="00765D1C" w14:paraId="450D6B6E" w14:textId="77777777">
      <w:pPr>
        <w:rPr>
          <w:szCs w:val="18"/>
        </w:rPr>
      </w:pPr>
    </w:p>
    <w:p w:rsidRPr="00CC6D5E" w:rsidR="00765D1C" w:rsidP="00765D1C" w:rsidRDefault="00765D1C" w14:paraId="2EDF3D1E" w14:textId="77777777">
      <w:pPr>
        <w:rPr>
          <w:szCs w:val="18"/>
        </w:rPr>
      </w:pPr>
      <w:r w:rsidRPr="00CC6D5E">
        <w:rPr>
          <w:szCs w:val="18"/>
        </w:rPr>
        <w:t>De minister van Onderwijs, Cultuur en Wetenschap,</w:t>
      </w:r>
    </w:p>
    <w:p w:rsidRPr="00CC6D5E" w:rsidR="00765D1C" w:rsidP="00765D1C" w:rsidRDefault="00765D1C" w14:paraId="45387FCA" w14:textId="77777777">
      <w:pPr>
        <w:rPr>
          <w:szCs w:val="18"/>
        </w:rPr>
      </w:pPr>
    </w:p>
    <w:p w:rsidRPr="00CC6D5E" w:rsidR="00765D1C" w:rsidP="00765D1C" w:rsidRDefault="00765D1C" w14:paraId="238B44B2" w14:textId="77777777">
      <w:pPr>
        <w:rPr>
          <w:szCs w:val="18"/>
        </w:rPr>
      </w:pPr>
    </w:p>
    <w:p w:rsidRPr="00CC6D5E" w:rsidR="00765D1C" w:rsidP="00765D1C" w:rsidRDefault="00765D1C" w14:paraId="30D7321D" w14:textId="77777777">
      <w:pPr>
        <w:rPr>
          <w:szCs w:val="18"/>
        </w:rPr>
      </w:pPr>
    </w:p>
    <w:p w:rsidRPr="00CC6D5E" w:rsidR="00765D1C" w:rsidP="00765D1C" w:rsidRDefault="00765D1C" w14:paraId="4AAA4705" w14:textId="77777777">
      <w:pPr>
        <w:rPr>
          <w:szCs w:val="18"/>
        </w:rPr>
      </w:pPr>
      <w:proofErr w:type="spellStart"/>
      <w:r w:rsidRPr="00CC6D5E">
        <w:rPr>
          <w:szCs w:val="18"/>
        </w:rPr>
        <w:t>Eppo</w:t>
      </w:r>
      <w:proofErr w:type="spellEnd"/>
      <w:r w:rsidRPr="00CC6D5E">
        <w:rPr>
          <w:szCs w:val="18"/>
        </w:rPr>
        <w:t xml:space="preserve"> Bruins</w:t>
      </w:r>
    </w:p>
    <w:p w:rsidRPr="00CC6D5E" w:rsidR="00765D1C" w:rsidP="00765D1C" w:rsidRDefault="00765D1C" w14:paraId="01736569" w14:textId="77777777">
      <w:pPr>
        <w:rPr>
          <w:szCs w:val="18"/>
        </w:rPr>
      </w:pPr>
    </w:p>
    <w:p w:rsidR="00765D1C" w:rsidP="00216512" w:rsidRDefault="00765D1C" w14:paraId="16009C46" w14:textId="77777777">
      <w:pPr>
        <w:pStyle w:val="standaard-tekst"/>
        <w:rPr>
          <w:b/>
          <w:bCs/>
        </w:rPr>
      </w:pPr>
    </w:p>
    <w:p w:rsidR="00765D1C" w:rsidP="00216512" w:rsidRDefault="00765D1C" w14:paraId="7277500C" w14:textId="77777777">
      <w:pPr>
        <w:pStyle w:val="standaard-tekst"/>
        <w:rPr>
          <w:b/>
          <w:bCs/>
        </w:rPr>
      </w:pPr>
    </w:p>
    <w:p w:rsidR="00765D1C" w:rsidP="00216512" w:rsidRDefault="00765D1C" w14:paraId="7BE94FCF" w14:textId="77777777">
      <w:pPr>
        <w:pStyle w:val="standaard-tekst"/>
        <w:rPr>
          <w:b/>
          <w:bCs/>
        </w:rPr>
      </w:pPr>
    </w:p>
    <w:p w:rsidR="00D7786D" w:rsidP="00216512" w:rsidRDefault="00D7786D" w14:paraId="5E1F9CC6" w14:textId="77777777">
      <w:pPr>
        <w:pStyle w:val="standaard-tekst"/>
        <w:rPr>
          <w:b/>
          <w:bCs/>
        </w:rPr>
      </w:pPr>
    </w:p>
    <w:p w:rsidR="00D7786D" w:rsidP="00216512" w:rsidRDefault="00D7786D" w14:paraId="6D9FD75C" w14:textId="77777777">
      <w:pPr>
        <w:pStyle w:val="standaard-tekst"/>
        <w:rPr>
          <w:b/>
          <w:bCs/>
        </w:rPr>
      </w:pPr>
    </w:p>
    <w:p w:rsidR="00D7786D" w:rsidP="00216512" w:rsidRDefault="00D7786D" w14:paraId="173444F5" w14:textId="77777777">
      <w:pPr>
        <w:pStyle w:val="standaard-tekst"/>
        <w:rPr>
          <w:b/>
          <w:bCs/>
        </w:rPr>
      </w:pPr>
    </w:p>
    <w:p w:rsidR="00D7786D" w:rsidP="00216512" w:rsidRDefault="00D7786D" w14:paraId="23875D1A" w14:textId="77777777">
      <w:pPr>
        <w:pStyle w:val="standaard-tekst"/>
        <w:rPr>
          <w:b/>
          <w:bCs/>
        </w:rPr>
      </w:pPr>
    </w:p>
    <w:p w:rsidRPr="00CC6D5E" w:rsidR="00216512" w:rsidP="00216512" w:rsidRDefault="00216512" w14:paraId="222A4392" w14:textId="21F08768">
      <w:pPr>
        <w:pStyle w:val="standaard-tekst"/>
        <w:rPr>
          <w:b/>
          <w:bCs/>
        </w:rPr>
      </w:pPr>
      <w:r w:rsidRPr="00CC6D5E">
        <w:rPr>
          <w:b/>
          <w:bCs/>
        </w:rPr>
        <w:t>Bijlage 1</w:t>
      </w:r>
    </w:p>
    <w:p w:rsidRPr="00CC6D5E" w:rsidR="00216512" w:rsidP="00216512" w:rsidRDefault="00216512" w14:paraId="4A6F0D3B" w14:textId="77777777">
      <w:pPr>
        <w:pStyle w:val="standaard-tekst"/>
      </w:pPr>
    </w:p>
    <w:p w:rsidRPr="00CC6D5E" w:rsidR="00216512" w:rsidP="00216512" w:rsidRDefault="00216512" w14:paraId="215B7E6E" w14:textId="77777777">
      <w:pPr>
        <w:pStyle w:val="standaard-tekst"/>
        <w:rPr>
          <w:i/>
          <w:iCs/>
        </w:rPr>
      </w:pPr>
      <w:r w:rsidRPr="00CC6D5E">
        <w:rPr>
          <w:i/>
          <w:iCs/>
        </w:rPr>
        <w:t>Tabel 1: Toegekende instandhoudingsbijdrage en transitiebijdrage per instelling</w:t>
      </w:r>
    </w:p>
    <w:p w:rsidRPr="00CC6D5E" w:rsidR="00216512" w:rsidP="00216512" w:rsidRDefault="00216512" w14:paraId="4E0E0E50" w14:textId="77777777">
      <w:pPr>
        <w:pStyle w:val="standaard-tekst"/>
        <w:rPr>
          <w:i/>
          <w:iCs/>
        </w:rPr>
      </w:pPr>
    </w:p>
    <w:tbl>
      <w:tblPr>
        <w:tblStyle w:val="Tabelraster"/>
        <w:tblW w:w="8755" w:type="dxa"/>
        <w:tblLook w:val="04A0" w:firstRow="1" w:lastRow="0" w:firstColumn="1" w:lastColumn="0" w:noHBand="0" w:noVBand="1"/>
      </w:tblPr>
      <w:tblGrid>
        <w:gridCol w:w="3369"/>
        <w:gridCol w:w="2126"/>
        <w:gridCol w:w="1701"/>
        <w:gridCol w:w="1559"/>
      </w:tblGrid>
      <w:tr w:rsidRPr="00CC6D5E" w:rsidR="00216512" w:rsidTr="00734902" w14:paraId="074532A2" w14:textId="77777777">
        <w:trPr>
          <w:trHeight w:val="481"/>
        </w:trPr>
        <w:tc>
          <w:tcPr>
            <w:tcW w:w="3369" w:type="dxa"/>
            <w:tcBorders>
              <w:bottom w:val="nil"/>
            </w:tcBorders>
            <w:noWrap/>
          </w:tcPr>
          <w:p w:rsidRPr="00CC6D5E" w:rsidR="00216512" w:rsidP="00734902" w:rsidRDefault="00216512" w14:paraId="0C47F06D" w14:textId="77777777">
            <w:pPr>
              <w:rPr>
                <w:b/>
                <w:bCs/>
                <w:sz w:val="16"/>
                <w:szCs w:val="16"/>
              </w:rPr>
            </w:pPr>
            <w:r w:rsidRPr="00CC6D5E">
              <w:rPr>
                <w:b/>
                <w:bCs/>
                <w:sz w:val="16"/>
                <w:szCs w:val="16"/>
              </w:rPr>
              <w:t>Instelling</w:t>
            </w:r>
          </w:p>
        </w:tc>
        <w:tc>
          <w:tcPr>
            <w:tcW w:w="2126" w:type="dxa"/>
            <w:tcBorders>
              <w:bottom w:val="nil"/>
            </w:tcBorders>
          </w:tcPr>
          <w:p w:rsidRPr="00CC6D5E" w:rsidR="00216512" w:rsidP="00734902" w:rsidRDefault="00216512" w14:paraId="3EDF4583" w14:textId="77777777">
            <w:pPr>
              <w:jc w:val="right"/>
              <w:rPr>
                <w:b/>
                <w:bCs/>
                <w:sz w:val="16"/>
                <w:szCs w:val="16"/>
              </w:rPr>
            </w:pPr>
            <w:r w:rsidRPr="00CC6D5E">
              <w:rPr>
                <w:b/>
                <w:bCs/>
                <w:sz w:val="16"/>
                <w:szCs w:val="16"/>
              </w:rPr>
              <w:t>Instandhouding (€)</w:t>
            </w:r>
          </w:p>
        </w:tc>
        <w:tc>
          <w:tcPr>
            <w:tcW w:w="1701" w:type="dxa"/>
            <w:tcBorders>
              <w:bottom w:val="nil"/>
            </w:tcBorders>
          </w:tcPr>
          <w:p w:rsidRPr="00CC6D5E" w:rsidR="00216512" w:rsidP="00734902" w:rsidRDefault="00216512" w14:paraId="167A8A1C" w14:textId="77777777">
            <w:pPr>
              <w:jc w:val="right"/>
              <w:rPr>
                <w:b/>
                <w:bCs/>
                <w:sz w:val="16"/>
                <w:szCs w:val="16"/>
              </w:rPr>
            </w:pPr>
            <w:r w:rsidRPr="00CC6D5E">
              <w:rPr>
                <w:b/>
                <w:bCs/>
                <w:sz w:val="16"/>
                <w:szCs w:val="16"/>
              </w:rPr>
              <w:t>Transitie (€)</w:t>
            </w:r>
          </w:p>
        </w:tc>
        <w:tc>
          <w:tcPr>
            <w:tcW w:w="1559" w:type="dxa"/>
            <w:tcBorders>
              <w:bottom w:val="nil"/>
            </w:tcBorders>
          </w:tcPr>
          <w:p w:rsidRPr="00CC6D5E" w:rsidR="00216512" w:rsidP="00734902" w:rsidRDefault="00216512" w14:paraId="76110DA4" w14:textId="77777777">
            <w:pPr>
              <w:jc w:val="right"/>
              <w:rPr>
                <w:b/>
                <w:bCs/>
                <w:sz w:val="16"/>
                <w:szCs w:val="16"/>
              </w:rPr>
            </w:pPr>
            <w:r w:rsidRPr="00CC6D5E">
              <w:rPr>
                <w:b/>
                <w:bCs/>
                <w:sz w:val="16"/>
                <w:szCs w:val="16"/>
              </w:rPr>
              <w:t>Totaal (€)</w:t>
            </w:r>
          </w:p>
        </w:tc>
      </w:tr>
      <w:tr w:rsidRPr="00CC6D5E" w:rsidR="00216512" w:rsidTr="00734902" w14:paraId="4EAF628D" w14:textId="77777777">
        <w:trPr>
          <w:trHeight w:val="64"/>
        </w:trPr>
        <w:tc>
          <w:tcPr>
            <w:tcW w:w="3369" w:type="dxa"/>
            <w:noWrap/>
            <w:hideMark/>
          </w:tcPr>
          <w:p w:rsidRPr="00CC6D5E" w:rsidR="00216512" w:rsidP="00734902" w:rsidRDefault="00216512" w14:paraId="04B4339E" w14:textId="77777777">
            <w:pPr>
              <w:rPr>
                <w:sz w:val="16"/>
                <w:szCs w:val="16"/>
              </w:rPr>
            </w:pPr>
            <w:proofErr w:type="spellStart"/>
            <w:r w:rsidRPr="00CC6D5E">
              <w:rPr>
                <w:sz w:val="16"/>
                <w:szCs w:val="16"/>
              </w:rPr>
              <w:t>Aeres</w:t>
            </w:r>
            <w:proofErr w:type="spellEnd"/>
            <w:r w:rsidRPr="00CC6D5E">
              <w:rPr>
                <w:sz w:val="16"/>
                <w:szCs w:val="16"/>
              </w:rPr>
              <w:t xml:space="preserve"> Hogeschool</w:t>
            </w:r>
          </w:p>
        </w:tc>
        <w:tc>
          <w:tcPr>
            <w:tcW w:w="2126" w:type="dxa"/>
          </w:tcPr>
          <w:p w:rsidRPr="00CC6D5E" w:rsidR="00216512" w:rsidP="00734902" w:rsidRDefault="00216512" w14:paraId="102CE1CF" w14:textId="77777777">
            <w:pPr>
              <w:jc w:val="right"/>
              <w:rPr>
                <w:sz w:val="16"/>
                <w:szCs w:val="16"/>
              </w:rPr>
            </w:pPr>
            <w:r w:rsidRPr="00CC6D5E">
              <w:rPr>
                <w:sz w:val="16"/>
                <w:szCs w:val="16"/>
              </w:rPr>
              <w:t>645.654</w:t>
            </w:r>
          </w:p>
        </w:tc>
        <w:tc>
          <w:tcPr>
            <w:tcW w:w="1701" w:type="dxa"/>
          </w:tcPr>
          <w:p w:rsidRPr="00CC6D5E" w:rsidR="00216512" w:rsidP="00734902" w:rsidRDefault="00216512" w14:paraId="24DF7886" w14:textId="77777777">
            <w:pPr>
              <w:jc w:val="right"/>
              <w:rPr>
                <w:sz w:val="16"/>
                <w:szCs w:val="16"/>
              </w:rPr>
            </w:pPr>
            <w:r w:rsidRPr="00CC6D5E">
              <w:rPr>
                <w:sz w:val="16"/>
                <w:szCs w:val="16"/>
              </w:rPr>
              <w:t>2.686.417</w:t>
            </w:r>
          </w:p>
        </w:tc>
        <w:tc>
          <w:tcPr>
            <w:tcW w:w="1559" w:type="dxa"/>
          </w:tcPr>
          <w:p w:rsidRPr="00CC6D5E" w:rsidR="00216512" w:rsidP="00734902" w:rsidRDefault="00216512" w14:paraId="2C1F7A9B" w14:textId="77777777">
            <w:pPr>
              <w:jc w:val="right"/>
              <w:rPr>
                <w:sz w:val="16"/>
                <w:szCs w:val="16"/>
              </w:rPr>
            </w:pPr>
            <w:r w:rsidRPr="00CC6D5E">
              <w:rPr>
                <w:sz w:val="16"/>
                <w:szCs w:val="16"/>
              </w:rPr>
              <w:t>3.332.070</w:t>
            </w:r>
          </w:p>
        </w:tc>
      </w:tr>
      <w:tr w:rsidRPr="00CC6D5E" w:rsidR="00216512" w:rsidTr="00734902" w14:paraId="0568E2AE" w14:textId="77777777">
        <w:trPr>
          <w:trHeight w:val="64"/>
        </w:trPr>
        <w:tc>
          <w:tcPr>
            <w:tcW w:w="3369" w:type="dxa"/>
            <w:noWrap/>
            <w:hideMark/>
          </w:tcPr>
          <w:p w:rsidRPr="00CC6D5E" w:rsidR="00216512" w:rsidP="00734902" w:rsidRDefault="00216512" w14:paraId="396497AF" w14:textId="77777777">
            <w:pPr>
              <w:rPr>
                <w:sz w:val="16"/>
                <w:szCs w:val="16"/>
              </w:rPr>
            </w:pPr>
            <w:proofErr w:type="spellStart"/>
            <w:r w:rsidRPr="00CC6D5E">
              <w:rPr>
                <w:sz w:val="16"/>
                <w:szCs w:val="16"/>
              </w:rPr>
              <w:t>Avans</w:t>
            </w:r>
            <w:proofErr w:type="spellEnd"/>
            <w:r w:rsidRPr="00CC6D5E">
              <w:rPr>
                <w:sz w:val="16"/>
                <w:szCs w:val="16"/>
              </w:rPr>
              <w:t xml:space="preserve"> Hogeschool</w:t>
            </w:r>
          </w:p>
        </w:tc>
        <w:tc>
          <w:tcPr>
            <w:tcW w:w="2126" w:type="dxa"/>
          </w:tcPr>
          <w:p w:rsidRPr="00CC6D5E" w:rsidR="00216512" w:rsidP="00734902" w:rsidRDefault="00216512" w14:paraId="631BF3F5" w14:textId="77777777">
            <w:pPr>
              <w:jc w:val="right"/>
              <w:rPr>
                <w:sz w:val="16"/>
                <w:szCs w:val="16"/>
              </w:rPr>
            </w:pPr>
            <w:r w:rsidRPr="00CC6D5E">
              <w:rPr>
                <w:sz w:val="16"/>
                <w:szCs w:val="16"/>
              </w:rPr>
              <w:t>1.962.392</w:t>
            </w:r>
          </w:p>
        </w:tc>
        <w:tc>
          <w:tcPr>
            <w:tcW w:w="1701" w:type="dxa"/>
          </w:tcPr>
          <w:p w:rsidRPr="00CC6D5E" w:rsidR="00216512" w:rsidP="00734902" w:rsidRDefault="00216512" w14:paraId="426AE09C" w14:textId="77777777">
            <w:pPr>
              <w:jc w:val="right"/>
              <w:rPr>
                <w:sz w:val="16"/>
                <w:szCs w:val="16"/>
              </w:rPr>
            </w:pPr>
            <w:r w:rsidRPr="00CC6D5E">
              <w:rPr>
                <w:sz w:val="16"/>
                <w:szCs w:val="16"/>
              </w:rPr>
              <w:t>2.488.167</w:t>
            </w:r>
          </w:p>
        </w:tc>
        <w:tc>
          <w:tcPr>
            <w:tcW w:w="1559" w:type="dxa"/>
          </w:tcPr>
          <w:p w:rsidRPr="00CC6D5E" w:rsidR="00216512" w:rsidP="00734902" w:rsidRDefault="00216512" w14:paraId="19379C03" w14:textId="77777777">
            <w:pPr>
              <w:jc w:val="right"/>
              <w:rPr>
                <w:sz w:val="16"/>
                <w:szCs w:val="16"/>
              </w:rPr>
            </w:pPr>
            <w:r w:rsidRPr="00CC6D5E">
              <w:rPr>
                <w:sz w:val="16"/>
                <w:szCs w:val="16"/>
              </w:rPr>
              <w:t>4.450.559</w:t>
            </w:r>
          </w:p>
        </w:tc>
      </w:tr>
      <w:tr w:rsidRPr="00CC6D5E" w:rsidR="00216512" w:rsidTr="00734902" w14:paraId="17799248" w14:textId="77777777">
        <w:trPr>
          <w:trHeight w:val="64"/>
        </w:trPr>
        <w:tc>
          <w:tcPr>
            <w:tcW w:w="3369" w:type="dxa"/>
            <w:noWrap/>
            <w:hideMark/>
          </w:tcPr>
          <w:p w:rsidRPr="00CC6D5E" w:rsidR="00216512" w:rsidP="00734902" w:rsidRDefault="00216512" w14:paraId="23CCDA8B" w14:textId="77777777">
            <w:pPr>
              <w:rPr>
                <w:sz w:val="16"/>
                <w:szCs w:val="16"/>
              </w:rPr>
            </w:pPr>
            <w:r w:rsidRPr="00CC6D5E">
              <w:rPr>
                <w:sz w:val="16"/>
                <w:szCs w:val="16"/>
              </w:rPr>
              <w:t>Christelijke Hogeschool Windesheim</w:t>
            </w:r>
          </w:p>
        </w:tc>
        <w:tc>
          <w:tcPr>
            <w:tcW w:w="2126" w:type="dxa"/>
          </w:tcPr>
          <w:p w:rsidRPr="00CC6D5E" w:rsidR="00216512" w:rsidP="00734902" w:rsidRDefault="00216512" w14:paraId="04E8DC38" w14:textId="77777777">
            <w:pPr>
              <w:jc w:val="right"/>
              <w:rPr>
                <w:sz w:val="16"/>
                <w:szCs w:val="16"/>
              </w:rPr>
            </w:pPr>
            <w:r w:rsidRPr="00CC6D5E">
              <w:rPr>
                <w:sz w:val="16"/>
                <w:szCs w:val="16"/>
              </w:rPr>
              <w:t>702.096</w:t>
            </w:r>
          </w:p>
        </w:tc>
        <w:tc>
          <w:tcPr>
            <w:tcW w:w="1701" w:type="dxa"/>
          </w:tcPr>
          <w:p w:rsidRPr="00CC6D5E" w:rsidR="00216512" w:rsidP="00734902" w:rsidRDefault="00216512" w14:paraId="7454FC06" w14:textId="77777777">
            <w:pPr>
              <w:jc w:val="right"/>
              <w:rPr>
                <w:sz w:val="16"/>
                <w:szCs w:val="16"/>
              </w:rPr>
            </w:pPr>
            <w:r w:rsidRPr="00CC6D5E">
              <w:rPr>
                <w:sz w:val="16"/>
                <w:szCs w:val="16"/>
              </w:rPr>
              <w:t>2.496.681</w:t>
            </w:r>
          </w:p>
        </w:tc>
        <w:tc>
          <w:tcPr>
            <w:tcW w:w="1559" w:type="dxa"/>
          </w:tcPr>
          <w:p w:rsidRPr="00CC6D5E" w:rsidR="00216512" w:rsidP="00734902" w:rsidRDefault="00216512" w14:paraId="7B556E68" w14:textId="77777777">
            <w:pPr>
              <w:pStyle w:val="Default"/>
              <w:jc w:val="right"/>
              <w:rPr>
                <w:rFonts w:ascii="Verdana" w:hAnsi="Verdana" w:cs="Times New Roman"/>
                <w:color w:val="auto"/>
                <w:sz w:val="16"/>
                <w:szCs w:val="16"/>
                <w:lang w:eastAsia="nl-NL"/>
              </w:rPr>
            </w:pPr>
            <w:r w:rsidRPr="00CC6D5E">
              <w:rPr>
                <w:rFonts w:ascii="Verdana" w:hAnsi="Verdana" w:cs="Times New Roman"/>
                <w:color w:val="auto"/>
                <w:sz w:val="16"/>
                <w:szCs w:val="16"/>
                <w:lang w:eastAsia="nl-NL"/>
              </w:rPr>
              <w:t xml:space="preserve">3.198.776 </w:t>
            </w:r>
          </w:p>
        </w:tc>
      </w:tr>
      <w:tr w:rsidRPr="00CC6D5E" w:rsidR="00216512" w:rsidTr="00734902" w14:paraId="452668D0" w14:textId="77777777">
        <w:trPr>
          <w:trHeight w:val="64"/>
        </w:trPr>
        <w:tc>
          <w:tcPr>
            <w:tcW w:w="3369" w:type="dxa"/>
            <w:noWrap/>
            <w:hideMark/>
          </w:tcPr>
          <w:p w:rsidRPr="00CC6D5E" w:rsidR="00216512" w:rsidP="00734902" w:rsidRDefault="00216512" w14:paraId="2DED896F" w14:textId="77777777">
            <w:pPr>
              <w:rPr>
                <w:sz w:val="16"/>
                <w:szCs w:val="16"/>
              </w:rPr>
            </w:pPr>
            <w:proofErr w:type="spellStart"/>
            <w:r w:rsidRPr="00CC6D5E">
              <w:rPr>
                <w:sz w:val="16"/>
                <w:szCs w:val="16"/>
              </w:rPr>
              <w:t>Fontys</w:t>
            </w:r>
            <w:proofErr w:type="spellEnd"/>
            <w:r w:rsidRPr="00CC6D5E">
              <w:rPr>
                <w:sz w:val="16"/>
                <w:szCs w:val="16"/>
              </w:rPr>
              <w:t xml:space="preserve"> Hogeschool</w:t>
            </w:r>
          </w:p>
        </w:tc>
        <w:tc>
          <w:tcPr>
            <w:tcW w:w="2126" w:type="dxa"/>
          </w:tcPr>
          <w:p w:rsidRPr="00CC6D5E" w:rsidR="00216512" w:rsidP="00734902" w:rsidRDefault="00216512" w14:paraId="0CBE206C" w14:textId="77777777">
            <w:pPr>
              <w:jc w:val="right"/>
              <w:rPr>
                <w:sz w:val="16"/>
                <w:szCs w:val="16"/>
              </w:rPr>
            </w:pPr>
            <w:r w:rsidRPr="00CC6D5E">
              <w:rPr>
                <w:sz w:val="16"/>
                <w:szCs w:val="16"/>
              </w:rPr>
              <w:t xml:space="preserve">2.550.086 </w:t>
            </w:r>
          </w:p>
        </w:tc>
        <w:tc>
          <w:tcPr>
            <w:tcW w:w="1701" w:type="dxa"/>
          </w:tcPr>
          <w:p w:rsidRPr="00CC6D5E" w:rsidR="00216512" w:rsidP="00734902" w:rsidRDefault="00216512" w14:paraId="74EE9271" w14:textId="77777777">
            <w:pPr>
              <w:jc w:val="right"/>
              <w:rPr>
                <w:sz w:val="16"/>
                <w:szCs w:val="16"/>
              </w:rPr>
            </w:pPr>
            <w:r w:rsidRPr="00CC6D5E">
              <w:rPr>
                <w:sz w:val="16"/>
                <w:szCs w:val="16"/>
              </w:rPr>
              <w:t>3.323.868</w:t>
            </w:r>
          </w:p>
        </w:tc>
        <w:tc>
          <w:tcPr>
            <w:tcW w:w="1559" w:type="dxa"/>
          </w:tcPr>
          <w:p w:rsidRPr="00CC6D5E" w:rsidR="00216512" w:rsidP="00734902" w:rsidRDefault="00216512" w14:paraId="7F74F6A1" w14:textId="77777777">
            <w:pPr>
              <w:jc w:val="right"/>
              <w:rPr>
                <w:sz w:val="16"/>
                <w:szCs w:val="16"/>
              </w:rPr>
            </w:pPr>
            <w:r w:rsidRPr="00CC6D5E">
              <w:rPr>
                <w:sz w:val="16"/>
                <w:szCs w:val="16"/>
              </w:rPr>
              <w:t xml:space="preserve">5.873.954 </w:t>
            </w:r>
          </w:p>
        </w:tc>
      </w:tr>
      <w:tr w:rsidRPr="00CC6D5E" w:rsidR="00216512" w:rsidTr="00734902" w14:paraId="02E09557" w14:textId="77777777">
        <w:trPr>
          <w:trHeight w:val="64"/>
        </w:trPr>
        <w:tc>
          <w:tcPr>
            <w:tcW w:w="3369" w:type="dxa"/>
            <w:noWrap/>
            <w:hideMark/>
          </w:tcPr>
          <w:p w:rsidRPr="00CC6D5E" w:rsidR="00216512" w:rsidP="00734902" w:rsidRDefault="00216512" w14:paraId="6D8FC3CF" w14:textId="77777777">
            <w:pPr>
              <w:rPr>
                <w:sz w:val="16"/>
                <w:szCs w:val="16"/>
              </w:rPr>
            </w:pPr>
            <w:r w:rsidRPr="00CC6D5E">
              <w:rPr>
                <w:sz w:val="16"/>
                <w:szCs w:val="16"/>
              </w:rPr>
              <w:t>Hanzehogeschool Groningen</w:t>
            </w:r>
          </w:p>
        </w:tc>
        <w:tc>
          <w:tcPr>
            <w:tcW w:w="2126" w:type="dxa"/>
          </w:tcPr>
          <w:p w:rsidRPr="00CC6D5E" w:rsidR="00216512" w:rsidP="00734902" w:rsidRDefault="00216512" w14:paraId="3F57CAA5" w14:textId="77777777">
            <w:pPr>
              <w:jc w:val="right"/>
              <w:rPr>
                <w:sz w:val="16"/>
                <w:szCs w:val="16"/>
              </w:rPr>
            </w:pPr>
            <w:r w:rsidRPr="00CC6D5E">
              <w:rPr>
                <w:sz w:val="16"/>
                <w:szCs w:val="16"/>
              </w:rPr>
              <w:t xml:space="preserve">1.314.947 </w:t>
            </w:r>
          </w:p>
        </w:tc>
        <w:tc>
          <w:tcPr>
            <w:tcW w:w="1701" w:type="dxa"/>
          </w:tcPr>
          <w:p w:rsidRPr="00CC6D5E" w:rsidR="00216512" w:rsidP="00734902" w:rsidRDefault="00216512" w14:paraId="2605EBE4" w14:textId="77777777">
            <w:pPr>
              <w:jc w:val="right"/>
              <w:rPr>
                <w:sz w:val="16"/>
                <w:szCs w:val="16"/>
              </w:rPr>
            </w:pPr>
            <w:r w:rsidRPr="00CC6D5E">
              <w:rPr>
                <w:sz w:val="16"/>
                <w:szCs w:val="16"/>
              </w:rPr>
              <w:t xml:space="preserve">2.988.700 </w:t>
            </w:r>
          </w:p>
        </w:tc>
        <w:tc>
          <w:tcPr>
            <w:tcW w:w="1559" w:type="dxa"/>
          </w:tcPr>
          <w:p w:rsidRPr="00CC6D5E" w:rsidR="00216512" w:rsidP="00734902" w:rsidRDefault="00216512" w14:paraId="4C375C66" w14:textId="77777777">
            <w:pPr>
              <w:jc w:val="right"/>
              <w:rPr>
                <w:sz w:val="16"/>
                <w:szCs w:val="16"/>
              </w:rPr>
            </w:pPr>
            <w:r w:rsidRPr="00CC6D5E">
              <w:rPr>
                <w:sz w:val="16"/>
                <w:szCs w:val="16"/>
              </w:rPr>
              <w:t xml:space="preserve">4.303.647 </w:t>
            </w:r>
          </w:p>
        </w:tc>
      </w:tr>
      <w:tr w:rsidRPr="00CC6D5E" w:rsidR="00216512" w:rsidTr="00734902" w14:paraId="45A1F879" w14:textId="77777777">
        <w:trPr>
          <w:trHeight w:val="64"/>
        </w:trPr>
        <w:tc>
          <w:tcPr>
            <w:tcW w:w="3369" w:type="dxa"/>
            <w:noWrap/>
            <w:hideMark/>
          </w:tcPr>
          <w:p w:rsidRPr="00CC6D5E" w:rsidR="00216512" w:rsidP="00734902" w:rsidRDefault="00216512" w14:paraId="7CCDEDBD" w14:textId="77777777">
            <w:pPr>
              <w:rPr>
                <w:sz w:val="16"/>
                <w:szCs w:val="16"/>
              </w:rPr>
            </w:pPr>
            <w:r w:rsidRPr="00CC6D5E">
              <w:rPr>
                <w:sz w:val="16"/>
                <w:szCs w:val="16"/>
              </w:rPr>
              <w:t xml:space="preserve">HAS green </w:t>
            </w:r>
            <w:proofErr w:type="spellStart"/>
            <w:r w:rsidRPr="00CC6D5E">
              <w:rPr>
                <w:sz w:val="16"/>
                <w:szCs w:val="16"/>
              </w:rPr>
              <w:t>academy</w:t>
            </w:r>
            <w:proofErr w:type="spellEnd"/>
          </w:p>
        </w:tc>
        <w:tc>
          <w:tcPr>
            <w:tcW w:w="2126" w:type="dxa"/>
          </w:tcPr>
          <w:p w:rsidRPr="00CC6D5E" w:rsidR="00216512" w:rsidP="00734902" w:rsidRDefault="00216512" w14:paraId="03266247" w14:textId="77777777">
            <w:pPr>
              <w:jc w:val="right"/>
              <w:rPr>
                <w:sz w:val="16"/>
                <w:szCs w:val="16"/>
              </w:rPr>
            </w:pPr>
            <w:r w:rsidRPr="00CC6D5E">
              <w:rPr>
                <w:sz w:val="16"/>
                <w:szCs w:val="16"/>
              </w:rPr>
              <w:t xml:space="preserve">824.239 </w:t>
            </w:r>
          </w:p>
        </w:tc>
        <w:tc>
          <w:tcPr>
            <w:tcW w:w="1701" w:type="dxa"/>
          </w:tcPr>
          <w:p w:rsidRPr="00CC6D5E" w:rsidR="00216512" w:rsidP="00734902" w:rsidRDefault="00216512" w14:paraId="7294F683" w14:textId="77777777">
            <w:pPr>
              <w:jc w:val="right"/>
              <w:rPr>
                <w:sz w:val="16"/>
                <w:szCs w:val="16"/>
              </w:rPr>
            </w:pPr>
            <w:r w:rsidRPr="00CC6D5E">
              <w:rPr>
                <w:sz w:val="16"/>
                <w:szCs w:val="16"/>
              </w:rPr>
              <w:t xml:space="preserve">1.981.352 </w:t>
            </w:r>
          </w:p>
        </w:tc>
        <w:tc>
          <w:tcPr>
            <w:tcW w:w="1559" w:type="dxa"/>
          </w:tcPr>
          <w:p w:rsidRPr="00CC6D5E" w:rsidR="00216512" w:rsidP="00734902" w:rsidRDefault="00216512" w14:paraId="57C1ECB0" w14:textId="77777777">
            <w:pPr>
              <w:jc w:val="right"/>
              <w:rPr>
                <w:sz w:val="16"/>
                <w:szCs w:val="16"/>
              </w:rPr>
            </w:pPr>
            <w:r w:rsidRPr="00CC6D5E">
              <w:rPr>
                <w:sz w:val="16"/>
                <w:szCs w:val="16"/>
              </w:rPr>
              <w:t xml:space="preserve">2.805.590 </w:t>
            </w:r>
          </w:p>
        </w:tc>
      </w:tr>
      <w:tr w:rsidRPr="00CC6D5E" w:rsidR="00216512" w:rsidTr="00734902" w14:paraId="75B474C1" w14:textId="77777777">
        <w:trPr>
          <w:trHeight w:val="64"/>
        </w:trPr>
        <w:tc>
          <w:tcPr>
            <w:tcW w:w="3369" w:type="dxa"/>
            <w:noWrap/>
            <w:hideMark/>
          </w:tcPr>
          <w:p w:rsidRPr="00CC6D5E" w:rsidR="00216512" w:rsidP="00734902" w:rsidRDefault="00216512" w14:paraId="71C6204E" w14:textId="77777777">
            <w:pPr>
              <w:rPr>
                <w:sz w:val="16"/>
                <w:szCs w:val="16"/>
              </w:rPr>
            </w:pPr>
            <w:r w:rsidRPr="00CC6D5E">
              <w:rPr>
                <w:sz w:val="16"/>
                <w:szCs w:val="16"/>
              </w:rPr>
              <w:t>Hogeschool KPZ</w:t>
            </w:r>
          </w:p>
        </w:tc>
        <w:tc>
          <w:tcPr>
            <w:tcW w:w="2126" w:type="dxa"/>
          </w:tcPr>
          <w:p w:rsidRPr="00CC6D5E" w:rsidR="00216512" w:rsidP="00734902" w:rsidRDefault="00216512" w14:paraId="58D2552F" w14:textId="77777777">
            <w:pPr>
              <w:jc w:val="right"/>
              <w:rPr>
                <w:sz w:val="16"/>
                <w:szCs w:val="16"/>
              </w:rPr>
            </w:pPr>
            <w:r w:rsidRPr="00CC6D5E">
              <w:rPr>
                <w:sz w:val="16"/>
                <w:szCs w:val="16"/>
              </w:rPr>
              <w:t xml:space="preserve">172.181 </w:t>
            </w:r>
          </w:p>
        </w:tc>
        <w:tc>
          <w:tcPr>
            <w:tcW w:w="1701" w:type="dxa"/>
          </w:tcPr>
          <w:p w:rsidRPr="00CC6D5E" w:rsidR="00216512" w:rsidP="00734902" w:rsidRDefault="00216512" w14:paraId="181AC7DD" w14:textId="77777777">
            <w:pPr>
              <w:jc w:val="right"/>
              <w:rPr>
                <w:sz w:val="16"/>
                <w:szCs w:val="16"/>
              </w:rPr>
            </w:pPr>
            <w:r w:rsidRPr="00CC6D5E">
              <w:rPr>
                <w:sz w:val="16"/>
                <w:szCs w:val="16"/>
              </w:rPr>
              <w:t xml:space="preserve">417.929 </w:t>
            </w:r>
          </w:p>
        </w:tc>
        <w:tc>
          <w:tcPr>
            <w:tcW w:w="1559" w:type="dxa"/>
          </w:tcPr>
          <w:p w:rsidRPr="00CC6D5E" w:rsidR="00216512" w:rsidP="00734902" w:rsidRDefault="00216512" w14:paraId="56723051" w14:textId="77777777">
            <w:pPr>
              <w:jc w:val="right"/>
              <w:rPr>
                <w:sz w:val="16"/>
                <w:szCs w:val="16"/>
              </w:rPr>
            </w:pPr>
            <w:r w:rsidRPr="00CC6D5E">
              <w:rPr>
                <w:sz w:val="16"/>
                <w:szCs w:val="16"/>
              </w:rPr>
              <w:t xml:space="preserve">590.111 </w:t>
            </w:r>
          </w:p>
        </w:tc>
      </w:tr>
      <w:tr w:rsidRPr="00310322" w:rsidR="00216512" w:rsidTr="00734902" w14:paraId="2C65D002" w14:textId="77777777">
        <w:trPr>
          <w:trHeight w:val="64"/>
        </w:trPr>
        <w:tc>
          <w:tcPr>
            <w:tcW w:w="3369" w:type="dxa"/>
            <w:noWrap/>
            <w:hideMark/>
          </w:tcPr>
          <w:p w:rsidRPr="00CC6D5E" w:rsidR="00216512" w:rsidP="00734902" w:rsidRDefault="00216512" w14:paraId="26F00E72" w14:textId="77777777">
            <w:pPr>
              <w:rPr>
                <w:sz w:val="16"/>
                <w:szCs w:val="16"/>
              </w:rPr>
            </w:pPr>
            <w:r w:rsidRPr="00CC6D5E">
              <w:rPr>
                <w:sz w:val="16"/>
                <w:szCs w:val="16"/>
              </w:rPr>
              <w:t>Hogeschool van Arnhem en Nijmegen</w:t>
            </w:r>
          </w:p>
        </w:tc>
        <w:tc>
          <w:tcPr>
            <w:tcW w:w="2126" w:type="dxa"/>
          </w:tcPr>
          <w:p w:rsidRPr="00CC6D5E" w:rsidR="00216512" w:rsidP="00734902" w:rsidRDefault="00216512" w14:paraId="6266E87B" w14:textId="77777777">
            <w:pPr>
              <w:jc w:val="right"/>
              <w:rPr>
                <w:sz w:val="16"/>
                <w:szCs w:val="16"/>
              </w:rPr>
            </w:pPr>
            <w:r w:rsidRPr="00CC6D5E">
              <w:rPr>
                <w:sz w:val="16"/>
                <w:szCs w:val="16"/>
              </w:rPr>
              <w:t xml:space="preserve">883.598 </w:t>
            </w:r>
          </w:p>
        </w:tc>
        <w:tc>
          <w:tcPr>
            <w:tcW w:w="1701" w:type="dxa"/>
          </w:tcPr>
          <w:p w:rsidRPr="00CC6D5E" w:rsidR="00216512" w:rsidP="00734902" w:rsidRDefault="00216512" w14:paraId="20F191F3" w14:textId="77777777">
            <w:pPr>
              <w:jc w:val="right"/>
              <w:rPr>
                <w:sz w:val="16"/>
                <w:szCs w:val="16"/>
              </w:rPr>
            </w:pPr>
            <w:r w:rsidRPr="00CC6D5E">
              <w:rPr>
                <w:sz w:val="16"/>
                <w:szCs w:val="16"/>
              </w:rPr>
              <w:t xml:space="preserve">4.466.463 </w:t>
            </w:r>
          </w:p>
        </w:tc>
        <w:tc>
          <w:tcPr>
            <w:tcW w:w="1559" w:type="dxa"/>
          </w:tcPr>
          <w:p w:rsidRPr="0088754B" w:rsidR="00216512" w:rsidP="00734902" w:rsidRDefault="00216512" w14:paraId="6E78D3E4" w14:textId="77777777">
            <w:pPr>
              <w:jc w:val="right"/>
              <w:rPr>
                <w:sz w:val="16"/>
                <w:szCs w:val="16"/>
              </w:rPr>
            </w:pPr>
            <w:r w:rsidRPr="00CC6D5E">
              <w:rPr>
                <w:sz w:val="16"/>
                <w:szCs w:val="16"/>
              </w:rPr>
              <w:t>5.350.061</w:t>
            </w:r>
            <w:r w:rsidRPr="00B32995">
              <w:rPr>
                <w:sz w:val="16"/>
                <w:szCs w:val="16"/>
              </w:rPr>
              <w:t xml:space="preserve"> </w:t>
            </w:r>
          </w:p>
        </w:tc>
      </w:tr>
      <w:tr w:rsidRPr="00310322" w:rsidR="00216512" w:rsidTr="00734902" w14:paraId="648437EF" w14:textId="77777777">
        <w:trPr>
          <w:trHeight w:val="64"/>
        </w:trPr>
        <w:tc>
          <w:tcPr>
            <w:tcW w:w="3369" w:type="dxa"/>
            <w:noWrap/>
            <w:hideMark/>
          </w:tcPr>
          <w:p w:rsidRPr="0088754B" w:rsidR="00216512" w:rsidP="00734902" w:rsidRDefault="00216512" w14:paraId="58E9B212" w14:textId="77777777">
            <w:pPr>
              <w:rPr>
                <w:sz w:val="16"/>
                <w:szCs w:val="16"/>
              </w:rPr>
            </w:pPr>
            <w:r w:rsidRPr="0088754B">
              <w:rPr>
                <w:sz w:val="16"/>
                <w:szCs w:val="16"/>
              </w:rPr>
              <w:t xml:space="preserve">Hogeschool Van Hall </w:t>
            </w:r>
            <w:proofErr w:type="spellStart"/>
            <w:r w:rsidRPr="0088754B">
              <w:rPr>
                <w:sz w:val="16"/>
                <w:szCs w:val="16"/>
              </w:rPr>
              <w:t>Larenstein</w:t>
            </w:r>
            <w:proofErr w:type="spellEnd"/>
          </w:p>
        </w:tc>
        <w:tc>
          <w:tcPr>
            <w:tcW w:w="2126" w:type="dxa"/>
          </w:tcPr>
          <w:p w:rsidRPr="00B32995" w:rsidR="00216512" w:rsidP="00734902" w:rsidRDefault="00216512" w14:paraId="1861321C" w14:textId="77777777">
            <w:pPr>
              <w:jc w:val="right"/>
              <w:rPr>
                <w:sz w:val="16"/>
                <w:szCs w:val="16"/>
              </w:rPr>
            </w:pPr>
            <w:r w:rsidRPr="00B32995">
              <w:rPr>
                <w:sz w:val="16"/>
                <w:szCs w:val="16"/>
              </w:rPr>
              <w:t xml:space="preserve">552.943 </w:t>
            </w:r>
          </w:p>
        </w:tc>
        <w:tc>
          <w:tcPr>
            <w:tcW w:w="1701" w:type="dxa"/>
          </w:tcPr>
          <w:p w:rsidRPr="0088754B" w:rsidR="00216512" w:rsidP="00734902" w:rsidRDefault="00216512" w14:paraId="63CC2048" w14:textId="77777777">
            <w:pPr>
              <w:jc w:val="right"/>
              <w:rPr>
                <w:sz w:val="16"/>
                <w:szCs w:val="16"/>
              </w:rPr>
            </w:pPr>
            <w:r w:rsidRPr="00B32995">
              <w:rPr>
                <w:sz w:val="16"/>
                <w:szCs w:val="16"/>
              </w:rPr>
              <w:t xml:space="preserve">1.254.632 </w:t>
            </w:r>
          </w:p>
        </w:tc>
        <w:tc>
          <w:tcPr>
            <w:tcW w:w="1559" w:type="dxa"/>
          </w:tcPr>
          <w:p w:rsidRPr="0088754B" w:rsidR="00216512" w:rsidP="00734902" w:rsidRDefault="00216512" w14:paraId="28FF4845" w14:textId="77777777">
            <w:pPr>
              <w:jc w:val="right"/>
              <w:rPr>
                <w:sz w:val="16"/>
                <w:szCs w:val="16"/>
              </w:rPr>
            </w:pPr>
            <w:r w:rsidRPr="00B32995">
              <w:rPr>
                <w:sz w:val="16"/>
                <w:szCs w:val="16"/>
              </w:rPr>
              <w:t xml:space="preserve">1.807.575 </w:t>
            </w:r>
          </w:p>
        </w:tc>
      </w:tr>
      <w:tr w:rsidRPr="00310322" w:rsidR="00216512" w:rsidTr="00734902" w14:paraId="0319A4F5" w14:textId="77777777">
        <w:trPr>
          <w:trHeight w:val="64"/>
        </w:trPr>
        <w:tc>
          <w:tcPr>
            <w:tcW w:w="3369" w:type="dxa"/>
            <w:noWrap/>
            <w:hideMark/>
          </w:tcPr>
          <w:p w:rsidRPr="0088754B" w:rsidR="00216512" w:rsidP="00734902" w:rsidRDefault="00216512" w14:paraId="3F62C6DB" w14:textId="77777777">
            <w:pPr>
              <w:rPr>
                <w:sz w:val="16"/>
                <w:szCs w:val="16"/>
                <w:lang w:val="en-US"/>
              </w:rPr>
            </w:pPr>
            <w:r w:rsidRPr="0088754B">
              <w:rPr>
                <w:sz w:val="16"/>
                <w:szCs w:val="16"/>
                <w:lang w:val="en-US"/>
              </w:rPr>
              <w:t>HZ University of Applied Sciences</w:t>
            </w:r>
          </w:p>
        </w:tc>
        <w:tc>
          <w:tcPr>
            <w:tcW w:w="2126" w:type="dxa"/>
          </w:tcPr>
          <w:p w:rsidRPr="00B32995" w:rsidR="00216512" w:rsidP="00734902" w:rsidRDefault="00216512" w14:paraId="4B73A323" w14:textId="77777777">
            <w:pPr>
              <w:jc w:val="right"/>
              <w:rPr>
                <w:sz w:val="16"/>
                <w:szCs w:val="16"/>
              </w:rPr>
            </w:pPr>
            <w:r w:rsidRPr="00B32995">
              <w:rPr>
                <w:sz w:val="16"/>
                <w:szCs w:val="16"/>
              </w:rPr>
              <w:t xml:space="preserve">652.021 </w:t>
            </w:r>
          </w:p>
        </w:tc>
        <w:tc>
          <w:tcPr>
            <w:tcW w:w="1701" w:type="dxa"/>
          </w:tcPr>
          <w:p w:rsidRPr="00B32995" w:rsidR="00216512" w:rsidP="00734902" w:rsidRDefault="00216512" w14:paraId="2E465EEA" w14:textId="77777777">
            <w:pPr>
              <w:jc w:val="right"/>
              <w:rPr>
                <w:sz w:val="16"/>
                <w:szCs w:val="16"/>
              </w:rPr>
            </w:pPr>
            <w:r w:rsidRPr="00B32995">
              <w:rPr>
                <w:sz w:val="16"/>
                <w:szCs w:val="16"/>
              </w:rPr>
              <w:t xml:space="preserve">2.015.775 </w:t>
            </w:r>
          </w:p>
        </w:tc>
        <w:tc>
          <w:tcPr>
            <w:tcW w:w="1559" w:type="dxa"/>
          </w:tcPr>
          <w:p w:rsidRPr="00B32995" w:rsidR="00216512" w:rsidP="00734902" w:rsidRDefault="00216512" w14:paraId="5CB411BF" w14:textId="77777777">
            <w:pPr>
              <w:jc w:val="right"/>
              <w:rPr>
                <w:sz w:val="16"/>
                <w:szCs w:val="16"/>
              </w:rPr>
            </w:pPr>
            <w:r w:rsidRPr="00B32995">
              <w:rPr>
                <w:sz w:val="16"/>
                <w:szCs w:val="16"/>
              </w:rPr>
              <w:t xml:space="preserve">2.667.796 </w:t>
            </w:r>
          </w:p>
        </w:tc>
      </w:tr>
      <w:tr w:rsidRPr="00310322" w:rsidR="00216512" w:rsidTr="00734902" w14:paraId="29772E80" w14:textId="77777777">
        <w:trPr>
          <w:trHeight w:val="64"/>
        </w:trPr>
        <w:tc>
          <w:tcPr>
            <w:tcW w:w="3369" w:type="dxa"/>
            <w:noWrap/>
            <w:hideMark/>
          </w:tcPr>
          <w:p w:rsidRPr="0088754B" w:rsidR="00216512" w:rsidP="00734902" w:rsidRDefault="00216512" w14:paraId="09D9F2F2" w14:textId="77777777">
            <w:pPr>
              <w:rPr>
                <w:sz w:val="16"/>
                <w:szCs w:val="16"/>
              </w:rPr>
            </w:pPr>
            <w:proofErr w:type="spellStart"/>
            <w:r w:rsidRPr="0088754B">
              <w:rPr>
                <w:sz w:val="16"/>
                <w:szCs w:val="16"/>
              </w:rPr>
              <w:t>Iselinge</w:t>
            </w:r>
            <w:proofErr w:type="spellEnd"/>
            <w:r w:rsidRPr="0088754B">
              <w:rPr>
                <w:sz w:val="16"/>
                <w:szCs w:val="16"/>
              </w:rPr>
              <w:t xml:space="preserve"> Hogeschool</w:t>
            </w:r>
          </w:p>
        </w:tc>
        <w:tc>
          <w:tcPr>
            <w:tcW w:w="2126" w:type="dxa"/>
          </w:tcPr>
          <w:p w:rsidRPr="00B32995" w:rsidR="00216512" w:rsidP="00734902" w:rsidRDefault="00216512" w14:paraId="0949DA47" w14:textId="77777777">
            <w:pPr>
              <w:jc w:val="right"/>
              <w:rPr>
                <w:sz w:val="16"/>
                <w:szCs w:val="16"/>
              </w:rPr>
            </w:pPr>
            <w:r w:rsidRPr="00B32995">
              <w:rPr>
                <w:sz w:val="16"/>
                <w:szCs w:val="16"/>
              </w:rPr>
              <w:t xml:space="preserve">171.269 </w:t>
            </w:r>
          </w:p>
        </w:tc>
        <w:tc>
          <w:tcPr>
            <w:tcW w:w="1701" w:type="dxa"/>
          </w:tcPr>
          <w:p w:rsidRPr="0088754B" w:rsidR="00216512" w:rsidP="00734902" w:rsidRDefault="00216512" w14:paraId="71478E47" w14:textId="77777777">
            <w:pPr>
              <w:jc w:val="right"/>
              <w:rPr>
                <w:sz w:val="16"/>
                <w:szCs w:val="16"/>
              </w:rPr>
            </w:pPr>
            <w:r w:rsidRPr="00B32995">
              <w:rPr>
                <w:sz w:val="16"/>
                <w:szCs w:val="16"/>
              </w:rPr>
              <w:t xml:space="preserve">684.094 </w:t>
            </w:r>
          </w:p>
        </w:tc>
        <w:tc>
          <w:tcPr>
            <w:tcW w:w="1559" w:type="dxa"/>
          </w:tcPr>
          <w:p w:rsidRPr="0088754B" w:rsidR="00216512" w:rsidP="00734902" w:rsidRDefault="00216512" w14:paraId="612A2916" w14:textId="77777777">
            <w:pPr>
              <w:jc w:val="right"/>
              <w:rPr>
                <w:sz w:val="16"/>
                <w:szCs w:val="16"/>
              </w:rPr>
            </w:pPr>
            <w:r w:rsidRPr="00B32995">
              <w:rPr>
                <w:sz w:val="16"/>
                <w:szCs w:val="16"/>
              </w:rPr>
              <w:t xml:space="preserve">855.363 </w:t>
            </w:r>
          </w:p>
        </w:tc>
      </w:tr>
      <w:tr w:rsidRPr="00310322" w:rsidR="00216512" w:rsidTr="00734902" w14:paraId="3C6FCFAA" w14:textId="77777777">
        <w:trPr>
          <w:trHeight w:val="64"/>
        </w:trPr>
        <w:tc>
          <w:tcPr>
            <w:tcW w:w="3369" w:type="dxa"/>
            <w:noWrap/>
            <w:hideMark/>
          </w:tcPr>
          <w:p w:rsidRPr="0088754B" w:rsidR="00216512" w:rsidP="00734902" w:rsidRDefault="00216512" w14:paraId="5C3FA17E" w14:textId="77777777">
            <w:pPr>
              <w:rPr>
                <w:sz w:val="16"/>
                <w:szCs w:val="16"/>
              </w:rPr>
            </w:pPr>
            <w:r w:rsidRPr="0088754B">
              <w:rPr>
                <w:sz w:val="16"/>
                <w:szCs w:val="16"/>
              </w:rPr>
              <w:t>NHL Stenden Hogeschool</w:t>
            </w:r>
          </w:p>
        </w:tc>
        <w:tc>
          <w:tcPr>
            <w:tcW w:w="2126" w:type="dxa"/>
          </w:tcPr>
          <w:p w:rsidRPr="00B32995" w:rsidR="00216512" w:rsidP="00734902" w:rsidRDefault="00216512" w14:paraId="10233312" w14:textId="77777777">
            <w:pPr>
              <w:jc w:val="right"/>
              <w:rPr>
                <w:sz w:val="16"/>
                <w:szCs w:val="16"/>
              </w:rPr>
            </w:pPr>
            <w:r w:rsidRPr="00B32995">
              <w:rPr>
                <w:sz w:val="16"/>
                <w:szCs w:val="16"/>
              </w:rPr>
              <w:t xml:space="preserve">888.794 </w:t>
            </w:r>
          </w:p>
        </w:tc>
        <w:tc>
          <w:tcPr>
            <w:tcW w:w="1701" w:type="dxa"/>
          </w:tcPr>
          <w:p w:rsidRPr="0088754B" w:rsidR="00216512" w:rsidP="00734902" w:rsidRDefault="00216512" w14:paraId="316AFA47" w14:textId="77777777">
            <w:pPr>
              <w:jc w:val="right"/>
              <w:rPr>
                <w:sz w:val="16"/>
                <w:szCs w:val="16"/>
              </w:rPr>
            </w:pPr>
            <w:r w:rsidRPr="00B32995">
              <w:rPr>
                <w:sz w:val="16"/>
                <w:szCs w:val="16"/>
              </w:rPr>
              <w:t xml:space="preserve">1.113.462 </w:t>
            </w:r>
          </w:p>
        </w:tc>
        <w:tc>
          <w:tcPr>
            <w:tcW w:w="1559" w:type="dxa"/>
          </w:tcPr>
          <w:p w:rsidRPr="0088754B" w:rsidR="00216512" w:rsidP="00734902" w:rsidRDefault="00216512" w14:paraId="70104D3B" w14:textId="77777777">
            <w:pPr>
              <w:jc w:val="right"/>
              <w:rPr>
                <w:sz w:val="16"/>
                <w:szCs w:val="16"/>
              </w:rPr>
            </w:pPr>
            <w:r w:rsidRPr="00B32995">
              <w:rPr>
                <w:sz w:val="16"/>
                <w:szCs w:val="16"/>
              </w:rPr>
              <w:t xml:space="preserve">2.002.256 </w:t>
            </w:r>
          </w:p>
        </w:tc>
      </w:tr>
      <w:tr w:rsidRPr="00310322" w:rsidR="00216512" w:rsidTr="00734902" w14:paraId="7FF218DC" w14:textId="77777777">
        <w:trPr>
          <w:trHeight w:val="64"/>
        </w:trPr>
        <w:tc>
          <w:tcPr>
            <w:tcW w:w="3369" w:type="dxa"/>
            <w:noWrap/>
            <w:hideMark/>
          </w:tcPr>
          <w:p w:rsidRPr="0088754B" w:rsidR="00216512" w:rsidP="00734902" w:rsidRDefault="00216512" w14:paraId="287E70B8" w14:textId="77777777">
            <w:pPr>
              <w:rPr>
                <w:sz w:val="16"/>
                <w:szCs w:val="16"/>
              </w:rPr>
            </w:pPr>
            <w:r w:rsidRPr="0088754B">
              <w:rPr>
                <w:sz w:val="16"/>
                <w:szCs w:val="16"/>
              </w:rPr>
              <w:t>Saxion Hogeschool</w:t>
            </w:r>
          </w:p>
        </w:tc>
        <w:tc>
          <w:tcPr>
            <w:tcW w:w="2126" w:type="dxa"/>
          </w:tcPr>
          <w:p w:rsidRPr="00B32995" w:rsidR="00216512" w:rsidP="00734902" w:rsidRDefault="00216512" w14:paraId="15B71305" w14:textId="77777777">
            <w:pPr>
              <w:jc w:val="right"/>
              <w:rPr>
                <w:sz w:val="16"/>
                <w:szCs w:val="16"/>
              </w:rPr>
            </w:pPr>
            <w:r w:rsidRPr="00B32995">
              <w:rPr>
                <w:sz w:val="16"/>
                <w:szCs w:val="16"/>
              </w:rPr>
              <w:t xml:space="preserve">1.886.167 </w:t>
            </w:r>
          </w:p>
        </w:tc>
        <w:tc>
          <w:tcPr>
            <w:tcW w:w="1701" w:type="dxa"/>
          </w:tcPr>
          <w:p w:rsidRPr="0088754B" w:rsidR="00216512" w:rsidP="00734902" w:rsidRDefault="00216512" w14:paraId="2B6167EE" w14:textId="77777777">
            <w:pPr>
              <w:jc w:val="right"/>
              <w:rPr>
                <w:sz w:val="16"/>
                <w:szCs w:val="16"/>
              </w:rPr>
            </w:pPr>
            <w:r w:rsidRPr="00B32995">
              <w:rPr>
                <w:sz w:val="16"/>
                <w:szCs w:val="16"/>
              </w:rPr>
              <w:t xml:space="preserve">1.862.702 </w:t>
            </w:r>
          </w:p>
        </w:tc>
        <w:tc>
          <w:tcPr>
            <w:tcW w:w="1559" w:type="dxa"/>
          </w:tcPr>
          <w:p w:rsidRPr="0088754B" w:rsidR="00216512" w:rsidP="00734902" w:rsidRDefault="00216512" w14:paraId="52DCE961" w14:textId="77777777">
            <w:pPr>
              <w:jc w:val="right"/>
              <w:rPr>
                <w:sz w:val="16"/>
                <w:szCs w:val="16"/>
              </w:rPr>
            </w:pPr>
            <w:r w:rsidRPr="00B32995">
              <w:rPr>
                <w:sz w:val="16"/>
                <w:szCs w:val="16"/>
              </w:rPr>
              <w:t xml:space="preserve">3.748.868 </w:t>
            </w:r>
          </w:p>
        </w:tc>
      </w:tr>
      <w:tr w:rsidRPr="00310322" w:rsidR="00216512" w:rsidTr="00734902" w14:paraId="00074AF9" w14:textId="77777777">
        <w:trPr>
          <w:trHeight w:val="64"/>
        </w:trPr>
        <w:tc>
          <w:tcPr>
            <w:tcW w:w="3369" w:type="dxa"/>
            <w:noWrap/>
            <w:hideMark/>
          </w:tcPr>
          <w:p w:rsidRPr="0088754B" w:rsidR="00216512" w:rsidP="00734902" w:rsidRDefault="00216512" w14:paraId="05B09BF9" w14:textId="77777777">
            <w:pPr>
              <w:rPr>
                <w:sz w:val="16"/>
                <w:szCs w:val="16"/>
              </w:rPr>
            </w:pPr>
            <w:r w:rsidRPr="0088754B">
              <w:rPr>
                <w:sz w:val="16"/>
                <w:szCs w:val="16"/>
              </w:rPr>
              <w:t>Zuyd Hogeschool</w:t>
            </w:r>
          </w:p>
        </w:tc>
        <w:tc>
          <w:tcPr>
            <w:tcW w:w="2126" w:type="dxa"/>
          </w:tcPr>
          <w:p w:rsidRPr="00B32995" w:rsidR="00216512" w:rsidP="00734902" w:rsidRDefault="00216512" w14:paraId="635C503C" w14:textId="77777777">
            <w:pPr>
              <w:jc w:val="right"/>
              <w:rPr>
                <w:sz w:val="16"/>
                <w:szCs w:val="16"/>
              </w:rPr>
            </w:pPr>
            <w:r w:rsidRPr="00B32995">
              <w:rPr>
                <w:sz w:val="16"/>
                <w:szCs w:val="16"/>
              </w:rPr>
              <w:t xml:space="preserve">3.470.946 </w:t>
            </w:r>
          </w:p>
        </w:tc>
        <w:tc>
          <w:tcPr>
            <w:tcW w:w="1701" w:type="dxa"/>
          </w:tcPr>
          <w:p w:rsidRPr="0088754B" w:rsidR="00216512" w:rsidP="00734902" w:rsidRDefault="00216512" w14:paraId="677EF126" w14:textId="77777777">
            <w:pPr>
              <w:jc w:val="right"/>
              <w:rPr>
                <w:sz w:val="16"/>
                <w:szCs w:val="16"/>
              </w:rPr>
            </w:pPr>
            <w:r w:rsidRPr="00B32995">
              <w:rPr>
                <w:sz w:val="16"/>
                <w:szCs w:val="16"/>
              </w:rPr>
              <w:t xml:space="preserve">5.574.426 </w:t>
            </w:r>
          </w:p>
        </w:tc>
        <w:tc>
          <w:tcPr>
            <w:tcW w:w="1559" w:type="dxa"/>
          </w:tcPr>
          <w:p w:rsidRPr="0088754B" w:rsidR="00216512" w:rsidP="00734902" w:rsidRDefault="00216512" w14:paraId="0BF63977" w14:textId="77777777">
            <w:pPr>
              <w:jc w:val="right"/>
              <w:rPr>
                <w:sz w:val="16"/>
                <w:szCs w:val="16"/>
              </w:rPr>
            </w:pPr>
            <w:r w:rsidRPr="00B32995">
              <w:rPr>
                <w:sz w:val="16"/>
                <w:szCs w:val="16"/>
              </w:rPr>
              <w:t xml:space="preserve">9.045.372 </w:t>
            </w:r>
          </w:p>
        </w:tc>
      </w:tr>
      <w:tr w:rsidRPr="00310322" w:rsidR="00216512" w:rsidTr="00734902" w14:paraId="102A8C1D" w14:textId="77777777">
        <w:trPr>
          <w:trHeight w:val="64"/>
        </w:trPr>
        <w:tc>
          <w:tcPr>
            <w:tcW w:w="3369" w:type="dxa"/>
            <w:noWrap/>
          </w:tcPr>
          <w:p w:rsidRPr="0088754B" w:rsidR="00216512" w:rsidP="00734902" w:rsidRDefault="00216512" w14:paraId="32D3E389" w14:textId="77777777">
            <w:pPr>
              <w:rPr>
                <w:sz w:val="16"/>
                <w:szCs w:val="16"/>
              </w:rPr>
            </w:pPr>
          </w:p>
        </w:tc>
        <w:tc>
          <w:tcPr>
            <w:tcW w:w="2126" w:type="dxa"/>
          </w:tcPr>
          <w:p w:rsidRPr="0088754B" w:rsidR="00216512" w:rsidP="00734902" w:rsidRDefault="00216512" w14:paraId="05CCD7A4" w14:textId="77777777">
            <w:pPr>
              <w:jc w:val="right"/>
              <w:rPr>
                <w:sz w:val="16"/>
                <w:szCs w:val="16"/>
              </w:rPr>
            </w:pPr>
          </w:p>
        </w:tc>
        <w:tc>
          <w:tcPr>
            <w:tcW w:w="1701" w:type="dxa"/>
          </w:tcPr>
          <w:p w:rsidRPr="0088754B" w:rsidR="00216512" w:rsidP="00734902" w:rsidRDefault="00216512" w14:paraId="1E7959AA" w14:textId="77777777">
            <w:pPr>
              <w:jc w:val="right"/>
              <w:rPr>
                <w:sz w:val="16"/>
                <w:szCs w:val="16"/>
              </w:rPr>
            </w:pPr>
          </w:p>
        </w:tc>
        <w:tc>
          <w:tcPr>
            <w:tcW w:w="1559" w:type="dxa"/>
          </w:tcPr>
          <w:p w:rsidRPr="0088754B" w:rsidR="00216512" w:rsidP="00734902" w:rsidRDefault="00216512" w14:paraId="3071933E" w14:textId="77777777">
            <w:pPr>
              <w:jc w:val="right"/>
              <w:rPr>
                <w:sz w:val="16"/>
                <w:szCs w:val="16"/>
              </w:rPr>
            </w:pPr>
            <w:r w:rsidRPr="00CB5661">
              <w:rPr>
                <w:b/>
                <w:bCs/>
                <w:sz w:val="16"/>
                <w:szCs w:val="16"/>
              </w:rPr>
              <w:t xml:space="preserve"> </w:t>
            </w:r>
          </w:p>
        </w:tc>
      </w:tr>
      <w:tr w:rsidRPr="00310322" w:rsidR="00216512" w:rsidTr="00734902" w14:paraId="3D4BE32B" w14:textId="77777777">
        <w:trPr>
          <w:trHeight w:val="64"/>
        </w:trPr>
        <w:tc>
          <w:tcPr>
            <w:tcW w:w="3369" w:type="dxa"/>
            <w:noWrap/>
            <w:hideMark/>
          </w:tcPr>
          <w:p w:rsidRPr="0088754B" w:rsidR="00216512" w:rsidP="00734902" w:rsidRDefault="00216512" w14:paraId="4B4DFF2A" w14:textId="77777777">
            <w:pPr>
              <w:rPr>
                <w:b/>
                <w:bCs/>
                <w:sz w:val="16"/>
                <w:szCs w:val="16"/>
              </w:rPr>
            </w:pPr>
            <w:r w:rsidRPr="0088754B">
              <w:rPr>
                <w:b/>
                <w:bCs/>
                <w:sz w:val="16"/>
                <w:szCs w:val="16"/>
              </w:rPr>
              <w:t>Totaal</w:t>
            </w:r>
          </w:p>
        </w:tc>
        <w:tc>
          <w:tcPr>
            <w:tcW w:w="2126" w:type="dxa"/>
          </w:tcPr>
          <w:p w:rsidRPr="00C03A8B" w:rsidR="00216512" w:rsidP="00734902" w:rsidRDefault="00216512" w14:paraId="0A42C4CE" w14:textId="77777777">
            <w:pPr>
              <w:jc w:val="right"/>
              <w:rPr>
                <w:sz w:val="16"/>
                <w:szCs w:val="22"/>
              </w:rPr>
            </w:pPr>
            <w:r w:rsidRPr="00C03A8B">
              <w:rPr>
                <w:sz w:val="16"/>
                <w:szCs w:val="22"/>
              </w:rPr>
              <w:t>16.677.333</w:t>
            </w:r>
          </w:p>
        </w:tc>
        <w:tc>
          <w:tcPr>
            <w:tcW w:w="1701" w:type="dxa"/>
          </w:tcPr>
          <w:p w:rsidRPr="00C03A8B" w:rsidR="00216512" w:rsidP="00734902" w:rsidRDefault="00216512" w14:paraId="3E84BE72" w14:textId="77777777">
            <w:pPr>
              <w:jc w:val="right"/>
              <w:rPr>
                <w:b/>
                <w:bCs/>
                <w:sz w:val="16"/>
                <w:szCs w:val="22"/>
              </w:rPr>
            </w:pPr>
            <w:r w:rsidRPr="00C03A8B">
              <w:rPr>
                <w:sz w:val="16"/>
                <w:szCs w:val="22"/>
              </w:rPr>
              <w:t>33.354.668</w:t>
            </w:r>
          </w:p>
        </w:tc>
        <w:tc>
          <w:tcPr>
            <w:tcW w:w="1559" w:type="dxa"/>
          </w:tcPr>
          <w:p w:rsidRPr="00C03A8B" w:rsidR="00216512" w:rsidP="00734902" w:rsidRDefault="00216512" w14:paraId="058AEA51" w14:textId="77777777">
            <w:pPr>
              <w:jc w:val="right"/>
              <w:rPr>
                <w:b/>
                <w:bCs/>
                <w:sz w:val="16"/>
                <w:szCs w:val="22"/>
              </w:rPr>
            </w:pPr>
            <w:r w:rsidRPr="00C03A8B">
              <w:rPr>
                <w:sz w:val="16"/>
                <w:szCs w:val="22"/>
              </w:rPr>
              <w:t>50.031.998</w:t>
            </w:r>
          </w:p>
        </w:tc>
      </w:tr>
    </w:tbl>
    <w:p w:rsidRPr="003544ED" w:rsidR="00216512" w:rsidP="003544ED" w:rsidRDefault="00216512" w14:paraId="0D20706D" w14:textId="77777777">
      <w:pPr>
        <w:rPr>
          <w:szCs w:val="18"/>
        </w:rPr>
      </w:pPr>
    </w:p>
    <w:sectPr w:rsidRPr="003544ED" w:rsidR="00216512"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F66C" w14:textId="77777777" w:rsidR="007C6696" w:rsidRDefault="007C6696">
      <w:r>
        <w:separator/>
      </w:r>
    </w:p>
    <w:p w14:paraId="101D7BAF" w14:textId="77777777" w:rsidR="007C6696" w:rsidRDefault="007C6696"/>
  </w:endnote>
  <w:endnote w:type="continuationSeparator" w:id="0">
    <w:p w14:paraId="6DD441B9" w14:textId="77777777" w:rsidR="007C6696" w:rsidRDefault="007C6696">
      <w:r>
        <w:continuationSeparator/>
      </w:r>
    </w:p>
    <w:p w14:paraId="02EA3EBC" w14:textId="77777777" w:rsidR="007C6696" w:rsidRDefault="007C6696"/>
  </w:endnote>
  <w:endnote w:type="continuationNotice" w:id="1">
    <w:p w14:paraId="080D14BE" w14:textId="77777777" w:rsidR="007C6696" w:rsidRDefault="007C6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333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93FE1" w14:paraId="27E959DA" w14:textId="77777777" w:rsidTr="004C7E1D">
      <w:trPr>
        <w:trHeight w:hRule="exact" w:val="357"/>
      </w:trPr>
      <w:tc>
        <w:tcPr>
          <w:tcW w:w="7603" w:type="dxa"/>
          <w:shd w:val="clear" w:color="auto" w:fill="auto"/>
        </w:tcPr>
        <w:p w14:paraId="67058CC2" w14:textId="77777777" w:rsidR="002F71BB" w:rsidRPr="004C7E1D" w:rsidRDefault="002F71BB" w:rsidP="004C7E1D">
          <w:pPr>
            <w:spacing w:line="180" w:lineRule="exact"/>
            <w:rPr>
              <w:sz w:val="13"/>
              <w:szCs w:val="13"/>
            </w:rPr>
          </w:pPr>
        </w:p>
      </w:tc>
      <w:tc>
        <w:tcPr>
          <w:tcW w:w="2172" w:type="dxa"/>
          <w:shd w:val="clear" w:color="auto" w:fill="auto"/>
        </w:tcPr>
        <w:p w14:paraId="5AF5EF47" w14:textId="6CD0E822" w:rsidR="002F71BB" w:rsidRPr="004C7E1D" w:rsidRDefault="001F36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15B69">
            <w:rPr>
              <w:szCs w:val="13"/>
            </w:rPr>
            <w:t>6</w:t>
          </w:r>
          <w:r w:rsidRPr="004C7E1D">
            <w:rPr>
              <w:szCs w:val="13"/>
            </w:rPr>
            <w:fldChar w:fldCharType="end"/>
          </w:r>
        </w:p>
      </w:tc>
    </w:tr>
  </w:tbl>
  <w:p w14:paraId="3E28B89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93FE1" w14:paraId="28854C75" w14:textId="77777777" w:rsidTr="004C7E1D">
      <w:trPr>
        <w:trHeight w:hRule="exact" w:val="357"/>
      </w:trPr>
      <w:tc>
        <w:tcPr>
          <w:tcW w:w="7709" w:type="dxa"/>
          <w:shd w:val="clear" w:color="auto" w:fill="auto"/>
        </w:tcPr>
        <w:p w14:paraId="39CABD91" w14:textId="77777777" w:rsidR="00D17084" w:rsidRPr="004C7E1D" w:rsidRDefault="00D17084" w:rsidP="004C7E1D">
          <w:pPr>
            <w:spacing w:line="180" w:lineRule="exact"/>
            <w:rPr>
              <w:sz w:val="13"/>
              <w:szCs w:val="13"/>
            </w:rPr>
          </w:pPr>
        </w:p>
      </w:tc>
      <w:tc>
        <w:tcPr>
          <w:tcW w:w="2060" w:type="dxa"/>
          <w:shd w:val="clear" w:color="auto" w:fill="auto"/>
        </w:tcPr>
        <w:p w14:paraId="31D737D2" w14:textId="51E11C06" w:rsidR="00D17084" w:rsidRPr="004C7E1D" w:rsidRDefault="001F36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15B69">
            <w:rPr>
              <w:szCs w:val="13"/>
            </w:rPr>
            <w:t>6</w:t>
          </w:r>
          <w:r w:rsidRPr="004C7E1D">
            <w:rPr>
              <w:szCs w:val="13"/>
            </w:rPr>
            <w:fldChar w:fldCharType="end"/>
          </w:r>
        </w:p>
      </w:tc>
    </w:tr>
  </w:tbl>
  <w:p w14:paraId="1CD2DDD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F91C" w14:textId="77777777" w:rsidR="007C6696" w:rsidRDefault="007C6696">
      <w:r>
        <w:separator/>
      </w:r>
    </w:p>
    <w:p w14:paraId="4A088907" w14:textId="77777777" w:rsidR="007C6696" w:rsidRDefault="007C6696"/>
  </w:footnote>
  <w:footnote w:type="continuationSeparator" w:id="0">
    <w:p w14:paraId="256C5188" w14:textId="77777777" w:rsidR="007C6696" w:rsidRDefault="007C6696">
      <w:r>
        <w:continuationSeparator/>
      </w:r>
    </w:p>
    <w:p w14:paraId="47809E5B" w14:textId="77777777" w:rsidR="007C6696" w:rsidRDefault="007C6696"/>
  </w:footnote>
  <w:footnote w:type="continuationNotice" w:id="1">
    <w:p w14:paraId="5BC18FC5" w14:textId="77777777" w:rsidR="007C6696" w:rsidRDefault="007C6696">
      <w:pPr>
        <w:spacing w:line="240" w:lineRule="auto"/>
      </w:pPr>
    </w:p>
  </w:footnote>
  <w:footnote w:id="2">
    <w:p w14:paraId="2A08EE2A" w14:textId="77777777" w:rsidR="00765D1C" w:rsidRDefault="00765D1C" w:rsidP="00765D1C">
      <w:pPr>
        <w:pStyle w:val="Voetnoottekst"/>
      </w:pPr>
      <w:r>
        <w:rPr>
          <w:rStyle w:val="Voetnootmarkering"/>
        </w:rPr>
        <w:footnoteRef/>
      </w:r>
      <w:r>
        <w:t xml:space="preserve"> Prijspeil 2022 </w:t>
      </w:r>
    </w:p>
  </w:footnote>
  <w:footnote w:id="3">
    <w:p w14:paraId="33A59567" w14:textId="77777777" w:rsidR="00765D1C" w:rsidRDefault="00765D1C" w:rsidP="00765D1C">
      <w:pPr>
        <w:pStyle w:val="Voetnoottekst"/>
        <w:spacing w:line="240" w:lineRule="auto"/>
      </w:pPr>
      <w:r>
        <w:rPr>
          <w:rStyle w:val="Voetnootmarkering"/>
        </w:rPr>
        <w:footnoteRef/>
      </w:r>
      <w:r>
        <w:t xml:space="preserve"> Met deze aanpak geef ik ook invulling aan de motie van de leden </w:t>
      </w:r>
      <w:proofErr w:type="spellStart"/>
      <w:r>
        <w:t>Stultiens</w:t>
      </w:r>
      <w:proofErr w:type="spellEnd"/>
      <w:r>
        <w:t xml:space="preserve"> en Hertzberger (</w:t>
      </w:r>
      <w:r w:rsidRPr="00920370">
        <w:t>Kamerstukken II 2023/24, 31288, nr. 1119</w:t>
      </w:r>
      <w:r>
        <w:t xml:space="preserve">), die het kabinet verzoekt om in overleg met de sector tot oplossingen te komen voor bovengenoemde aandachtspunten. Deze motie acht ik hiermee afgedaan. De oproep van de motie wordt uiteraard ook betrokken bij de vormgeving van mijn aanpak voor de lange termijn. </w:t>
      </w:r>
    </w:p>
  </w:footnote>
  <w:footnote w:id="4">
    <w:p w14:paraId="72616994" w14:textId="77777777" w:rsidR="00765D1C" w:rsidRDefault="00765D1C" w:rsidP="00765D1C">
      <w:pPr>
        <w:pStyle w:val="Voetnoottekst"/>
      </w:pPr>
      <w:r>
        <w:rPr>
          <w:rStyle w:val="Voetnootmarkering"/>
        </w:rPr>
        <w:footnoteRef/>
      </w:r>
      <w:r>
        <w:t xml:space="preserve"> Kamerstukken II 2024/2025 </w:t>
      </w:r>
      <w:r w:rsidRPr="00D56D7A">
        <w:t>31</w:t>
      </w:r>
      <w:r>
        <w:t xml:space="preserve"> </w:t>
      </w:r>
      <w:r w:rsidRPr="00D56D7A">
        <w:t>288</w:t>
      </w:r>
      <w:r>
        <w:t xml:space="preserve">, </w:t>
      </w:r>
      <w:proofErr w:type="spellStart"/>
      <w:r>
        <w:t>nr</w:t>
      </w:r>
      <w:proofErr w:type="spellEnd"/>
      <w:r>
        <w:t xml:space="preserve">, </w:t>
      </w:r>
      <w:r w:rsidRPr="00D56D7A">
        <w:t>1185</w:t>
      </w:r>
    </w:p>
  </w:footnote>
  <w:footnote w:id="5">
    <w:p w14:paraId="1E1C58D1" w14:textId="77777777" w:rsidR="00765D1C" w:rsidRPr="00765D1C" w:rsidRDefault="00765D1C" w:rsidP="00765D1C">
      <w:pPr>
        <w:spacing w:line="240" w:lineRule="auto"/>
        <w:rPr>
          <w:rFonts w:ascii="Calibri" w:hAnsi="Calibri"/>
          <w:sz w:val="13"/>
          <w:szCs w:val="13"/>
        </w:rPr>
      </w:pPr>
      <w:r w:rsidRPr="00765D1C">
        <w:rPr>
          <w:rStyle w:val="Voetnootmarkering"/>
          <w:sz w:val="13"/>
          <w:szCs w:val="13"/>
        </w:rPr>
        <w:footnoteRef/>
      </w:r>
      <w:r w:rsidRPr="00765D1C">
        <w:rPr>
          <w:sz w:val="13"/>
          <w:szCs w:val="13"/>
        </w:rPr>
        <w:t xml:space="preserve"> Amendement: Kamerstukken II 2024-2025, 36600-III, nr. 12, Kamerbrief: Kamerstukken II 2024-2025, 36555-III.</w:t>
      </w:r>
    </w:p>
    <w:p w14:paraId="4087FBC1" w14:textId="77777777" w:rsidR="00765D1C" w:rsidRDefault="00765D1C" w:rsidP="00765D1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93FE1" w14:paraId="4C7098FE" w14:textId="77777777" w:rsidTr="006D2D53">
      <w:trPr>
        <w:trHeight w:hRule="exact" w:val="400"/>
      </w:trPr>
      <w:tc>
        <w:tcPr>
          <w:tcW w:w="7518" w:type="dxa"/>
          <w:shd w:val="clear" w:color="auto" w:fill="auto"/>
        </w:tcPr>
        <w:p w14:paraId="2F6EE5BF" w14:textId="77777777" w:rsidR="00527BD4" w:rsidRPr="00275984" w:rsidRDefault="00527BD4" w:rsidP="00BF4427">
          <w:pPr>
            <w:pStyle w:val="Huisstijl-Rubricering"/>
          </w:pPr>
        </w:p>
      </w:tc>
    </w:tr>
  </w:tbl>
  <w:p w14:paraId="16AA227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93FE1" w14:paraId="689BD018" w14:textId="77777777" w:rsidTr="003B528D">
      <w:tc>
        <w:tcPr>
          <w:tcW w:w="2160" w:type="dxa"/>
          <w:shd w:val="clear" w:color="auto" w:fill="auto"/>
        </w:tcPr>
        <w:p w14:paraId="17F9E390" w14:textId="77777777" w:rsidR="002F71BB" w:rsidRPr="000407BB" w:rsidRDefault="001F365B" w:rsidP="005D283A">
          <w:pPr>
            <w:pStyle w:val="Colofonkop"/>
            <w:framePr w:hSpace="0" w:wrap="auto" w:vAnchor="margin" w:hAnchor="text" w:xAlign="left" w:yAlign="inline"/>
          </w:pPr>
          <w:r>
            <w:t>Onze referentie</w:t>
          </w:r>
        </w:p>
      </w:tc>
    </w:tr>
    <w:tr w:rsidR="00493FE1" w14:paraId="40380838" w14:textId="77777777" w:rsidTr="002F71BB">
      <w:trPr>
        <w:trHeight w:val="259"/>
      </w:trPr>
      <w:tc>
        <w:tcPr>
          <w:tcW w:w="2160" w:type="dxa"/>
          <w:shd w:val="clear" w:color="auto" w:fill="auto"/>
        </w:tcPr>
        <w:p w14:paraId="631CBAEB" w14:textId="77777777" w:rsidR="00D7786D" w:rsidRDefault="00D7786D" w:rsidP="00D7786D">
          <w:pPr>
            <w:spacing w:line="180" w:lineRule="exact"/>
            <w:rPr>
              <w:sz w:val="13"/>
              <w:szCs w:val="13"/>
            </w:rPr>
          </w:pPr>
          <w:r w:rsidRPr="00E21DFF">
            <w:rPr>
              <w:sz w:val="13"/>
              <w:szCs w:val="13"/>
            </w:rPr>
            <w:t>5</w:t>
          </w:r>
          <w:r>
            <w:rPr>
              <w:sz w:val="13"/>
              <w:szCs w:val="13"/>
            </w:rPr>
            <w:t>2450192</w:t>
          </w:r>
        </w:p>
        <w:p w14:paraId="3C8B1F2E" w14:textId="16BCC6A1" w:rsidR="00E35CF4" w:rsidRPr="005D283A" w:rsidRDefault="00E35CF4" w:rsidP="0049501A">
          <w:pPr>
            <w:spacing w:line="180" w:lineRule="exact"/>
            <w:rPr>
              <w:sz w:val="13"/>
              <w:szCs w:val="13"/>
            </w:rPr>
          </w:pPr>
        </w:p>
      </w:tc>
    </w:tr>
  </w:tbl>
  <w:p w14:paraId="40A0246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93FE1" w14:paraId="4241DB10" w14:textId="77777777" w:rsidTr="001377D4">
      <w:trPr>
        <w:trHeight w:val="2636"/>
      </w:trPr>
      <w:tc>
        <w:tcPr>
          <w:tcW w:w="737" w:type="dxa"/>
          <w:shd w:val="clear" w:color="auto" w:fill="auto"/>
        </w:tcPr>
        <w:p w14:paraId="07EAE7B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9C7CB57" w14:textId="77777777" w:rsidR="00704845" w:rsidRDefault="001F365B" w:rsidP="0047126E">
          <w:pPr>
            <w:framePr w:w="3873" w:h="2625" w:hRule="exact" w:wrap="around" w:vAnchor="page" w:hAnchor="page" w:x="6323" w:y="1"/>
          </w:pPr>
          <w:r>
            <w:rPr>
              <w:noProof/>
              <w:lang w:val="en-US" w:eastAsia="en-US"/>
            </w:rPr>
            <w:drawing>
              <wp:inline distT="0" distB="0" distL="0" distR="0" wp14:anchorId="6828FB51" wp14:editId="073E3E6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0D0B879" w14:textId="77777777" w:rsidR="00483ECA" w:rsidRDefault="00483ECA" w:rsidP="00D037A9"/>
      </w:tc>
    </w:tr>
  </w:tbl>
  <w:p w14:paraId="737DDE3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93FE1" w14:paraId="6FFC2266" w14:textId="77777777" w:rsidTr="0008539E">
      <w:trPr>
        <w:trHeight w:hRule="exact" w:val="572"/>
      </w:trPr>
      <w:tc>
        <w:tcPr>
          <w:tcW w:w="7520" w:type="dxa"/>
          <w:shd w:val="clear" w:color="auto" w:fill="auto"/>
        </w:tcPr>
        <w:p w14:paraId="3EC39371" w14:textId="77777777" w:rsidR="00527BD4" w:rsidRPr="00963440" w:rsidRDefault="001F365B" w:rsidP="00210BA3">
          <w:pPr>
            <w:pStyle w:val="Huisstijl-Adres"/>
            <w:spacing w:after="0"/>
          </w:pPr>
          <w:r w:rsidRPr="009E3B07">
            <w:t>&gt;Retouradres </w:t>
          </w:r>
          <w:r>
            <w:t>Postbus 16375 2500 BJ Den Haag</w:t>
          </w:r>
          <w:r w:rsidRPr="009E3B07">
            <w:t xml:space="preserve"> </w:t>
          </w:r>
        </w:p>
      </w:tc>
    </w:tr>
    <w:tr w:rsidR="00493FE1" w14:paraId="17CB06B9" w14:textId="77777777" w:rsidTr="00E776C6">
      <w:trPr>
        <w:cantSplit/>
        <w:trHeight w:hRule="exact" w:val="238"/>
      </w:trPr>
      <w:tc>
        <w:tcPr>
          <w:tcW w:w="7520" w:type="dxa"/>
          <w:shd w:val="clear" w:color="auto" w:fill="auto"/>
        </w:tcPr>
        <w:p w14:paraId="36C0A6C8" w14:textId="77777777" w:rsidR="00093ABC" w:rsidRPr="00963440" w:rsidRDefault="00093ABC" w:rsidP="00963440"/>
      </w:tc>
    </w:tr>
    <w:tr w:rsidR="00493FE1" w14:paraId="06718934" w14:textId="77777777" w:rsidTr="00E776C6">
      <w:trPr>
        <w:cantSplit/>
        <w:trHeight w:hRule="exact" w:val="1520"/>
      </w:trPr>
      <w:tc>
        <w:tcPr>
          <w:tcW w:w="7520" w:type="dxa"/>
          <w:shd w:val="clear" w:color="auto" w:fill="auto"/>
        </w:tcPr>
        <w:p w14:paraId="62CDA64B" w14:textId="77777777" w:rsidR="00A604D3" w:rsidRPr="00963440" w:rsidRDefault="00A604D3" w:rsidP="00963440"/>
      </w:tc>
    </w:tr>
    <w:tr w:rsidR="00493FE1" w14:paraId="167B8873" w14:textId="77777777" w:rsidTr="00E776C6">
      <w:trPr>
        <w:trHeight w:hRule="exact" w:val="1077"/>
      </w:trPr>
      <w:tc>
        <w:tcPr>
          <w:tcW w:w="7520" w:type="dxa"/>
          <w:shd w:val="clear" w:color="auto" w:fill="auto"/>
        </w:tcPr>
        <w:p w14:paraId="4CA95054" w14:textId="77777777" w:rsidR="00892BA5" w:rsidRPr="00035E67" w:rsidRDefault="00892BA5" w:rsidP="00892BA5">
          <w:pPr>
            <w:tabs>
              <w:tab w:val="left" w:pos="740"/>
            </w:tabs>
            <w:autoSpaceDE w:val="0"/>
            <w:autoSpaceDN w:val="0"/>
            <w:adjustRightInd w:val="0"/>
            <w:rPr>
              <w:rFonts w:cs="Verdana"/>
              <w:szCs w:val="18"/>
            </w:rPr>
          </w:pPr>
        </w:p>
      </w:tc>
    </w:tr>
  </w:tbl>
  <w:p w14:paraId="1C2E66C4" w14:textId="77777777" w:rsidR="006F273B" w:rsidRDefault="006F273B" w:rsidP="00BC4AE3">
    <w:pPr>
      <w:pStyle w:val="Koptekst"/>
    </w:pPr>
  </w:p>
  <w:p w14:paraId="3B292F84" w14:textId="77777777" w:rsidR="00153BD0" w:rsidRDefault="00153BD0" w:rsidP="00BC4AE3">
    <w:pPr>
      <w:pStyle w:val="Koptekst"/>
    </w:pPr>
  </w:p>
  <w:p w14:paraId="3610AB47" w14:textId="77777777" w:rsidR="0044605E" w:rsidRDefault="0044605E" w:rsidP="00BC4AE3">
    <w:pPr>
      <w:pStyle w:val="Koptekst"/>
    </w:pPr>
  </w:p>
  <w:p w14:paraId="388791D8" w14:textId="77777777" w:rsidR="0044605E" w:rsidRDefault="0044605E" w:rsidP="00BC4AE3">
    <w:pPr>
      <w:pStyle w:val="Koptekst"/>
    </w:pPr>
  </w:p>
  <w:p w14:paraId="43F2D72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F35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0" w15:restartNumberingAfterBreak="0">
    <w:nsid w:val="019446D7"/>
    <w:multiLevelType w:val="hybridMultilevel"/>
    <w:tmpl w:val="D71C0620"/>
    <w:lvl w:ilvl="0" w:tplc="94367E9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09F0A430">
      <w:start w:val="1"/>
      <w:numFmt w:val="bullet"/>
      <w:pStyle w:val="Lijstopsomteken"/>
      <w:lvlText w:val="•"/>
      <w:lvlJc w:val="left"/>
      <w:pPr>
        <w:tabs>
          <w:tab w:val="num" w:pos="227"/>
        </w:tabs>
        <w:ind w:left="227" w:hanging="227"/>
      </w:pPr>
      <w:rPr>
        <w:rFonts w:ascii="Verdana" w:hAnsi="Verdana" w:hint="default"/>
        <w:sz w:val="18"/>
        <w:szCs w:val="18"/>
      </w:rPr>
    </w:lvl>
    <w:lvl w:ilvl="1" w:tplc="68FE58AC" w:tentative="1">
      <w:start w:val="1"/>
      <w:numFmt w:val="bullet"/>
      <w:lvlText w:val="o"/>
      <w:lvlJc w:val="left"/>
      <w:pPr>
        <w:tabs>
          <w:tab w:val="num" w:pos="1440"/>
        </w:tabs>
        <w:ind w:left="1440" w:hanging="360"/>
      </w:pPr>
      <w:rPr>
        <w:rFonts w:ascii="Courier New" w:hAnsi="Courier New" w:cs="Courier New" w:hint="default"/>
      </w:rPr>
    </w:lvl>
    <w:lvl w:ilvl="2" w:tplc="4AAADB94" w:tentative="1">
      <w:start w:val="1"/>
      <w:numFmt w:val="bullet"/>
      <w:lvlText w:val=""/>
      <w:lvlJc w:val="left"/>
      <w:pPr>
        <w:tabs>
          <w:tab w:val="num" w:pos="2160"/>
        </w:tabs>
        <w:ind w:left="2160" w:hanging="360"/>
      </w:pPr>
      <w:rPr>
        <w:rFonts w:ascii="Wingdings" w:hAnsi="Wingdings" w:hint="default"/>
      </w:rPr>
    </w:lvl>
    <w:lvl w:ilvl="3" w:tplc="446C427C" w:tentative="1">
      <w:start w:val="1"/>
      <w:numFmt w:val="bullet"/>
      <w:lvlText w:val=""/>
      <w:lvlJc w:val="left"/>
      <w:pPr>
        <w:tabs>
          <w:tab w:val="num" w:pos="2880"/>
        </w:tabs>
        <w:ind w:left="2880" w:hanging="360"/>
      </w:pPr>
      <w:rPr>
        <w:rFonts w:ascii="Symbol" w:hAnsi="Symbol" w:hint="default"/>
      </w:rPr>
    </w:lvl>
    <w:lvl w:ilvl="4" w:tplc="09F8B82A" w:tentative="1">
      <w:start w:val="1"/>
      <w:numFmt w:val="bullet"/>
      <w:lvlText w:val="o"/>
      <w:lvlJc w:val="left"/>
      <w:pPr>
        <w:tabs>
          <w:tab w:val="num" w:pos="3600"/>
        </w:tabs>
        <w:ind w:left="3600" w:hanging="360"/>
      </w:pPr>
      <w:rPr>
        <w:rFonts w:ascii="Courier New" w:hAnsi="Courier New" w:cs="Courier New" w:hint="default"/>
      </w:rPr>
    </w:lvl>
    <w:lvl w:ilvl="5" w:tplc="CDD60F8E" w:tentative="1">
      <w:start w:val="1"/>
      <w:numFmt w:val="bullet"/>
      <w:lvlText w:val=""/>
      <w:lvlJc w:val="left"/>
      <w:pPr>
        <w:tabs>
          <w:tab w:val="num" w:pos="4320"/>
        </w:tabs>
        <w:ind w:left="4320" w:hanging="360"/>
      </w:pPr>
      <w:rPr>
        <w:rFonts w:ascii="Wingdings" w:hAnsi="Wingdings" w:hint="default"/>
      </w:rPr>
    </w:lvl>
    <w:lvl w:ilvl="6" w:tplc="0BC6E8C0" w:tentative="1">
      <w:start w:val="1"/>
      <w:numFmt w:val="bullet"/>
      <w:lvlText w:val=""/>
      <w:lvlJc w:val="left"/>
      <w:pPr>
        <w:tabs>
          <w:tab w:val="num" w:pos="5040"/>
        </w:tabs>
        <w:ind w:left="5040" w:hanging="360"/>
      </w:pPr>
      <w:rPr>
        <w:rFonts w:ascii="Symbol" w:hAnsi="Symbol" w:hint="default"/>
      </w:rPr>
    </w:lvl>
    <w:lvl w:ilvl="7" w:tplc="B9DEF6AE" w:tentative="1">
      <w:start w:val="1"/>
      <w:numFmt w:val="bullet"/>
      <w:lvlText w:val="o"/>
      <w:lvlJc w:val="left"/>
      <w:pPr>
        <w:tabs>
          <w:tab w:val="num" w:pos="5760"/>
        </w:tabs>
        <w:ind w:left="5760" w:hanging="360"/>
      </w:pPr>
      <w:rPr>
        <w:rFonts w:ascii="Courier New" w:hAnsi="Courier New" w:cs="Courier New" w:hint="default"/>
      </w:rPr>
    </w:lvl>
    <w:lvl w:ilvl="8" w:tplc="F48E99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B6F9A"/>
    <w:multiLevelType w:val="hybridMultilevel"/>
    <w:tmpl w:val="AAFAA746"/>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675010"/>
    <w:multiLevelType w:val="hybridMultilevel"/>
    <w:tmpl w:val="9E3005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78F83E72">
      <w:start w:val="1"/>
      <w:numFmt w:val="bullet"/>
      <w:pStyle w:val="Lijstopsomteken2"/>
      <w:lvlText w:val="–"/>
      <w:lvlJc w:val="left"/>
      <w:pPr>
        <w:tabs>
          <w:tab w:val="num" w:pos="227"/>
        </w:tabs>
        <w:ind w:left="227" w:firstLine="0"/>
      </w:pPr>
      <w:rPr>
        <w:rFonts w:ascii="Verdana" w:hAnsi="Verdana" w:hint="default"/>
      </w:rPr>
    </w:lvl>
    <w:lvl w:ilvl="1" w:tplc="01D834C2" w:tentative="1">
      <w:start w:val="1"/>
      <w:numFmt w:val="bullet"/>
      <w:lvlText w:val="o"/>
      <w:lvlJc w:val="left"/>
      <w:pPr>
        <w:tabs>
          <w:tab w:val="num" w:pos="1440"/>
        </w:tabs>
        <w:ind w:left="1440" w:hanging="360"/>
      </w:pPr>
      <w:rPr>
        <w:rFonts w:ascii="Courier New" w:hAnsi="Courier New" w:cs="Courier New" w:hint="default"/>
      </w:rPr>
    </w:lvl>
    <w:lvl w:ilvl="2" w:tplc="3D683BCE" w:tentative="1">
      <w:start w:val="1"/>
      <w:numFmt w:val="bullet"/>
      <w:lvlText w:val=""/>
      <w:lvlJc w:val="left"/>
      <w:pPr>
        <w:tabs>
          <w:tab w:val="num" w:pos="2160"/>
        </w:tabs>
        <w:ind w:left="2160" w:hanging="360"/>
      </w:pPr>
      <w:rPr>
        <w:rFonts w:ascii="Wingdings" w:hAnsi="Wingdings" w:hint="default"/>
      </w:rPr>
    </w:lvl>
    <w:lvl w:ilvl="3" w:tplc="DBA60E42" w:tentative="1">
      <w:start w:val="1"/>
      <w:numFmt w:val="bullet"/>
      <w:lvlText w:val=""/>
      <w:lvlJc w:val="left"/>
      <w:pPr>
        <w:tabs>
          <w:tab w:val="num" w:pos="2880"/>
        </w:tabs>
        <w:ind w:left="2880" w:hanging="360"/>
      </w:pPr>
      <w:rPr>
        <w:rFonts w:ascii="Symbol" w:hAnsi="Symbol" w:hint="default"/>
      </w:rPr>
    </w:lvl>
    <w:lvl w:ilvl="4" w:tplc="3ED49520" w:tentative="1">
      <w:start w:val="1"/>
      <w:numFmt w:val="bullet"/>
      <w:lvlText w:val="o"/>
      <w:lvlJc w:val="left"/>
      <w:pPr>
        <w:tabs>
          <w:tab w:val="num" w:pos="3600"/>
        </w:tabs>
        <w:ind w:left="3600" w:hanging="360"/>
      </w:pPr>
      <w:rPr>
        <w:rFonts w:ascii="Courier New" w:hAnsi="Courier New" w:cs="Courier New" w:hint="default"/>
      </w:rPr>
    </w:lvl>
    <w:lvl w:ilvl="5" w:tplc="5B008DD2" w:tentative="1">
      <w:start w:val="1"/>
      <w:numFmt w:val="bullet"/>
      <w:lvlText w:val=""/>
      <w:lvlJc w:val="left"/>
      <w:pPr>
        <w:tabs>
          <w:tab w:val="num" w:pos="4320"/>
        </w:tabs>
        <w:ind w:left="4320" w:hanging="360"/>
      </w:pPr>
      <w:rPr>
        <w:rFonts w:ascii="Wingdings" w:hAnsi="Wingdings" w:hint="default"/>
      </w:rPr>
    </w:lvl>
    <w:lvl w:ilvl="6" w:tplc="17EE682C" w:tentative="1">
      <w:start w:val="1"/>
      <w:numFmt w:val="bullet"/>
      <w:lvlText w:val=""/>
      <w:lvlJc w:val="left"/>
      <w:pPr>
        <w:tabs>
          <w:tab w:val="num" w:pos="5040"/>
        </w:tabs>
        <w:ind w:left="5040" w:hanging="360"/>
      </w:pPr>
      <w:rPr>
        <w:rFonts w:ascii="Symbol" w:hAnsi="Symbol" w:hint="default"/>
      </w:rPr>
    </w:lvl>
    <w:lvl w:ilvl="7" w:tplc="CFA6AA0A" w:tentative="1">
      <w:start w:val="1"/>
      <w:numFmt w:val="bullet"/>
      <w:lvlText w:val="o"/>
      <w:lvlJc w:val="left"/>
      <w:pPr>
        <w:tabs>
          <w:tab w:val="num" w:pos="5760"/>
        </w:tabs>
        <w:ind w:left="5760" w:hanging="360"/>
      </w:pPr>
      <w:rPr>
        <w:rFonts w:ascii="Courier New" w:hAnsi="Courier New" w:cs="Courier New" w:hint="default"/>
      </w:rPr>
    </w:lvl>
    <w:lvl w:ilvl="8" w:tplc="B5867F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755CC"/>
    <w:multiLevelType w:val="hybridMultilevel"/>
    <w:tmpl w:val="5A306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245867"/>
    <w:multiLevelType w:val="hybridMultilevel"/>
    <w:tmpl w:val="F72E22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2BECA8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E514DF"/>
    <w:multiLevelType w:val="hybridMultilevel"/>
    <w:tmpl w:val="C07CE0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750A4F"/>
    <w:multiLevelType w:val="hybridMultilevel"/>
    <w:tmpl w:val="599883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6B6B0E"/>
    <w:multiLevelType w:val="hybridMultilevel"/>
    <w:tmpl w:val="CB3A0BF0"/>
    <w:lvl w:ilvl="0" w:tplc="7A8E28D8">
      <w:start w:val="1"/>
      <w:numFmt w:val="decimal"/>
      <w:lvlText w:val="%1)"/>
      <w:lvlJc w:val="left"/>
      <w:pPr>
        <w:ind w:left="360" w:hanging="360"/>
      </w:pPr>
      <w:rPr>
        <w:rFonts w:hint="default"/>
        <w:color w:val="auto"/>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78D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881E03"/>
    <w:multiLevelType w:val="hybridMultilevel"/>
    <w:tmpl w:val="1C5A04A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E2C7DF4"/>
    <w:multiLevelType w:val="hybridMultilevel"/>
    <w:tmpl w:val="754C69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09B71B7"/>
    <w:multiLevelType w:val="hybridMultilevel"/>
    <w:tmpl w:val="906AD6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A16E7D"/>
    <w:multiLevelType w:val="hybridMultilevel"/>
    <w:tmpl w:val="07C468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8C354A8"/>
    <w:multiLevelType w:val="hybridMultilevel"/>
    <w:tmpl w:val="7E6C8410"/>
    <w:lvl w:ilvl="0" w:tplc="C8DAE6B0">
      <w:numFmt w:val="bullet"/>
      <w:lvlText w:val="•"/>
      <w:lvlJc w:val="left"/>
      <w:pPr>
        <w:ind w:left="1070" w:hanging="71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A743D06"/>
    <w:multiLevelType w:val="hybridMultilevel"/>
    <w:tmpl w:val="9BE8943C"/>
    <w:lvl w:ilvl="0" w:tplc="94367E90">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B252FC1"/>
    <w:multiLevelType w:val="hybridMultilevel"/>
    <w:tmpl w:val="E2160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CCA559A"/>
    <w:multiLevelType w:val="hybridMultilevel"/>
    <w:tmpl w:val="5964A462"/>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17516A"/>
    <w:multiLevelType w:val="hybridMultilevel"/>
    <w:tmpl w:val="7D20DAF0"/>
    <w:lvl w:ilvl="0" w:tplc="E2B257C0">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682389E"/>
    <w:multiLevelType w:val="hybridMultilevel"/>
    <w:tmpl w:val="7AC0B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D70AED"/>
    <w:multiLevelType w:val="hybridMultilevel"/>
    <w:tmpl w:val="DE7CF1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EE61A75"/>
    <w:multiLevelType w:val="hybridMultilevel"/>
    <w:tmpl w:val="721C2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5590216">
    <w:abstractNumId w:val="12"/>
  </w:num>
  <w:num w:numId="2" w16cid:durableId="180096600">
    <w:abstractNumId w:val="8"/>
  </w:num>
  <w:num w:numId="3" w16cid:durableId="1323192257">
    <w:abstractNumId w:val="7"/>
  </w:num>
  <w:num w:numId="4" w16cid:durableId="1636138500">
    <w:abstractNumId w:val="6"/>
  </w:num>
  <w:num w:numId="5" w16cid:durableId="761219425">
    <w:abstractNumId w:val="5"/>
  </w:num>
  <w:num w:numId="6" w16cid:durableId="1908103577">
    <w:abstractNumId w:val="9"/>
  </w:num>
  <w:num w:numId="7" w16cid:durableId="855969505">
    <w:abstractNumId w:val="4"/>
  </w:num>
  <w:num w:numId="8" w16cid:durableId="628051423">
    <w:abstractNumId w:val="3"/>
  </w:num>
  <w:num w:numId="9" w16cid:durableId="650670218">
    <w:abstractNumId w:val="2"/>
  </w:num>
  <w:num w:numId="10" w16cid:durableId="833643276">
    <w:abstractNumId w:val="1"/>
  </w:num>
  <w:num w:numId="11" w16cid:durableId="1504471429">
    <w:abstractNumId w:val="11"/>
  </w:num>
  <w:num w:numId="12" w16cid:durableId="580798580">
    <w:abstractNumId w:val="15"/>
  </w:num>
  <w:num w:numId="13" w16cid:durableId="757209899">
    <w:abstractNumId w:val="23"/>
  </w:num>
  <w:num w:numId="14" w16cid:durableId="1809321149">
    <w:abstractNumId w:val="16"/>
  </w:num>
  <w:num w:numId="15" w16cid:durableId="1499156694">
    <w:abstractNumId w:val="27"/>
  </w:num>
  <w:num w:numId="16" w16cid:durableId="506872603">
    <w:abstractNumId w:val="18"/>
  </w:num>
  <w:num w:numId="17" w16cid:durableId="168758750">
    <w:abstractNumId w:val="28"/>
  </w:num>
  <w:num w:numId="18" w16cid:durableId="1323048141">
    <w:abstractNumId w:val="19"/>
  </w:num>
  <w:num w:numId="19" w16cid:durableId="370881008">
    <w:abstractNumId w:val="0"/>
  </w:num>
  <w:num w:numId="20" w16cid:durableId="68046096">
    <w:abstractNumId w:val="24"/>
  </w:num>
  <w:num w:numId="21" w16cid:durableId="491678695">
    <w:abstractNumId w:val="26"/>
  </w:num>
  <w:num w:numId="22" w16cid:durableId="983394320">
    <w:abstractNumId w:val="31"/>
  </w:num>
  <w:num w:numId="23" w16cid:durableId="756289578">
    <w:abstractNumId w:val="13"/>
  </w:num>
  <w:num w:numId="24" w16cid:durableId="2133859739">
    <w:abstractNumId w:val="35"/>
  </w:num>
  <w:num w:numId="25" w16cid:durableId="1494296482">
    <w:abstractNumId w:val="20"/>
  </w:num>
  <w:num w:numId="26" w16cid:durableId="1702320751">
    <w:abstractNumId w:val="14"/>
  </w:num>
  <w:num w:numId="27" w16cid:durableId="761343663">
    <w:abstractNumId w:val="29"/>
  </w:num>
  <w:num w:numId="28" w16cid:durableId="1352339092">
    <w:abstractNumId w:val="36"/>
  </w:num>
  <w:num w:numId="29" w16cid:durableId="1474106127">
    <w:abstractNumId w:val="10"/>
  </w:num>
  <w:num w:numId="30" w16cid:durableId="22639365">
    <w:abstractNumId w:val="30"/>
  </w:num>
  <w:num w:numId="31" w16cid:durableId="1065254436">
    <w:abstractNumId w:val="34"/>
  </w:num>
  <w:num w:numId="32" w16cid:durableId="387804404">
    <w:abstractNumId w:val="25"/>
  </w:num>
  <w:num w:numId="33" w16cid:durableId="1241406220">
    <w:abstractNumId w:val="17"/>
  </w:num>
  <w:num w:numId="34" w16cid:durableId="1319192531">
    <w:abstractNumId w:val="21"/>
  </w:num>
  <w:num w:numId="35" w16cid:durableId="66658343">
    <w:abstractNumId w:val="22"/>
  </w:num>
  <w:num w:numId="36" w16cid:durableId="799422390">
    <w:abstractNumId w:val="33"/>
  </w:num>
  <w:num w:numId="37" w16cid:durableId="184716245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FC4"/>
    <w:rsid w:val="00003185"/>
    <w:rsid w:val="0000509B"/>
    <w:rsid w:val="000050AA"/>
    <w:rsid w:val="000068DD"/>
    <w:rsid w:val="00006C55"/>
    <w:rsid w:val="0000730B"/>
    <w:rsid w:val="0001356B"/>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29B2"/>
    <w:rsid w:val="00046C07"/>
    <w:rsid w:val="000507FD"/>
    <w:rsid w:val="0005404B"/>
    <w:rsid w:val="0005447D"/>
    <w:rsid w:val="000546DE"/>
    <w:rsid w:val="00056AB8"/>
    <w:rsid w:val="0006024D"/>
    <w:rsid w:val="00062055"/>
    <w:rsid w:val="00065462"/>
    <w:rsid w:val="00066324"/>
    <w:rsid w:val="00071F28"/>
    <w:rsid w:val="00074079"/>
    <w:rsid w:val="00074C12"/>
    <w:rsid w:val="000765B6"/>
    <w:rsid w:val="00077FA1"/>
    <w:rsid w:val="0008289C"/>
    <w:rsid w:val="0008539E"/>
    <w:rsid w:val="00085934"/>
    <w:rsid w:val="00092799"/>
    <w:rsid w:val="00092A99"/>
    <w:rsid w:val="00092C5F"/>
    <w:rsid w:val="00093ABC"/>
    <w:rsid w:val="00096680"/>
    <w:rsid w:val="000979D5"/>
    <w:rsid w:val="000A0F36"/>
    <w:rsid w:val="000A174A"/>
    <w:rsid w:val="000A3E0A"/>
    <w:rsid w:val="000A65AC"/>
    <w:rsid w:val="000B7281"/>
    <w:rsid w:val="000B7FAB"/>
    <w:rsid w:val="000C1BA1"/>
    <w:rsid w:val="000C3EA9"/>
    <w:rsid w:val="000C4A32"/>
    <w:rsid w:val="000C65BB"/>
    <w:rsid w:val="000C7119"/>
    <w:rsid w:val="000D0225"/>
    <w:rsid w:val="000D0DDA"/>
    <w:rsid w:val="000D249E"/>
    <w:rsid w:val="000D59AF"/>
    <w:rsid w:val="000D6399"/>
    <w:rsid w:val="000E5886"/>
    <w:rsid w:val="000E5FD9"/>
    <w:rsid w:val="000E6621"/>
    <w:rsid w:val="000E7895"/>
    <w:rsid w:val="000F161D"/>
    <w:rsid w:val="000F1B4E"/>
    <w:rsid w:val="000F1FFF"/>
    <w:rsid w:val="000F521E"/>
    <w:rsid w:val="00100203"/>
    <w:rsid w:val="00104B4D"/>
    <w:rsid w:val="00105677"/>
    <w:rsid w:val="001105F0"/>
    <w:rsid w:val="001177B4"/>
    <w:rsid w:val="001178E1"/>
    <w:rsid w:val="00122CF9"/>
    <w:rsid w:val="00123704"/>
    <w:rsid w:val="001270C7"/>
    <w:rsid w:val="00131042"/>
    <w:rsid w:val="00132540"/>
    <w:rsid w:val="001377D4"/>
    <w:rsid w:val="00142C78"/>
    <w:rsid w:val="00142E41"/>
    <w:rsid w:val="00143F94"/>
    <w:rsid w:val="0014577E"/>
    <w:rsid w:val="001465D1"/>
    <w:rsid w:val="0014786A"/>
    <w:rsid w:val="00147CA6"/>
    <w:rsid w:val="0015142F"/>
    <w:rsid w:val="001516A4"/>
    <w:rsid w:val="00151E5F"/>
    <w:rsid w:val="00153BD0"/>
    <w:rsid w:val="001569AB"/>
    <w:rsid w:val="00156E4A"/>
    <w:rsid w:val="0016378B"/>
    <w:rsid w:val="00163EB0"/>
    <w:rsid w:val="00164D63"/>
    <w:rsid w:val="00166C3F"/>
    <w:rsid w:val="0016725C"/>
    <w:rsid w:val="00167DE5"/>
    <w:rsid w:val="0017008F"/>
    <w:rsid w:val="001713D0"/>
    <w:rsid w:val="001726F3"/>
    <w:rsid w:val="00173C51"/>
    <w:rsid w:val="001740B9"/>
    <w:rsid w:val="00174CC2"/>
    <w:rsid w:val="00176CC6"/>
    <w:rsid w:val="00177B41"/>
    <w:rsid w:val="0018193C"/>
    <w:rsid w:val="00181BE4"/>
    <w:rsid w:val="0018496F"/>
    <w:rsid w:val="00184B30"/>
    <w:rsid w:val="00185576"/>
    <w:rsid w:val="00185951"/>
    <w:rsid w:val="0019406D"/>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2107"/>
    <w:rsid w:val="001E0256"/>
    <w:rsid w:val="001E07D3"/>
    <w:rsid w:val="001E34C6"/>
    <w:rsid w:val="001E5581"/>
    <w:rsid w:val="001F365B"/>
    <w:rsid w:val="001F3C70"/>
    <w:rsid w:val="00200D88"/>
    <w:rsid w:val="00201C09"/>
    <w:rsid w:val="00201F68"/>
    <w:rsid w:val="00210BA3"/>
    <w:rsid w:val="00212F2A"/>
    <w:rsid w:val="00214F2B"/>
    <w:rsid w:val="00215356"/>
    <w:rsid w:val="00215964"/>
    <w:rsid w:val="00215D8B"/>
    <w:rsid w:val="00216512"/>
    <w:rsid w:val="00217880"/>
    <w:rsid w:val="00222D66"/>
    <w:rsid w:val="0022441A"/>
    <w:rsid w:val="00224A8A"/>
    <w:rsid w:val="002309A8"/>
    <w:rsid w:val="002320A7"/>
    <w:rsid w:val="00232979"/>
    <w:rsid w:val="00236CFE"/>
    <w:rsid w:val="002428E3"/>
    <w:rsid w:val="0024430A"/>
    <w:rsid w:val="00245FF7"/>
    <w:rsid w:val="00253B65"/>
    <w:rsid w:val="0025447B"/>
    <w:rsid w:val="0026060B"/>
    <w:rsid w:val="00260BAF"/>
    <w:rsid w:val="002610A6"/>
    <w:rsid w:val="00263FD6"/>
    <w:rsid w:val="002643AC"/>
    <w:rsid w:val="002650F7"/>
    <w:rsid w:val="0026686B"/>
    <w:rsid w:val="002668DB"/>
    <w:rsid w:val="00267846"/>
    <w:rsid w:val="00273F3B"/>
    <w:rsid w:val="00274DB7"/>
    <w:rsid w:val="00275984"/>
    <w:rsid w:val="00276199"/>
    <w:rsid w:val="002768F3"/>
    <w:rsid w:val="00276DA4"/>
    <w:rsid w:val="00280F74"/>
    <w:rsid w:val="00286998"/>
    <w:rsid w:val="00291AB7"/>
    <w:rsid w:val="0029422B"/>
    <w:rsid w:val="00294C02"/>
    <w:rsid w:val="00294DCB"/>
    <w:rsid w:val="002A06CE"/>
    <w:rsid w:val="002A37B5"/>
    <w:rsid w:val="002A6722"/>
    <w:rsid w:val="002B153C"/>
    <w:rsid w:val="002B439F"/>
    <w:rsid w:val="002B52FC"/>
    <w:rsid w:val="002C26D0"/>
    <w:rsid w:val="002C2830"/>
    <w:rsid w:val="002C3CE0"/>
    <w:rsid w:val="002C40AF"/>
    <w:rsid w:val="002C6BAC"/>
    <w:rsid w:val="002D001A"/>
    <w:rsid w:val="002D28E2"/>
    <w:rsid w:val="002D317B"/>
    <w:rsid w:val="002D3587"/>
    <w:rsid w:val="002D3F4E"/>
    <w:rsid w:val="002D502D"/>
    <w:rsid w:val="002D6C72"/>
    <w:rsid w:val="002E0F69"/>
    <w:rsid w:val="002E1572"/>
    <w:rsid w:val="002E2142"/>
    <w:rsid w:val="002E2B8E"/>
    <w:rsid w:val="002E2DA3"/>
    <w:rsid w:val="002E4CF2"/>
    <w:rsid w:val="002E68B9"/>
    <w:rsid w:val="002E6FC0"/>
    <w:rsid w:val="002E759A"/>
    <w:rsid w:val="002F258D"/>
    <w:rsid w:val="002F3F37"/>
    <w:rsid w:val="002F493B"/>
    <w:rsid w:val="002F4ED5"/>
    <w:rsid w:val="002F5147"/>
    <w:rsid w:val="002F5A0B"/>
    <w:rsid w:val="002F71BB"/>
    <w:rsid w:val="002F7ABD"/>
    <w:rsid w:val="00307B3C"/>
    <w:rsid w:val="00310E7B"/>
    <w:rsid w:val="00310EF2"/>
    <w:rsid w:val="003115A6"/>
    <w:rsid w:val="00311A50"/>
    <w:rsid w:val="00312597"/>
    <w:rsid w:val="00322836"/>
    <w:rsid w:val="0032519C"/>
    <w:rsid w:val="00334154"/>
    <w:rsid w:val="003341D0"/>
    <w:rsid w:val="00336213"/>
    <w:rsid w:val="003372C4"/>
    <w:rsid w:val="00341FA0"/>
    <w:rsid w:val="00342374"/>
    <w:rsid w:val="00344F3D"/>
    <w:rsid w:val="00345299"/>
    <w:rsid w:val="003452B3"/>
    <w:rsid w:val="00351A8D"/>
    <w:rsid w:val="003526BB"/>
    <w:rsid w:val="00352BCF"/>
    <w:rsid w:val="00353932"/>
    <w:rsid w:val="003544ED"/>
    <w:rsid w:val="0035464B"/>
    <w:rsid w:val="00356D2B"/>
    <w:rsid w:val="00361A56"/>
    <w:rsid w:val="0036252A"/>
    <w:rsid w:val="00364D9D"/>
    <w:rsid w:val="00371048"/>
    <w:rsid w:val="003728C3"/>
    <w:rsid w:val="0037396C"/>
    <w:rsid w:val="0037421D"/>
    <w:rsid w:val="00374412"/>
    <w:rsid w:val="00375876"/>
    <w:rsid w:val="00376093"/>
    <w:rsid w:val="0037715E"/>
    <w:rsid w:val="00383DA1"/>
    <w:rsid w:val="00384250"/>
    <w:rsid w:val="0038459D"/>
    <w:rsid w:val="00385F30"/>
    <w:rsid w:val="00387600"/>
    <w:rsid w:val="0039321F"/>
    <w:rsid w:val="00393696"/>
    <w:rsid w:val="00393963"/>
    <w:rsid w:val="00395575"/>
    <w:rsid w:val="00395672"/>
    <w:rsid w:val="003A06C8"/>
    <w:rsid w:val="003A0D7C"/>
    <w:rsid w:val="003A6BA5"/>
    <w:rsid w:val="003A7160"/>
    <w:rsid w:val="003B0155"/>
    <w:rsid w:val="003B09DB"/>
    <w:rsid w:val="003B4551"/>
    <w:rsid w:val="003B528D"/>
    <w:rsid w:val="003B7EE7"/>
    <w:rsid w:val="003C0767"/>
    <w:rsid w:val="003C2CCB"/>
    <w:rsid w:val="003C41A7"/>
    <w:rsid w:val="003C4A1C"/>
    <w:rsid w:val="003C5BCB"/>
    <w:rsid w:val="003D39EC"/>
    <w:rsid w:val="003D40EA"/>
    <w:rsid w:val="003E3DD5"/>
    <w:rsid w:val="003F07C6"/>
    <w:rsid w:val="003F1F6B"/>
    <w:rsid w:val="003F3757"/>
    <w:rsid w:val="003F44B7"/>
    <w:rsid w:val="004008E9"/>
    <w:rsid w:val="00401BCB"/>
    <w:rsid w:val="00404D12"/>
    <w:rsid w:val="00407991"/>
    <w:rsid w:val="0041019E"/>
    <w:rsid w:val="00413D48"/>
    <w:rsid w:val="00421976"/>
    <w:rsid w:val="00421C5A"/>
    <w:rsid w:val="00424A60"/>
    <w:rsid w:val="00433B76"/>
    <w:rsid w:val="00434042"/>
    <w:rsid w:val="00434500"/>
    <w:rsid w:val="004418FE"/>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995"/>
    <w:rsid w:val="00472A65"/>
    <w:rsid w:val="00474463"/>
    <w:rsid w:val="00474B75"/>
    <w:rsid w:val="00476386"/>
    <w:rsid w:val="00476E86"/>
    <w:rsid w:val="00483AD4"/>
    <w:rsid w:val="00483ECA"/>
    <w:rsid w:val="00483F0B"/>
    <w:rsid w:val="0049318B"/>
    <w:rsid w:val="00493FE1"/>
    <w:rsid w:val="00494825"/>
    <w:rsid w:val="0049501A"/>
    <w:rsid w:val="00496319"/>
    <w:rsid w:val="0049657E"/>
    <w:rsid w:val="00497279"/>
    <w:rsid w:val="004A010B"/>
    <w:rsid w:val="004A3186"/>
    <w:rsid w:val="004A419C"/>
    <w:rsid w:val="004A670A"/>
    <w:rsid w:val="004B5465"/>
    <w:rsid w:val="004B6487"/>
    <w:rsid w:val="004B70F0"/>
    <w:rsid w:val="004C0035"/>
    <w:rsid w:val="004C0D94"/>
    <w:rsid w:val="004C1299"/>
    <w:rsid w:val="004C4635"/>
    <w:rsid w:val="004C7E1D"/>
    <w:rsid w:val="004D065C"/>
    <w:rsid w:val="004D33FE"/>
    <w:rsid w:val="004D39A8"/>
    <w:rsid w:val="004D4703"/>
    <w:rsid w:val="004D505E"/>
    <w:rsid w:val="004D5954"/>
    <w:rsid w:val="004D67E8"/>
    <w:rsid w:val="004D72CA"/>
    <w:rsid w:val="004E2242"/>
    <w:rsid w:val="004F0F6D"/>
    <w:rsid w:val="004F2483"/>
    <w:rsid w:val="004F42FF"/>
    <w:rsid w:val="004F44C2"/>
    <w:rsid w:val="004F79D0"/>
    <w:rsid w:val="00505262"/>
    <w:rsid w:val="005075BF"/>
    <w:rsid w:val="005107B1"/>
    <w:rsid w:val="00516022"/>
    <w:rsid w:val="005172E6"/>
    <w:rsid w:val="00521CEE"/>
    <w:rsid w:val="005268F0"/>
    <w:rsid w:val="005276B5"/>
    <w:rsid w:val="00527BD4"/>
    <w:rsid w:val="00533061"/>
    <w:rsid w:val="00533FA1"/>
    <w:rsid w:val="00534C77"/>
    <w:rsid w:val="005403C8"/>
    <w:rsid w:val="00541AD9"/>
    <w:rsid w:val="005429DC"/>
    <w:rsid w:val="005537AB"/>
    <w:rsid w:val="005565F9"/>
    <w:rsid w:val="005639D2"/>
    <w:rsid w:val="00565739"/>
    <w:rsid w:val="00573041"/>
    <w:rsid w:val="00575B80"/>
    <w:rsid w:val="00577559"/>
    <w:rsid w:val="005819CE"/>
    <w:rsid w:val="0058298D"/>
    <w:rsid w:val="00590595"/>
    <w:rsid w:val="0059168F"/>
    <w:rsid w:val="00593C2B"/>
    <w:rsid w:val="00595231"/>
    <w:rsid w:val="00595CBB"/>
    <w:rsid w:val="00596166"/>
    <w:rsid w:val="00596178"/>
    <w:rsid w:val="00597F64"/>
    <w:rsid w:val="005A1AF5"/>
    <w:rsid w:val="005A207F"/>
    <w:rsid w:val="005A2F35"/>
    <w:rsid w:val="005A32F7"/>
    <w:rsid w:val="005A5EA8"/>
    <w:rsid w:val="005A7512"/>
    <w:rsid w:val="005B3441"/>
    <w:rsid w:val="005B463E"/>
    <w:rsid w:val="005B4FAC"/>
    <w:rsid w:val="005B5D8B"/>
    <w:rsid w:val="005B71E7"/>
    <w:rsid w:val="005C01D4"/>
    <w:rsid w:val="005C34E1"/>
    <w:rsid w:val="005C3FE0"/>
    <w:rsid w:val="005C4C82"/>
    <w:rsid w:val="005C740C"/>
    <w:rsid w:val="005D283A"/>
    <w:rsid w:val="005D625B"/>
    <w:rsid w:val="005E0649"/>
    <w:rsid w:val="005E174D"/>
    <w:rsid w:val="005E3322"/>
    <w:rsid w:val="005E362C"/>
    <w:rsid w:val="005E436C"/>
    <w:rsid w:val="005E61E6"/>
    <w:rsid w:val="005E64E2"/>
    <w:rsid w:val="005F30F0"/>
    <w:rsid w:val="005F62D3"/>
    <w:rsid w:val="005F6D11"/>
    <w:rsid w:val="00600CF0"/>
    <w:rsid w:val="006048F4"/>
    <w:rsid w:val="0060660A"/>
    <w:rsid w:val="00610A24"/>
    <w:rsid w:val="006137E0"/>
    <w:rsid w:val="00613B1D"/>
    <w:rsid w:val="00617311"/>
    <w:rsid w:val="00617A44"/>
    <w:rsid w:val="006202B6"/>
    <w:rsid w:val="006205C0"/>
    <w:rsid w:val="00623CB2"/>
    <w:rsid w:val="00625CD0"/>
    <w:rsid w:val="0062627D"/>
    <w:rsid w:val="00627432"/>
    <w:rsid w:val="00635031"/>
    <w:rsid w:val="0064192A"/>
    <w:rsid w:val="00642768"/>
    <w:rsid w:val="006448E4"/>
    <w:rsid w:val="00645251"/>
    <w:rsid w:val="00645414"/>
    <w:rsid w:val="0065244E"/>
    <w:rsid w:val="006534D0"/>
    <w:rsid w:val="00653606"/>
    <w:rsid w:val="00655C56"/>
    <w:rsid w:val="006610E9"/>
    <w:rsid w:val="00661591"/>
    <w:rsid w:val="00662A78"/>
    <w:rsid w:val="00663187"/>
    <w:rsid w:val="0066632F"/>
    <w:rsid w:val="00674A89"/>
    <w:rsid w:val="00674DBA"/>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5C09"/>
    <w:rsid w:val="006D1002"/>
    <w:rsid w:val="006D1016"/>
    <w:rsid w:val="006D17F2"/>
    <w:rsid w:val="006D2D53"/>
    <w:rsid w:val="006D2F66"/>
    <w:rsid w:val="006E3546"/>
    <w:rsid w:val="006E3FA9"/>
    <w:rsid w:val="006E7D82"/>
    <w:rsid w:val="006F038F"/>
    <w:rsid w:val="006F0F93"/>
    <w:rsid w:val="006F273B"/>
    <w:rsid w:val="006F31F2"/>
    <w:rsid w:val="00704845"/>
    <w:rsid w:val="00706AB3"/>
    <w:rsid w:val="007134B6"/>
    <w:rsid w:val="007135F4"/>
    <w:rsid w:val="007138E3"/>
    <w:rsid w:val="00714DC5"/>
    <w:rsid w:val="00715237"/>
    <w:rsid w:val="007174F4"/>
    <w:rsid w:val="00721D2E"/>
    <w:rsid w:val="007242CC"/>
    <w:rsid w:val="00724A8B"/>
    <w:rsid w:val="007254A5"/>
    <w:rsid w:val="00725748"/>
    <w:rsid w:val="007259B0"/>
    <w:rsid w:val="00727AAC"/>
    <w:rsid w:val="00735D88"/>
    <w:rsid w:val="0073720D"/>
    <w:rsid w:val="00737507"/>
    <w:rsid w:val="00740712"/>
    <w:rsid w:val="00741309"/>
    <w:rsid w:val="00742AB9"/>
    <w:rsid w:val="00745877"/>
    <w:rsid w:val="00751A6A"/>
    <w:rsid w:val="00754AD6"/>
    <w:rsid w:val="00754FBF"/>
    <w:rsid w:val="0075638D"/>
    <w:rsid w:val="007614A8"/>
    <w:rsid w:val="007615AC"/>
    <w:rsid w:val="00764585"/>
    <w:rsid w:val="0076466B"/>
    <w:rsid w:val="00765D1C"/>
    <w:rsid w:val="00767FEF"/>
    <w:rsid w:val="007709EF"/>
    <w:rsid w:val="00782631"/>
    <w:rsid w:val="00783559"/>
    <w:rsid w:val="007846ED"/>
    <w:rsid w:val="007851C4"/>
    <w:rsid w:val="00785C3B"/>
    <w:rsid w:val="0079246C"/>
    <w:rsid w:val="00797AA5"/>
    <w:rsid w:val="007A26BD"/>
    <w:rsid w:val="007A4105"/>
    <w:rsid w:val="007A4F0E"/>
    <w:rsid w:val="007A514C"/>
    <w:rsid w:val="007B0D8E"/>
    <w:rsid w:val="007B357F"/>
    <w:rsid w:val="007B4503"/>
    <w:rsid w:val="007C03C9"/>
    <w:rsid w:val="007C16D8"/>
    <w:rsid w:val="007C206D"/>
    <w:rsid w:val="007C2529"/>
    <w:rsid w:val="007C406E"/>
    <w:rsid w:val="007C5183"/>
    <w:rsid w:val="007C6696"/>
    <w:rsid w:val="007C7573"/>
    <w:rsid w:val="007D33FD"/>
    <w:rsid w:val="007D777F"/>
    <w:rsid w:val="007E065D"/>
    <w:rsid w:val="007E14E4"/>
    <w:rsid w:val="007E2B20"/>
    <w:rsid w:val="007E3A61"/>
    <w:rsid w:val="007F5331"/>
    <w:rsid w:val="00800CCA"/>
    <w:rsid w:val="00801D41"/>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774"/>
    <w:rsid w:val="008547BA"/>
    <w:rsid w:val="00855331"/>
    <w:rsid w:val="008553C7"/>
    <w:rsid w:val="00857FEB"/>
    <w:rsid w:val="008601AF"/>
    <w:rsid w:val="00867A42"/>
    <w:rsid w:val="00872271"/>
    <w:rsid w:val="008731F6"/>
    <w:rsid w:val="008741D9"/>
    <w:rsid w:val="00874982"/>
    <w:rsid w:val="008762B6"/>
    <w:rsid w:val="00882E8E"/>
    <w:rsid w:val="00883137"/>
    <w:rsid w:val="00885ED7"/>
    <w:rsid w:val="00892BA5"/>
    <w:rsid w:val="00895E6E"/>
    <w:rsid w:val="008A08AC"/>
    <w:rsid w:val="008A1F5D"/>
    <w:rsid w:val="008A28F5"/>
    <w:rsid w:val="008A3934"/>
    <w:rsid w:val="008A7739"/>
    <w:rsid w:val="008B0E6F"/>
    <w:rsid w:val="008B1198"/>
    <w:rsid w:val="008B2349"/>
    <w:rsid w:val="008B3471"/>
    <w:rsid w:val="008B3929"/>
    <w:rsid w:val="008B3BAB"/>
    <w:rsid w:val="008B4125"/>
    <w:rsid w:val="008B4CB3"/>
    <w:rsid w:val="008B567B"/>
    <w:rsid w:val="008B7B24"/>
    <w:rsid w:val="008C356D"/>
    <w:rsid w:val="008C6EF3"/>
    <w:rsid w:val="008D0806"/>
    <w:rsid w:val="008D1583"/>
    <w:rsid w:val="008D1D79"/>
    <w:rsid w:val="008D4DB6"/>
    <w:rsid w:val="008E0B3F"/>
    <w:rsid w:val="008E1341"/>
    <w:rsid w:val="008E3932"/>
    <w:rsid w:val="008E49AD"/>
    <w:rsid w:val="008E698E"/>
    <w:rsid w:val="008F123F"/>
    <w:rsid w:val="008F2584"/>
    <w:rsid w:val="008F3246"/>
    <w:rsid w:val="008F3C1B"/>
    <w:rsid w:val="008F508C"/>
    <w:rsid w:val="0090271B"/>
    <w:rsid w:val="0090464D"/>
    <w:rsid w:val="00910642"/>
    <w:rsid w:val="00910DDF"/>
    <w:rsid w:val="0091178D"/>
    <w:rsid w:val="0091512C"/>
    <w:rsid w:val="00920370"/>
    <w:rsid w:val="00921861"/>
    <w:rsid w:val="00924378"/>
    <w:rsid w:val="00924639"/>
    <w:rsid w:val="0092611E"/>
    <w:rsid w:val="00926F1F"/>
    <w:rsid w:val="00926F4B"/>
    <w:rsid w:val="00930B13"/>
    <w:rsid w:val="009311C8"/>
    <w:rsid w:val="0093199F"/>
    <w:rsid w:val="00933376"/>
    <w:rsid w:val="00933A2F"/>
    <w:rsid w:val="00936353"/>
    <w:rsid w:val="00936B22"/>
    <w:rsid w:val="0094000D"/>
    <w:rsid w:val="00940206"/>
    <w:rsid w:val="00941B16"/>
    <w:rsid w:val="00946703"/>
    <w:rsid w:val="009528B2"/>
    <w:rsid w:val="00957C67"/>
    <w:rsid w:val="009607C4"/>
    <w:rsid w:val="00962F2A"/>
    <w:rsid w:val="00963440"/>
    <w:rsid w:val="00967835"/>
    <w:rsid w:val="00967BAD"/>
    <w:rsid w:val="00970E58"/>
    <w:rsid w:val="009716D8"/>
    <w:rsid w:val="009718F9"/>
    <w:rsid w:val="00971974"/>
    <w:rsid w:val="009724E4"/>
    <w:rsid w:val="00972FB9"/>
    <w:rsid w:val="00974C38"/>
    <w:rsid w:val="00975112"/>
    <w:rsid w:val="009812EB"/>
    <w:rsid w:val="00981768"/>
    <w:rsid w:val="009838BB"/>
    <w:rsid w:val="00983E8F"/>
    <w:rsid w:val="00991988"/>
    <w:rsid w:val="00992338"/>
    <w:rsid w:val="00994FDA"/>
    <w:rsid w:val="00997D15"/>
    <w:rsid w:val="009A31BF"/>
    <w:rsid w:val="009A3B71"/>
    <w:rsid w:val="009A4BB1"/>
    <w:rsid w:val="009A5914"/>
    <w:rsid w:val="009A61BC"/>
    <w:rsid w:val="009A63CD"/>
    <w:rsid w:val="009B0138"/>
    <w:rsid w:val="009B0FE9"/>
    <w:rsid w:val="009B173A"/>
    <w:rsid w:val="009B5846"/>
    <w:rsid w:val="009B601B"/>
    <w:rsid w:val="009C3F20"/>
    <w:rsid w:val="009C64FB"/>
    <w:rsid w:val="009C7CA1"/>
    <w:rsid w:val="009D043D"/>
    <w:rsid w:val="009D716F"/>
    <w:rsid w:val="009E3B07"/>
    <w:rsid w:val="009F098D"/>
    <w:rsid w:val="009F3259"/>
    <w:rsid w:val="009F541F"/>
    <w:rsid w:val="00A056DE"/>
    <w:rsid w:val="00A0678A"/>
    <w:rsid w:val="00A1289E"/>
    <w:rsid w:val="00A128AD"/>
    <w:rsid w:val="00A206A4"/>
    <w:rsid w:val="00A20730"/>
    <w:rsid w:val="00A21E76"/>
    <w:rsid w:val="00A23BC8"/>
    <w:rsid w:val="00A2531F"/>
    <w:rsid w:val="00A276B0"/>
    <w:rsid w:val="00A30E68"/>
    <w:rsid w:val="00A31933"/>
    <w:rsid w:val="00A32073"/>
    <w:rsid w:val="00A34AA0"/>
    <w:rsid w:val="00A41FE2"/>
    <w:rsid w:val="00A421A1"/>
    <w:rsid w:val="00A46FEF"/>
    <w:rsid w:val="00A47948"/>
    <w:rsid w:val="00A50CF6"/>
    <w:rsid w:val="00A50F94"/>
    <w:rsid w:val="00A51C81"/>
    <w:rsid w:val="00A56850"/>
    <w:rsid w:val="00A56946"/>
    <w:rsid w:val="00A604D3"/>
    <w:rsid w:val="00A60B58"/>
    <w:rsid w:val="00A6170E"/>
    <w:rsid w:val="00A61886"/>
    <w:rsid w:val="00A63B8C"/>
    <w:rsid w:val="00A67AC7"/>
    <w:rsid w:val="00A715F8"/>
    <w:rsid w:val="00A741BA"/>
    <w:rsid w:val="00A7443A"/>
    <w:rsid w:val="00A773CC"/>
    <w:rsid w:val="00A77F6F"/>
    <w:rsid w:val="00A831FD"/>
    <w:rsid w:val="00A83352"/>
    <w:rsid w:val="00A83F4A"/>
    <w:rsid w:val="00A850A2"/>
    <w:rsid w:val="00A91FA3"/>
    <w:rsid w:val="00A927D3"/>
    <w:rsid w:val="00A9429A"/>
    <w:rsid w:val="00AA339E"/>
    <w:rsid w:val="00AA70B0"/>
    <w:rsid w:val="00AA7FC9"/>
    <w:rsid w:val="00AB1771"/>
    <w:rsid w:val="00AB237D"/>
    <w:rsid w:val="00AB50E6"/>
    <w:rsid w:val="00AB5933"/>
    <w:rsid w:val="00AB5E69"/>
    <w:rsid w:val="00AC37CF"/>
    <w:rsid w:val="00AC3A2E"/>
    <w:rsid w:val="00AD1C98"/>
    <w:rsid w:val="00AD34B3"/>
    <w:rsid w:val="00AD5B44"/>
    <w:rsid w:val="00AD7608"/>
    <w:rsid w:val="00AE013D"/>
    <w:rsid w:val="00AE11B7"/>
    <w:rsid w:val="00AE18BA"/>
    <w:rsid w:val="00AE2858"/>
    <w:rsid w:val="00AE7130"/>
    <w:rsid w:val="00AE7F68"/>
    <w:rsid w:val="00AF2321"/>
    <w:rsid w:val="00AF47AC"/>
    <w:rsid w:val="00AF52F6"/>
    <w:rsid w:val="00AF7237"/>
    <w:rsid w:val="00B0043A"/>
    <w:rsid w:val="00B00D75"/>
    <w:rsid w:val="00B0690C"/>
    <w:rsid w:val="00B070CB"/>
    <w:rsid w:val="00B12456"/>
    <w:rsid w:val="00B132B0"/>
    <w:rsid w:val="00B15020"/>
    <w:rsid w:val="00B15B69"/>
    <w:rsid w:val="00B173C6"/>
    <w:rsid w:val="00B20109"/>
    <w:rsid w:val="00B21FF9"/>
    <w:rsid w:val="00B220A5"/>
    <w:rsid w:val="00B2317A"/>
    <w:rsid w:val="00B24378"/>
    <w:rsid w:val="00B2468A"/>
    <w:rsid w:val="00B259C8"/>
    <w:rsid w:val="00B26CCF"/>
    <w:rsid w:val="00B27252"/>
    <w:rsid w:val="00B30FC2"/>
    <w:rsid w:val="00B31BA0"/>
    <w:rsid w:val="00B31EA7"/>
    <w:rsid w:val="00B331A2"/>
    <w:rsid w:val="00B33CF2"/>
    <w:rsid w:val="00B33FE6"/>
    <w:rsid w:val="00B350A2"/>
    <w:rsid w:val="00B41BD8"/>
    <w:rsid w:val="00B425F0"/>
    <w:rsid w:val="00B42DFA"/>
    <w:rsid w:val="00B50571"/>
    <w:rsid w:val="00B531DD"/>
    <w:rsid w:val="00B55014"/>
    <w:rsid w:val="00B62232"/>
    <w:rsid w:val="00B626DD"/>
    <w:rsid w:val="00B70BF3"/>
    <w:rsid w:val="00B70D24"/>
    <w:rsid w:val="00B70E51"/>
    <w:rsid w:val="00B717D3"/>
    <w:rsid w:val="00B71DC2"/>
    <w:rsid w:val="00B80DB6"/>
    <w:rsid w:val="00B81AD2"/>
    <w:rsid w:val="00B81AEC"/>
    <w:rsid w:val="00B83CD9"/>
    <w:rsid w:val="00B85A66"/>
    <w:rsid w:val="00B85ED4"/>
    <w:rsid w:val="00B85F07"/>
    <w:rsid w:val="00B85F6B"/>
    <w:rsid w:val="00B91CFC"/>
    <w:rsid w:val="00B936A8"/>
    <w:rsid w:val="00B93893"/>
    <w:rsid w:val="00B942F1"/>
    <w:rsid w:val="00B97394"/>
    <w:rsid w:val="00BA439D"/>
    <w:rsid w:val="00BA7E0A"/>
    <w:rsid w:val="00BB27BB"/>
    <w:rsid w:val="00BB61B0"/>
    <w:rsid w:val="00BC0D9E"/>
    <w:rsid w:val="00BC3B53"/>
    <w:rsid w:val="00BC3B96"/>
    <w:rsid w:val="00BC4AE3"/>
    <w:rsid w:val="00BC5B28"/>
    <w:rsid w:val="00BC7264"/>
    <w:rsid w:val="00BC7315"/>
    <w:rsid w:val="00BE17D4"/>
    <w:rsid w:val="00BE2863"/>
    <w:rsid w:val="00BE3F88"/>
    <w:rsid w:val="00BE4756"/>
    <w:rsid w:val="00BE5ED9"/>
    <w:rsid w:val="00BE7B41"/>
    <w:rsid w:val="00BF09C1"/>
    <w:rsid w:val="00BF10DB"/>
    <w:rsid w:val="00BF4427"/>
    <w:rsid w:val="00BF46B6"/>
    <w:rsid w:val="00BF5675"/>
    <w:rsid w:val="00C03A8B"/>
    <w:rsid w:val="00C05E10"/>
    <w:rsid w:val="00C07D61"/>
    <w:rsid w:val="00C10627"/>
    <w:rsid w:val="00C15A91"/>
    <w:rsid w:val="00C206F1"/>
    <w:rsid w:val="00C2159D"/>
    <w:rsid w:val="00C217E1"/>
    <w:rsid w:val="00C218DE"/>
    <w:rsid w:val="00C219B1"/>
    <w:rsid w:val="00C231E2"/>
    <w:rsid w:val="00C238E7"/>
    <w:rsid w:val="00C2703D"/>
    <w:rsid w:val="00C352B6"/>
    <w:rsid w:val="00C35992"/>
    <w:rsid w:val="00C4015B"/>
    <w:rsid w:val="00C4044E"/>
    <w:rsid w:val="00C40C60"/>
    <w:rsid w:val="00C44487"/>
    <w:rsid w:val="00C47F04"/>
    <w:rsid w:val="00C50E87"/>
    <w:rsid w:val="00C5258E"/>
    <w:rsid w:val="00C52C0D"/>
    <w:rsid w:val="00C5333A"/>
    <w:rsid w:val="00C53BD7"/>
    <w:rsid w:val="00C5489C"/>
    <w:rsid w:val="00C55184"/>
    <w:rsid w:val="00C55923"/>
    <w:rsid w:val="00C619A7"/>
    <w:rsid w:val="00C64E34"/>
    <w:rsid w:val="00C6545E"/>
    <w:rsid w:val="00C7097A"/>
    <w:rsid w:val="00C736E8"/>
    <w:rsid w:val="00C73D5F"/>
    <w:rsid w:val="00C95E16"/>
    <w:rsid w:val="00C965EF"/>
    <w:rsid w:val="00C97C80"/>
    <w:rsid w:val="00CA1D00"/>
    <w:rsid w:val="00CA35E4"/>
    <w:rsid w:val="00CA47D3"/>
    <w:rsid w:val="00CA6533"/>
    <w:rsid w:val="00CA6A25"/>
    <w:rsid w:val="00CA6A3F"/>
    <w:rsid w:val="00CA7C99"/>
    <w:rsid w:val="00CB041A"/>
    <w:rsid w:val="00CC15DE"/>
    <w:rsid w:val="00CC48D6"/>
    <w:rsid w:val="00CC57EB"/>
    <w:rsid w:val="00CC6290"/>
    <w:rsid w:val="00CC6D5E"/>
    <w:rsid w:val="00CD233D"/>
    <w:rsid w:val="00CD362D"/>
    <w:rsid w:val="00CE101D"/>
    <w:rsid w:val="00CE1C84"/>
    <w:rsid w:val="00CE4E63"/>
    <w:rsid w:val="00CE5055"/>
    <w:rsid w:val="00CE6426"/>
    <w:rsid w:val="00CF053F"/>
    <w:rsid w:val="00CF1A17"/>
    <w:rsid w:val="00CF25FA"/>
    <w:rsid w:val="00D0140D"/>
    <w:rsid w:val="00D01C92"/>
    <w:rsid w:val="00D030AB"/>
    <w:rsid w:val="00D037A9"/>
    <w:rsid w:val="00D05DBA"/>
    <w:rsid w:val="00D0609E"/>
    <w:rsid w:val="00D078E1"/>
    <w:rsid w:val="00D100E9"/>
    <w:rsid w:val="00D110A1"/>
    <w:rsid w:val="00D17084"/>
    <w:rsid w:val="00D1791D"/>
    <w:rsid w:val="00D21E4B"/>
    <w:rsid w:val="00D22588"/>
    <w:rsid w:val="00D22689"/>
    <w:rsid w:val="00D23522"/>
    <w:rsid w:val="00D25CC1"/>
    <w:rsid w:val="00D264D6"/>
    <w:rsid w:val="00D33144"/>
    <w:rsid w:val="00D33BF0"/>
    <w:rsid w:val="00D33F30"/>
    <w:rsid w:val="00D34892"/>
    <w:rsid w:val="00D3581A"/>
    <w:rsid w:val="00D36088"/>
    <w:rsid w:val="00D36447"/>
    <w:rsid w:val="00D41CE8"/>
    <w:rsid w:val="00D44B73"/>
    <w:rsid w:val="00D516BE"/>
    <w:rsid w:val="00D5423B"/>
    <w:rsid w:val="00D54F4E"/>
    <w:rsid w:val="00D56AF3"/>
    <w:rsid w:val="00D56D7A"/>
    <w:rsid w:val="00D603F4"/>
    <w:rsid w:val="00D604B3"/>
    <w:rsid w:val="00D60BA4"/>
    <w:rsid w:val="00D6183F"/>
    <w:rsid w:val="00D62419"/>
    <w:rsid w:val="00D62AD8"/>
    <w:rsid w:val="00D65336"/>
    <w:rsid w:val="00D66074"/>
    <w:rsid w:val="00D74F66"/>
    <w:rsid w:val="00D75B3F"/>
    <w:rsid w:val="00D7786D"/>
    <w:rsid w:val="00D77870"/>
    <w:rsid w:val="00D80977"/>
    <w:rsid w:val="00D80CCE"/>
    <w:rsid w:val="00D849AF"/>
    <w:rsid w:val="00D86CC6"/>
    <w:rsid w:val="00D86EEA"/>
    <w:rsid w:val="00D87D03"/>
    <w:rsid w:val="00D9211F"/>
    <w:rsid w:val="00D93170"/>
    <w:rsid w:val="00D94393"/>
    <w:rsid w:val="00D9561B"/>
    <w:rsid w:val="00D95C88"/>
    <w:rsid w:val="00D97B2E"/>
    <w:rsid w:val="00DA1411"/>
    <w:rsid w:val="00DA1BA1"/>
    <w:rsid w:val="00DA241E"/>
    <w:rsid w:val="00DA51B5"/>
    <w:rsid w:val="00DB36FE"/>
    <w:rsid w:val="00DB38E3"/>
    <w:rsid w:val="00DB533A"/>
    <w:rsid w:val="00DB6307"/>
    <w:rsid w:val="00DC01B6"/>
    <w:rsid w:val="00DC18F3"/>
    <w:rsid w:val="00DC2443"/>
    <w:rsid w:val="00DC691C"/>
    <w:rsid w:val="00DD1DCD"/>
    <w:rsid w:val="00DD3269"/>
    <w:rsid w:val="00DD338F"/>
    <w:rsid w:val="00DD3404"/>
    <w:rsid w:val="00DD4D51"/>
    <w:rsid w:val="00DD66F2"/>
    <w:rsid w:val="00DE1EB5"/>
    <w:rsid w:val="00DE3FE0"/>
    <w:rsid w:val="00DE578A"/>
    <w:rsid w:val="00DE615C"/>
    <w:rsid w:val="00DE74EC"/>
    <w:rsid w:val="00DF2583"/>
    <w:rsid w:val="00DF3E62"/>
    <w:rsid w:val="00DF4D7F"/>
    <w:rsid w:val="00DF4E80"/>
    <w:rsid w:val="00DF54D9"/>
    <w:rsid w:val="00DF63F3"/>
    <w:rsid w:val="00DF7283"/>
    <w:rsid w:val="00E01677"/>
    <w:rsid w:val="00E01A59"/>
    <w:rsid w:val="00E0622C"/>
    <w:rsid w:val="00E0675E"/>
    <w:rsid w:val="00E10DC6"/>
    <w:rsid w:val="00E11F8E"/>
    <w:rsid w:val="00E13D95"/>
    <w:rsid w:val="00E14AA3"/>
    <w:rsid w:val="00E1536F"/>
    <w:rsid w:val="00E15881"/>
    <w:rsid w:val="00E16A8F"/>
    <w:rsid w:val="00E17CA2"/>
    <w:rsid w:val="00E20C25"/>
    <w:rsid w:val="00E21DE3"/>
    <w:rsid w:val="00E21DFF"/>
    <w:rsid w:val="00E233D5"/>
    <w:rsid w:val="00E307D1"/>
    <w:rsid w:val="00E3119B"/>
    <w:rsid w:val="00E35710"/>
    <w:rsid w:val="00E35CF4"/>
    <w:rsid w:val="00E36C2A"/>
    <w:rsid w:val="00E3731D"/>
    <w:rsid w:val="00E3739C"/>
    <w:rsid w:val="00E37811"/>
    <w:rsid w:val="00E468E4"/>
    <w:rsid w:val="00E51469"/>
    <w:rsid w:val="00E54114"/>
    <w:rsid w:val="00E5589F"/>
    <w:rsid w:val="00E61FD6"/>
    <w:rsid w:val="00E62709"/>
    <w:rsid w:val="00E634E3"/>
    <w:rsid w:val="00E717C4"/>
    <w:rsid w:val="00E74D10"/>
    <w:rsid w:val="00E754CC"/>
    <w:rsid w:val="00E776C6"/>
    <w:rsid w:val="00E77D86"/>
    <w:rsid w:val="00E77F89"/>
    <w:rsid w:val="00E80060"/>
    <w:rsid w:val="00E80DFA"/>
    <w:rsid w:val="00E80E71"/>
    <w:rsid w:val="00E80FA9"/>
    <w:rsid w:val="00E81589"/>
    <w:rsid w:val="00E850D3"/>
    <w:rsid w:val="00E853D6"/>
    <w:rsid w:val="00E8544F"/>
    <w:rsid w:val="00E876B9"/>
    <w:rsid w:val="00E91B40"/>
    <w:rsid w:val="00E91F7C"/>
    <w:rsid w:val="00E92441"/>
    <w:rsid w:val="00E94D82"/>
    <w:rsid w:val="00E95297"/>
    <w:rsid w:val="00E95FFE"/>
    <w:rsid w:val="00E972A2"/>
    <w:rsid w:val="00EA0EE9"/>
    <w:rsid w:val="00EA5BA2"/>
    <w:rsid w:val="00EA720A"/>
    <w:rsid w:val="00EB0609"/>
    <w:rsid w:val="00EB57AA"/>
    <w:rsid w:val="00EB73E0"/>
    <w:rsid w:val="00EC0DFF"/>
    <w:rsid w:val="00EC237D"/>
    <w:rsid w:val="00EC25AB"/>
    <w:rsid w:val="00EC25B9"/>
    <w:rsid w:val="00EC2927"/>
    <w:rsid w:val="00EC4D0E"/>
    <w:rsid w:val="00EC4E2B"/>
    <w:rsid w:val="00EC6AC0"/>
    <w:rsid w:val="00ED072A"/>
    <w:rsid w:val="00ED2B60"/>
    <w:rsid w:val="00ED2F32"/>
    <w:rsid w:val="00ED539E"/>
    <w:rsid w:val="00ED576F"/>
    <w:rsid w:val="00ED5E4D"/>
    <w:rsid w:val="00EE15A6"/>
    <w:rsid w:val="00EE2901"/>
    <w:rsid w:val="00EE4A1F"/>
    <w:rsid w:val="00EE4C2D"/>
    <w:rsid w:val="00EE58E9"/>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257B"/>
    <w:rsid w:val="00F13A4E"/>
    <w:rsid w:val="00F1454F"/>
    <w:rsid w:val="00F172BB"/>
    <w:rsid w:val="00F17B10"/>
    <w:rsid w:val="00F17BFE"/>
    <w:rsid w:val="00F20147"/>
    <w:rsid w:val="00F21BEF"/>
    <w:rsid w:val="00F2315B"/>
    <w:rsid w:val="00F30D38"/>
    <w:rsid w:val="00F31111"/>
    <w:rsid w:val="00F40F11"/>
    <w:rsid w:val="00F41A6F"/>
    <w:rsid w:val="00F457FE"/>
    <w:rsid w:val="00F45A25"/>
    <w:rsid w:val="00F50F86"/>
    <w:rsid w:val="00F51A76"/>
    <w:rsid w:val="00F52934"/>
    <w:rsid w:val="00F53862"/>
    <w:rsid w:val="00F53C9D"/>
    <w:rsid w:val="00F53F91"/>
    <w:rsid w:val="00F54B9F"/>
    <w:rsid w:val="00F61569"/>
    <w:rsid w:val="00F61A72"/>
    <w:rsid w:val="00F62B67"/>
    <w:rsid w:val="00F66F13"/>
    <w:rsid w:val="00F7145D"/>
    <w:rsid w:val="00F71B5E"/>
    <w:rsid w:val="00F74073"/>
    <w:rsid w:val="00F75603"/>
    <w:rsid w:val="00F77BE5"/>
    <w:rsid w:val="00F834EE"/>
    <w:rsid w:val="00F845B4"/>
    <w:rsid w:val="00F85E29"/>
    <w:rsid w:val="00F8713B"/>
    <w:rsid w:val="00F87360"/>
    <w:rsid w:val="00F904FB"/>
    <w:rsid w:val="00F928C4"/>
    <w:rsid w:val="00F9297F"/>
    <w:rsid w:val="00F93F9E"/>
    <w:rsid w:val="00F950BC"/>
    <w:rsid w:val="00FA2CD7"/>
    <w:rsid w:val="00FA5AD5"/>
    <w:rsid w:val="00FA6FFD"/>
    <w:rsid w:val="00FA7882"/>
    <w:rsid w:val="00FB06ED"/>
    <w:rsid w:val="00FB3267"/>
    <w:rsid w:val="00FC08A4"/>
    <w:rsid w:val="00FC1FA9"/>
    <w:rsid w:val="00FC202F"/>
    <w:rsid w:val="00FC3165"/>
    <w:rsid w:val="00FC36AB"/>
    <w:rsid w:val="00FC4300"/>
    <w:rsid w:val="00FC6019"/>
    <w:rsid w:val="00FC7F66"/>
    <w:rsid w:val="00FD5776"/>
    <w:rsid w:val="00FD6A55"/>
    <w:rsid w:val="00FD6CF9"/>
    <w:rsid w:val="00FE1CB6"/>
    <w:rsid w:val="00FE486B"/>
    <w:rsid w:val="00FE4F08"/>
    <w:rsid w:val="00FF192E"/>
    <w:rsid w:val="00FF3C8D"/>
    <w:rsid w:val="00FF66F9"/>
    <w:rsid w:val="00FF6B45"/>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9BCF"/>
  <w15:docId w15:val="{78AD7EDC-0A57-4845-B57C-A8D5ADFE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AF47AC"/>
    <w:pPr>
      <w:ind w:left="720"/>
      <w:contextualSpacing/>
    </w:pPr>
  </w:style>
  <w:style w:type="paragraph" w:customStyle="1" w:styleId="Default">
    <w:name w:val="Default"/>
    <w:rsid w:val="005E362C"/>
    <w:pPr>
      <w:autoSpaceDE w:val="0"/>
      <w:autoSpaceDN w:val="0"/>
      <w:adjustRightInd w:val="0"/>
    </w:pPr>
    <w:rPr>
      <w:rFonts w:ascii="Calibri" w:hAnsi="Calibri" w:cs="Calibri"/>
      <w:color w:val="000000"/>
      <w:sz w:val="24"/>
      <w:szCs w:val="24"/>
      <w:lang w:val="nl-NL"/>
    </w:rPr>
  </w:style>
  <w:style w:type="character" w:styleId="Voetnootmarkering">
    <w:name w:val="footnote reference"/>
    <w:basedOn w:val="Standaardalinea-lettertype"/>
    <w:rsid w:val="001105F0"/>
    <w:rPr>
      <w:vertAlign w:val="superscript"/>
    </w:rPr>
  </w:style>
  <w:style w:type="character" w:styleId="Verwijzingopmerking">
    <w:name w:val="annotation reference"/>
    <w:basedOn w:val="Standaardalinea-lettertype"/>
    <w:rsid w:val="008A7739"/>
    <w:rPr>
      <w:sz w:val="16"/>
      <w:szCs w:val="16"/>
    </w:rPr>
  </w:style>
  <w:style w:type="paragraph" w:styleId="Tekstopmerking">
    <w:name w:val="annotation text"/>
    <w:basedOn w:val="Standaard"/>
    <w:link w:val="TekstopmerkingChar"/>
    <w:rsid w:val="008A7739"/>
    <w:pPr>
      <w:spacing w:line="240" w:lineRule="auto"/>
    </w:pPr>
    <w:rPr>
      <w:sz w:val="20"/>
      <w:szCs w:val="20"/>
    </w:rPr>
  </w:style>
  <w:style w:type="character" w:customStyle="1" w:styleId="TekstopmerkingChar">
    <w:name w:val="Tekst opmerking Char"/>
    <w:basedOn w:val="Standaardalinea-lettertype"/>
    <w:link w:val="Tekstopmerking"/>
    <w:rsid w:val="008A7739"/>
    <w:rPr>
      <w:rFonts w:ascii="Verdana" w:hAnsi="Verdana"/>
      <w:lang w:val="nl-NL" w:eastAsia="nl-NL"/>
    </w:rPr>
  </w:style>
  <w:style w:type="paragraph" w:styleId="Onderwerpvanopmerking">
    <w:name w:val="annotation subject"/>
    <w:basedOn w:val="Tekstopmerking"/>
    <w:next w:val="Tekstopmerking"/>
    <w:link w:val="OnderwerpvanopmerkingChar"/>
    <w:rsid w:val="008A7739"/>
    <w:rPr>
      <w:b/>
      <w:bCs/>
    </w:rPr>
  </w:style>
  <w:style w:type="character" w:customStyle="1" w:styleId="OnderwerpvanopmerkingChar">
    <w:name w:val="Onderwerp van opmerking Char"/>
    <w:basedOn w:val="TekstopmerkingChar"/>
    <w:link w:val="Onderwerpvanopmerking"/>
    <w:rsid w:val="008A7739"/>
    <w:rPr>
      <w:rFonts w:ascii="Verdana" w:hAnsi="Verdana"/>
      <w:b/>
      <w:bCs/>
      <w:lang w:val="nl-NL" w:eastAsia="nl-NL"/>
    </w:rPr>
  </w:style>
  <w:style w:type="paragraph" w:styleId="Revisie">
    <w:name w:val="Revision"/>
    <w:hidden/>
    <w:uiPriority w:val="99"/>
    <w:semiHidden/>
    <w:rsid w:val="00421C5A"/>
    <w:rPr>
      <w:rFonts w:ascii="Verdana" w:hAnsi="Verdana"/>
      <w:sz w:val="18"/>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745877"/>
    <w:rPr>
      <w:rFonts w:ascii="Verdana" w:hAnsi="Verdana"/>
      <w:sz w:val="18"/>
      <w:szCs w:val="24"/>
      <w:lang w:val="nl-NL" w:eastAsia="nl-NL"/>
    </w:rPr>
  </w:style>
  <w:style w:type="paragraph" w:customStyle="1" w:styleId="xmsonormal">
    <w:name w:val="x_msonormal"/>
    <w:basedOn w:val="Standaard"/>
    <w:rsid w:val="00DE74EC"/>
    <w:pPr>
      <w:spacing w:line="240" w:lineRule="auto"/>
    </w:pPr>
    <w:rPr>
      <w:rFonts w:ascii="Aptos" w:eastAsiaTheme="minorHAnsi" w:hAnsi="Aptos" w:cs="Aptos"/>
      <w:sz w:val="24"/>
    </w:rPr>
  </w:style>
  <w:style w:type="character" w:customStyle="1" w:styleId="VoetnoottekstChar">
    <w:name w:val="Voetnoottekst Char"/>
    <w:basedOn w:val="Standaardalinea-lettertype"/>
    <w:link w:val="Voetnoottekst"/>
    <w:semiHidden/>
    <w:rsid w:val="00C95E16"/>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644">
      <w:bodyDiv w:val="1"/>
      <w:marLeft w:val="0"/>
      <w:marRight w:val="0"/>
      <w:marTop w:val="0"/>
      <w:marBottom w:val="0"/>
      <w:divBdr>
        <w:top w:val="none" w:sz="0" w:space="0" w:color="auto"/>
        <w:left w:val="none" w:sz="0" w:space="0" w:color="auto"/>
        <w:bottom w:val="none" w:sz="0" w:space="0" w:color="auto"/>
        <w:right w:val="none" w:sz="0" w:space="0" w:color="auto"/>
      </w:divBdr>
    </w:div>
    <w:div w:id="137848760">
      <w:bodyDiv w:val="1"/>
      <w:marLeft w:val="0"/>
      <w:marRight w:val="0"/>
      <w:marTop w:val="0"/>
      <w:marBottom w:val="0"/>
      <w:divBdr>
        <w:top w:val="none" w:sz="0" w:space="0" w:color="auto"/>
        <w:left w:val="none" w:sz="0" w:space="0" w:color="auto"/>
        <w:bottom w:val="none" w:sz="0" w:space="0" w:color="auto"/>
        <w:right w:val="none" w:sz="0" w:space="0" w:color="auto"/>
      </w:divBdr>
    </w:div>
    <w:div w:id="257493216">
      <w:bodyDiv w:val="1"/>
      <w:marLeft w:val="0"/>
      <w:marRight w:val="0"/>
      <w:marTop w:val="0"/>
      <w:marBottom w:val="0"/>
      <w:divBdr>
        <w:top w:val="none" w:sz="0" w:space="0" w:color="auto"/>
        <w:left w:val="none" w:sz="0" w:space="0" w:color="auto"/>
        <w:bottom w:val="none" w:sz="0" w:space="0" w:color="auto"/>
        <w:right w:val="none" w:sz="0" w:space="0" w:color="auto"/>
      </w:divBdr>
    </w:div>
    <w:div w:id="313605934">
      <w:bodyDiv w:val="1"/>
      <w:marLeft w:val="0"/>
      <w:marRight w:val="0"/>
      <w:marTop w:val="0"/>
      <w:marBottom w:val="0"/>
      <w:divBdr>
        <w:top w:val="none" w:sz="0" w:space="0" w:color="auto"/>
        <w:left w:val="none" w:sz="0" w:space="0" w:color="auto"/>
        <w:bottom w:val="none" w:sz="0" w:space="0" w:color="auto"/>
        <w:right w:val="none" w:sz="0" w:space="0" w:color="auto"/>
      </w:divBdr>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168832383">
          <w:marLeft w:val="0"/>
          <w:marRight w:val="0"/>
          <w:marTop w:val="0"/>
          <w:marBottom w:val="0"/>
          <w:divBdr>
            <w:top w:val="none" w:sz="0" w:space="0" w:color="auto"/>
            <w:left w:val="none" w:sz="0" w:space="0" w:color="auto"/>
            <w:bottom w:val="none" w:sz="0" w:space="0" w:color="auto"/>
            <w:right w:val="none" w:sz="0" w:space="0" w:color="auto"/>
          </w:divBdr>
        </w:div>
      </w:divsChild>
    </w:div>
    <w:div w:id="490483734">
      <w:bodyDiv w:val="1"/>
      <w:marLeft w:val="0"/>
      <w:marRight w:val="0"/>
      <w:marTop w:val="0"/>
      <w:marBottom w:val="0"/>
      <w:divBdr>
        <w:top w:val="none" w:sz="0" w:space="0" w:color="auto"/>
        <w:left w:val="none" w:sz="0" w:space="0" w:color="auto"/>
        <w:bottom w:val="none" w:sz="0" w:space="0" w:color="auto"/>
        <w:right w:val="none" w:sz="0" w:space="0" w:color="auto"/>
      </w:divBdr>
    </w:div>
    <w:div w:id="633681028">
      <w:bodyDiv w:val="1"/>
      <w:marLeft w:val="0"/>
      <w:marRight w:val="0"/>
      <w:marTop w:val="0"/>
      <w:marBottom w:val="0"/>
      <w:divBdr>
        <w:top w:val="none" w:sz="0" w:space="0" w:color="auto"/>
        <w:left w:val="none" w:sz="0" w:space="0" w:color="auto"/>
        <w:bottom w:val="none" w:sz="0" w:space="0" w:color="auto"/>
        <w:right w:val="none" w:sz="0" w:space="0" w:color="auto"/>
      </w:divBdr>
    </w:div>
    <w:div w:id="714694939">
      <w:bodyDiv w:val="1"/>
      <w:marLeft w:val="0"/>
      <w:marRight w:val="0"/>
      <w:marTop w:val="0"/>
      <w:marBottom w:val="0"/>
      <w:divBdr>
        <w:top w:val="none" w:sz="0" w:space="0" w:color="auto"/>
        <w:left w:val="none" w:sz="0" w:space="0" w:color="auto"/>
        <w:bottom w:val="none" w:sz="0" w:space="0" w:color="auto"/>
        <w:right w:val="none" w:sz="0" w:space="0" w:color="auto"/>
      </w:divBdr>
    </w:div>
    <w:div w:id="756055778">
      <w:bodyDiv w:val="1"/>
      <w:marLeft w:val="0"/>
      <w:marRight w:val="0"/>
      <w:marTop w:val="0"/>
      <w:marBottom w:val="0"/>
      <w:divBdr>
        <w:top w:val="none" w:sz="0" w:space="0" w:color="auto"/>
        <w:left w:val="none" w:sz="0" w:space="0" w:color="auto"/>
        <w:bottom w:val="none" w:sz="0" w:space="0" w:color="auto"/>
        <w:right w:val="none" w:sz="0" w:space="0" w:color="auto"/>
      </w:divBdr>
    </w:div>
    <w:div w:id="933320775">
      <w:bodyDiv w:val="1"/>
      <w:marLeft w:val="0"/>
      <w:marRight w:val="0"/>
      <w:marTop w:val="0"/>
      <w:marBottom w:val="0"/>
      <w:divBdr>
        <w:top w:val="none" w:sz="0" w:space="0" w:color="auto"/>
        <w:left w:val="none" w:sz="0" w:space="0" w:color="auto"/>
        <w:bottom w:val="none" w:sz="0" w:space="0" w:color="auto"/>
        <w:right w:val="none" w:sz="0" w:space="0" w:color="auto"/>
      </w:divBdr>
    </w:div>
    <w:div w:id="981622653">
      <w:bodyDiv w:val="1"/>
      <w:marLeft w:val="0"/>
      <w:marRight w:val="0"/>
      <w:marTop w:val="0"/>
      <w:marBottom w:val="0"/>
      <w:divBdr>
        <w:top w:val="none" w:sz="0" w:space="0" w:color="auto"/>
        <w:left w:val="none" w:sz="0" w:space="0" w:color="auto"/>
        <w:bottom w:val="none" w:sz="0" w:space="0" w:color="auto"/>
        <w:right w:val="none" w:sz="0" w:space="0" w:color="auto"/>
      </w:divBdr>
    </w:div>
    <w:div w:id="1022366592">
      <w:bodyDiv w:val="1"/>
      <w:marLeft w:val="0"/>
      <w:marRight w:val="0"/>
      <w:marTop w:val="0"/>
      <w:marBottom w:val="0"/>
      <w:divBdr>
        <w:top w:val="none" w:sz="0" w:space="0" w:color="auto"/>
        <w:left w:val="none" w:sz="0" w:space="0" w:color="auto"/>
        <w:bottom w:val="none" w:sz="0" w:space="0" w:color="auto"/>
        <w:right w:val="none" w:sz="0" w:space="0" w:color="auto"/>
      </w:divBdr>
    </w:div>
    <w:div w:id="1039091266">
      <w:bodyDiv w:val="1"/>
      <w:marLeft w:val="0"/>
      <w:marRight w:val="0"/>
      <w:marTop w:val="0"/>
      <w:marBottom w:val="0"/>
      <w:divBdr>
        <w:top w:val="none" w:sz="0" w:space="0" w:color="auto"/>
        <w:left w:val="none" w:sz="0" w:space="0" w:color="auto"/>
        <w:bottom w:val="none" w:sz="0" w:space="0" w:color="auto"/>
        <w:right w:val="none" w:sz="0" w:space="0" w:color="auto"/>
      </w:divBdr>
    </w:div>
    <w:div w:id="1203591788">
      <w:bodyDiv w:val="1"/>
      <w:marLeft w:val="0"/>
      <w:marRight w:val="0"/>
      <w:marTop w:val="0"/>
      <w:marBottom w:val="0"/>
      <w:divBdr>
        <w:top w:val="none" w:sz="0" w:space="0" w:color="auto"/>
        <w:left w:val="none" w:sz="0" w:space="0" w:color="auto"/>
        <w:bottom w:val="none" w:sz="0" w:space="0" w:color="auto"/>
        <w:right w:val="none" w:sz="0" w:space="0" w:color="auto"/>
      </w:divBdr>
    </w:div>
    <w:div w:id="1228420526">
      <w:bodyDiv w:val="1"/>
      <w:marLeft w:val="0"/>
      <w:marRight w:val="0"/>
      <w:marTop w:val="0"/>
      <w:marBottom w:val="0"/>
      <w:divBdr>
        <w:top w:val="none" w:sz="0" w:space="0" w:color="auto"/>
        <w:left w:val="none" w:sz="0" w:space="0" w:color="auto"/>
        <w:bottom w:val="none" w:sz="0" w:space="0" w:color="auto"/>
        <w:right w:val="none" w:sz="0" w:space="0" w:color="auto"/>
      </w:divBdr>
    </w:div>
    <w:div w:id="1410883435">
      <w:bodyDiv w:val="1"/>
      <w:marLeft w:val="0"/>
      <w:marRight w:val="0"/>
      <w:marTop w:val="0"/>
      <w:marBottom w:val="0"/>
      <w:divBdr>
        <w:top w:val="none" w:sz="0" w:space="0" w:color="auto"/>
        <w:left w:val="none" w:sz="0" w:space="0" w:color="auto"/>
        <w:bottom w:val="none" w:sz="0" w:space="0" w:color="auto"/>
        <w:right w:val="none" w:sz="0" w:space="0" w:color="auto"/>
      </w:divBdr>
    </w:div>
    <w:div w:id="1420365194">
      <w:bodyDiv w:val="1"/>
      <w:marLeft w:val="0"/>
      <w:marRight w:val="0"/>
      <w:marTop w:val="0"/>
      <w:marBottom w:val="0"/>
      <w:divBdr>
        <w:top w:val="none" w:sz="0" w:space="0" w:color="auto"/>
        <w:left w:val="none" w:sz="0" w:space="0" w:color="auto"/>
        <w:bottom w:val="none" w:sz="0" w:space="0" w:color="auto"/>
        <w:right w:val="none" w:sz="0" w:space="0" w:color="auto"/>
      </w:divBdr>
    </w:div>
    <w:div w:id="1608804946">
      <w:bodyDiv w:val="1"/>
      <w:marLeft w:val="0"/>
      <w:marRight w:val="0"/>
      <w:marTop w:val="0"/>
      <w:marBottom w:val="0"/>
      <w:divBdr>
        <w:top w:val="none" w:sz="0" w:space="0" w:color="auto"/>
        <w:left w:val="none" w:sz="0" w:space="0" w:color="auto"/>
        <w:bottom w:val="none" w:sz="0" w:space="0" w:color="auto"/>
        <w:right w:val="none" w:sz="0" w:space="0" w:color="auto"/>
      </w:divBdr>
    </w:div>
    <w:div w:id="1670794468">
      <w:bodyDiv w:val="1"/>
      <w:marLeft w:val="0"/>
      <w:marRight w:val="0"/>
      <w:marTop w:val="0"/>
      <w:marBottom w:val="0"/>
      <w:divBdr>
        <w:top w:val="none" w:sz="0" w:space="0" w:color="auto"/>
        <w:left w:val="none" w:sz="0" w:space="0" w:color="auto"/>
        <w:bottom w:val="none" w:sz="0" w:space="0" w:color="auto"/>
        <w:right w:val="none" w:sz="0" w:space="0" w:color="auto"/>
      </w:divBdr>
    </w:div>
    <w:div w:id="1677807284">
      <w:bodyDiv w:val="1"/>
      <w:marLeft w:val="0"/>
      <w:marRight w:val="0"/>
      <w:marTop w:val="0"/>
      <w:marBottom w:val="0"/>
      <w:divBdr>
        <w:top w:val="none" w:sz="0" w:space="0" w:color="auto"/>
        <w:left w:val="none" w:sz="0" w:space="0" w:color="auto"/>
        <w:bottom w:val="none" w:sz="0" w:space="0" w:color="auto"/>
        <w:right w:val="none" w:sz="0" w:space="0" w:color="auto"/>
      </w:divBdr>
    </w:div>
    <w:div w:id="1857306267">
      <w:bodyDiv w:val="1"/>
      <w:marLeft w:val="0"/>
      <w:marRight w:val="0"/>
      <w:marTop w:val="0"/>
      <w:marBottom w:val="0"/>
      <w:divBdr>
        <w:top w:val="none" w:sz="0" w:space="0" w:color="auto"/>
        <w:left w:val="none" w:sz="0" w:space="0" w:color="auto"/>
        <w:bottom w:val="none" w:sz="0" w:space="0" w:color="auto"/>
        <w:right w:val="none" w:sz="0" w:space="0" w:color="auto"/>
      </w:divBdr>
    </w:div>
    <w:div w:id="1972858854">
      <w:bodyDiv w:val="1"/>
      <w:marLeft w:val="0"/>
      <w:marRight w:val="0"/>
      <w:marTop w:val="0"/>
      <w:marBottom w:val="0"/>
      <w:divBdr>
        <w:top w:val="none" w:sz="0" w:space="0" w:color="auto"/>
        <w:left w:val="none" w:sz="0" w:space="0" w:color="auto"/>
        <w:bottom w:val="none" w:sz="0" w:space="0" w:color="auto"/>
        <w:right w:val="none" w:sz="0" w:space="0" w:color="auto"/>
      </w:divBdr>
    </w:div>
    <w:div w:id="2062317289">
      <w:bodyDiv w:val="1"/>
      <w:marLeft w:val="0"/>
      <w:marRight w:val="0"/>
      <w:marTop w:val="0"/>
      <w:marBottom w:val="0"/>
      <w:divBdr>
        <w:top w:val="none" w:sz="0" w:space="0" w:color="auto"/>
        <w:left w:val="none" w:sz="0" w:space="0" w:color="auto"/>
        <w:bottom w:val="none" w:sz="0" w:space="0" w:color="auto"/>
        <w:right w:val="none" w:sz="0" w:space="0" w:color="auto"/>
      </w:divBdr>
      <w:divsChild>
        <w:div w:id="7682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2203</ap:Words>
  <ap:Characters>13077</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2025-05-21T12:16:00.0000000Z</lastPrinted>
  <dcterms:created xsi:type="dcterms:W3CDTF">2025-05-22T15:53:00.0000000Z</dcterms:created>
  <dcterms:modified xsi:type="dcterms:W3CDTF">2025-05-22T15:53:00.0000000Z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O203WAN</vt:lpwstr>
  </property>
  <property fmtid="{D5CDD505-2E9C-101B-9397-08002B2CF9AE}" pid="3" name="Author">
    <vt:lpwstr>O203WAN</vt:lpwstr>
  </property>
  <property fmtid="{D5CDD505-2E9C-101B-9397-08002B2CF9AE}" pid="4" name="cs_objectid">
    <vt:lpwstr>52450192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Toekenning tweede tranche financiële middelen voor vitale opleidingen in krimpregio's</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O203WAN</vt:lpwstr>
  </property>
</Properties>
</file>