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4742"/>
      </w:tblGrid>
      <w:tr w:rsidR="00962708" w:rsidTr="00CE3458" w14:paraId="425A2BDB" w14:textId="77777777">
        <w:tc>
          <w:tcPr>
            <w:tcW w:w="14742" w:type="dxa"/>
            <w:hideMark/>
          </w:tcPr>
          <w:tbl>
            <w:tblPr>
              <w:tblStyle w:val="TableNormal"/>
              <w:tblW w:w="14420"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E2F3" w:themeFill="accent5" w:themeFillTint="33"/>
              <w:tblLayout w:type="fixed"/>
              <w:tblLook w:val="01E0" w:firstRow="1" w:lastRow="1" w:firstColumn="1" w:lastColumn="1" w:noHBand="0" w:noVBand="0"/>
            </w:tblPr>
            <w:tblGrid>
              <w:gridCol w:w="3126"/>
              <w:gridCol w:w="11294"/>
            </w:tblGrid>
            <w:tr w:rsidR="00962708" w:rsidTr="00CE3458" w14:paraId="00D9EA1E" w14:textId="77777777">
              <w:trPr>
                <w:trHeight w:val="652"/>
              </w:trPr>
              <w:tc>
                <w:tcPr>
                  <w:tcW w:w="14420"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00962708" w:rsidRDefault="00962708" w14:paraId="67BD7CD5" w14:textId="77777777">
                  <w:pPr>
                    <w:pStyle w:val="TableParagraph"/>
                    <w:ind w:left="103"/>
                    <w:rPr>
                      <w:rFonts w:cstheme="minorHAnsi"/>
                      <w:b/>
                      <w:color w:val="FFFFFF"/>
                      <w:sz w:val="16"/>
                      <w:szCs w:val="16"/>
                    </w:rPr>
                  </w:pPr>
                  <w:r>
                    <w:rPr>
                      <w:rFonts w:cstheme="minorHAnsi"/>
                      <w:b/>
                      <w:color w:val="FFFFFF"/>
                      <w:sz w:val="16"/>
                      <w:szCs w:val="16"/>
                    </w:rPr>
                    <w:t>Beleidskeuzes uitgelegd</w:t>
                  </w:r>
                </w:p>
                <w:p w:rsidRPr="00962708" w:rsidR="00962708" w:rsidRDefault="00962708" w14:paraId="6B6AF22F" w14:textId="77777777">
                  <w:pPr>
                    <w:pStyle w:val="TableParagraph"/>
                    <w:rPr>
                      <w:rFonts w:asciiTheme="minorHAnsi" w:hAnsiTheme="minorHAnsi" w:cstheme="minorHAnsi"/>
                      <w:color w:val="FFFFFF" w:themeColor="background1"/>
                      <w:sz w:val="16"/>
                      <w:szCs w:val="16"/>
                    </w:rPr>
                  </w:pPr>
                  <w:r>
                    <w:rPr>
                      <w:rFonts w:cstheme="minorHAnsi"/>
                      <w:b/>
                      <w:color w:val="FFFFFF" w:themeColor="background1"/>
                      <w:sz w:val="16"/>
                      <w:szCs w:val="16"/>
                    </w:rPr>
                    <w:t xml:space="preserve"> </w:t>
                  </w:r>
                  <w:r>
                    <w:rPr>
                      <w:rFonts w:cstheme="minorHAnsi"/>
                      <w:i/>
                      <w:color w:val="FFFFFF" w:themeColor="background1"/>
                      <w:sz w:val="16"/>
                      <w:szCs w:val="16"/>
                    </w:rPr>
                    <w:t>Onderbouwing doeltreffendheid, doelmatigheid en evaluatie (CW 3.1)</w:t>
                  </w:r>
                </w:p>
              </w:tc>
            </w:tr>
            <w:tr w:rsidR="00D421E4" w:rsidTr="00D61161" w14:paraId="4F020879" w14:textId="77777777">
              <w:trPr>
                <w:trHeight w:val="1020"/>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Pr="00D421E4" w:rsidR="00D421E4" w:rsidP="00D421E4" w:rsidRDefault="00D62BFB" w14:paraId="13576B82" w14:textId="073BE977">
                  <w:pPr>
                    <w:pStyle w:val="TableParagraph"/>
                    <w:numPr>
                      <w:ilvl w:val="0"/>
                      <w:numId w:val="1"/>
                    </w:numPr>
                    <w:rPr>
                      <w:rFonts w:cstheme="minorHAnsi"/>
                      <w:b/>
                      <w:color w:val="FFFFFF"/>
                      <w:sz w:val="16"/>
                      <w:szCs w:val="16"/>
                    </w:rPr>
                  </w:pPr>
                  <w:r>
                    <w:rPr>
                      <w:rFonts w:cstheme="minorHAnsi"/>
                      <w:b/>
                      <w:color w:val="FFFFFF"/>
                      <w:sz w:val="16"/>
                      <w:szCs w:val="16"/>
                    </w:rPr>
                    <w:t xml:space="preserve">Wetsvoorstel Wet </w:t>
                  </w:r>
                  <w:r w:rsidR="007272AE">
                    <w:rPr>
                      <w:rFonts w:cstheme="minorHAnsi"/>
                      <w:b/>
                      <w:color w:val="FFFFFF"/>
                      <w:sz w:val="16"/>
                      <w:szCs w:val="16"/>
                    </w:rPr>
                    <w:t>werkelijk rendement box 3</w:t>
                  </w:r>
                </w:p>
                <w:p w:rsidR="00D421E4" w:rsidRDefault="00D421E4" w14:paraId="24B3633D" w14:textId="77777777">
                  <w:pPr>
                    <w:pStyle w:val="TableParagraph"/>
                    <w:ind w:left="103"/>
                    <w:rPr>
                      <w:rFonts w:cstheme="minorHAnsi"/>
                      <w:b/>
                      <w:color w:val="FFFFFF"/>
                      <w:sz w:val="16"/>
                      <w:szCs w:val="16"/>
                    </w:rPr>
                  </w:pP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tcPr>
                <w:p w:rsidRPr="0082467D" w:rsidR="00CF7BEC" w:rsidP="0082467D" w:rsidRDefault="00D62BFB" w14:paraId="10F2D5D5" w14:textId="158C7CE9">
                  <w:pPr>
                    <w:rPr>
                      <w:rFonts w:cstheme="minorHAnsi"/>
                      <w:b/>
                      <w:sz w:val="16"/>
                      <w:szCs w:val="16"/>
                    </w:rPr>
                  </w:pPr>
                  <w:r w:rsidRPr="001137FA">
                    <w:rPr>
                      <w:rFonts w:cstheme="minorHAnsi"/>
                      <w:b/>
                      <w:sz w:val="16"/>
                      <w:szCs w:val="16"/>
                    </w:rPr>
                    <w:t xml:space="preserve">Het wetsvoorstel Wet </w:t>
                  </w:r>
                  <w:r w:rsidR="0082467D">
                    <w:rPr>
                      <w:rFonts w:cstheme="minorHAnsi"/>
                      <w:b/>
                      <w:sz w:val="16"/>
                      <w:szCs w:val="16"/>
                    </w:rPr>
                    <w:t xml:space="preserve">werkelijk rendement box 3 </w:t>
                  </w:r>
                  <w:r w:rsidR="009C6806">
                    <w:rPr>
                      <w:rFonts w:cstheme="minorHAnsi"/>
                      <w:b/>
                      <w:sz w:val="16"/>
                      <w:szCs w:val="16"/>
                    </w:rPr>
                    <w:t xml:space="preserve">behelst de introductie van een nieuw stelsel om inkomen uit vermogen te belasten in box 3 van de inkomstenbelasting. Dit nieuwe stelsel is gebaseerd op het werkelijke rendement. De hoofdregel is een vermogensaanwasbelasting. Het inkomen uit onroerende zaken en uit belangen in </w:t>
                  </w:r>
                  <w:proofErr w:type="spellStart"/>
                  <w:r w:rsidR="009C6806">
                    <w:rPr>
                      <w:rFonts w:cstheme="minorHAnsi"/>
                      <w:b/>
                      <w:sz w:val="16"/>
                      <w:szCs w:val="16"/>
                    </w:rPr>
                    <w:t>start-ups</w:t>
                  </w:r>
                  <w:proofErr w:type="spellEnd"/>
                  <w:r w:rsidR="009C6806">
                    <w:rPr>
                      <w:rFonts w:cstheme="minorHAnsi"/>
                      <w:b/>
                      <w:sz w:val="16"/>
                      <w:szCs w:val="16"/>
                    </w:rPr>
                    <w:t xml:space="preserve"> wordt belast op basis van vermogenswinst. </w:t>
                  </w:r>
                </w:p>
              </w:tc>
            </w:tr>
            <w:tr w:rsidR="00962708" w:rsidTr="00CE3458" w14:paraId="2508314E" w14:textId="77777777">
              <w:trPr>
                <w:trHeight w:val="560"/>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00962708" w:rsidRDefault="00962708" w14:paraId="42F729E2" w14:textId="77777777">
                  <w:pPr>
                    <w:pStyle w:val="TableParagraph"/>
                    <w:ind w:left="103"/>
                    <w:rPr>
                      <w:rFonts w:cstheme="minorHAnsi"/>
                      <w:b/>
                      <w:color w:val="FFFFFF"/>
                      <w:sz w:val="16"/>
                      <w:szCs w:val="16"/>
                    </w:rPr>
                  </w:pPr>
                </w:p>
                <w:p w:rsidR="00962708" w:rsidP="00D439E5" w:rsidRDefault="00962708" w14:paraId="1F0EAAA8" w14:textId="77777777">
                  <w:pPr>
                    <w:pStyle w:val="TableParagraph"/>
                    <w:numPr>
                      <w:ilvl w:val="0"/>
                      <w:numId w:val="1"/>
                    </w:numPr>
                    <w:rPr>
                      <w:rFonts w:cstheme="minorHAnsi"/>
                      <w:b/>
                      <w:sz w:val="16"/>
                      <w:szCs w:val="16"/>
                    </w:rPr>
                  </w:pPr>
                  <w:r>
                    <w:rPr>
                      <w:rFonts w:cstheme="minorHAnsi"/>
                      <w:b/>
                      <w:color w:val="FFFFFF"/>
                      <w:sz w:val="16"/>
                      <w:szCs w:val="16"/>
                    </w:rPr>
                    <w:t xml:space="preserve">Doel(en) </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1137FA" w:rsidR="00962708" w:rsidP="001137FA" w:rsidRDefault="00391BE4" w14:paraId="71F2B818" w14:textId="5E633280">
                  <w:pPr>
                    <w:rPr>
                      <w:rFonts w:cstheme="minorHAnsi"/>
                      <w:b/>
                      <w:sz w:val="16"/>
                      <w:szCs w:val="16"/>
                    </w:rPr>
                  </w:pPr>
                  <w:r>
                    <w:rPr>
                      <w:rFonts w:cstheme="minorHAnsi"/>
                      <w:b/>
                      <w:sz w:val="16"/>
                      <w:szCs w:val="16"/>
                    </w:rPr>
                    <w:t>Het introduceren van een</w:t>
                  </w:r>
                  <w:r w:rsidR="009C6806">
                    <w:rPr>
                      <w:rFonts w:cstheme="minorHAnsi"/>
                      <w:b/>
                      <w:sz w:val="16"/>
                      <w:szCs w:val="16"/>
                    </w:rPr>
                    <w:t xml:space="preserve"> rechtvaardige, uitvoerbare en</w:t>
                  </w:r>
                  <w:r>
                    <w:rPr>
                      <w:rFonts w:cstheme="minorHAnsi"/>
                      <w:b/>
                      <w:sz w:val="16"/>
                      <w:szCs w:val="16"/>
                    </w:rPr>
                    <w:t xml:space="preserve"> juridisch houdbare belasting in box 3</w:t>
                  </w:r>
                  <w:r w:rsidR="00BA31E5">
                    <w:rPr>
                      <w:rFonts w:cstheme="minorHAnsi"/>
                      <w:b/>
                      <w:sz w:val="16"/>
                      <w:szCs w:val="16"/>
                    </w:rPr>
                    <w:t xml:space="preserve"> met als uitgangspunt het belasten van werkelijk rendement</w:t>
                  </w:r>
                  <w:r>
                    <w:rPr>
                      <w:rFonts w:cstheme="minorHAnsi"/>
                      <w:b/>
                      <w:sz w:val="16"/>
                      <w:szCs w:val="16"/>
                    </w:rPr>
                    <w:t>.</w:t>
                  </w:r>
                </w:p>
                <w:p w:rsidRPr="00D62BFB" w:rsidR="00A71D41" w:rsidP="001137FA" w:rsidRDefault="00A71D41" w14:paraId="10B5AF06" w14:textId="538CED78"/>
              </w:tc>
            </w:tr>
            <w:tr w:rsidR="00962708" w:rsidTr="00CE3458" w14:paraId="69EC84BB" w14:textId="77777777">
              <w:trPr>
                <w:trHeight w:val="427"/>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Pr="00FC67A6" w:rsidR="00962708" w:rsidRDefault="00962708" w14:paraId="465832AF" w14:textId="77777777">
                  <w:pPr>
                    <w:pStyle w:val="TableParagraph"/>
                    <w:ind w:left="103" w:right="231"/>
                    <w:rPr>
                      <w:rFonts w:cstheme="minorHAnsi"/>
                      <w:b/>
                      <w:color w:val="FFFFFF"/>
                      <w:sz w:val="16"/>
                      <w:szCs w:val="16"/>
                    </w:rPr>
                  </w:pPr>
                </w:p>
                <w:p w:rsidR="00962708" w:rsidP="00D439E5" w:rsidRDefault="00962708" w14:paraId="409D4A00" w14:textId="77777777">
                  <w:pPr>
                    <w:pStyle w:val="TableParagraph"/>
                    <w:numPr>
                      <w:ilvl w:val="0"/>
                      <w:numId w:val="1"/>
                    </w:numPr>
                    <w:ind w:right="231"/>
                    <w:rPr>
                      <w:rFonts w:cstheme="minorHAnsi"/>
                      <w:b/>
                      <w:sz w:val="16"/>
                      <w:szCs w:val="16"/>
                    </w:rPr>
                  </w:pPr>
                  <w:r>
                    <w:rPr>
                      <w:rFonts w:cstheme="minorHAnsi"/>
                      <w:b/>
                      <w:color w:val="FFFFFF"/>
                      <w:sz w:val="16"/>
                      <w:szCs w:val="16"/>
                    </w:rPr>
                    <w:t>Beleidsinstrument(en)</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1137FA" w:rsidR="00C35BC0" w:rsidP="001137FA" w:rsidRDefault="00D62BFB" w14:paraId="6D2CC773" w14:textId="607EF16E">
                  <w:pPr>
                    <w:rPr>
                      <w:rFonts w:cstheme="minorHAnsi"/>
                      <w:b/>
                      <w:sz w:val="16"/>
                      <w:szCs w:val="16"/>
                    </w:rPr>
                  </w:pPr>
                  <w:r w:rsidRPr="001137FA">
                    <w:rPr>
                      <w:rFonts w:cstheme="minorHAnsi"/>
                      <w:b/>
                      <w:sz w:val="16"/>
                      <w:szCs w:val="16"/>
                    </w:rPr>
                    <w:t>Wetgeving</w:t>
                  </w:r>
                </w:p>
              </w:tc>
            </w:tr>
            <w:tr w:rsidR="00962708" w:rsidTr="00CE3458" w14:paraId="4175FA4F" w14:textId="77777777">
              <w:trPr>
                <w:trHeight w:val="495"/>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962708" w:rsidR="00962708" w:rsidRDefault="00962708" w14:paraId="31ACE0D0" w14:textId="77777777">
                  <w:pPr>
                    <w:pStyle w:val="TableParagraph"/>
                    <w:spacing w:before="144"/>
                    <w:ind w:left="198" w:right="506"/>
                    <w:rPr>
                      <w:rFonts w:cstheme="minorHAnsi"/>
                      <w:b/>
                      <w:sz w:val="16"/>
                      <w:szCs w:val="16"/>
                    </w:rPr>
                  </w:pPr>
                  <w:r>
                    <w:rPr>
                      <w:rFonts w:cstheme="minorHAnsi"/>
                      <w:b/>
                      <w:color w:val="FFFFFF"/>
                      <w:sz w:val="16"/>
                      <w:szCs w:val="16"/>
                    </w:rPr>
                    <w:t>3A. Financiële gevolgen voor het Rijk</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8C3C65" w:rsidR="00CE3458" w:rsidP="004E745A" w:rsidRDefault="009C6806" w14:paraId="461C4E55" w14:textId="6F498915">
                  <w:pPr>
                    <w:spacing w:line="276" w:lineRule="auto"/>
                    <w:rPr>
                      <w:b/>
                      <w:bCs/>
                      <w:sz w:val="16"/>
                      <w:szCs w:val="16"/>
                    </w:rPr>
                  </w:pPr>
                  <w:r w:rsidRPr="008C3C65">
                    <w:rPr>
                      <w:b/>
                      <w:bCs/>
                      <w:sz w:val="16"/>
                      <w:szCs w:val="16"/>
                    </w:rPr>
                    <w:t>Onderstaande tabel toont de</w:t>
                  </w:r>
                  <w:r>
                    <w:rPr>
                      <w:b/>
                      <w:bCs/>
                      <w:sz w:val="16"/>
                      <w:szCs w:val="16"/>
                    </w:rPr>
                    <w:t xml:space="preserve"> (lastenrelevante)</w:t>
                  </w:r>
                  <w:r w:rsidRPr="008C3C65">
                    <w:rPr>
                      <w:b/>
                      <w:bCs/>
                      <w:sz w:val="16"/>
                      <w:szCs w:val="16"/>
                    </w:rPr>
                    <w:t xml:space="preserve"> financiële gevolgen voor het Rijk per jaar.</w:t>
                  </w:r>
                  <w:r>
                    <w:rPr>
                      <w:b/>
                      <w:bCs/>
                      <w:sz w:val="16"/>
                      <w:szCs w:val="16"/>
                    </w:rPr>
                    <w:t xml:space="preserve"> De opbrengst van het is hier afgezet tegen het </w:t>
                  </w:r>
                  <w:proofErr w:type="spellStart"/>
                  <w:r>
                    <w:rPr>
                      <w:b/>
                      <w:bCs/>
                      <w:sz w:val="16"/>
                      <w:szCs w:val="16"/>
                    </w:rPr>
                    <w:t>basispad</w:t>
                  </w:r>
                  <w:proofErr w:type="spellEnd"/>
                  <w:r>
                    <w:rPr>
                      <w:b/>
                      <w:bCs/>
                      <w:sz w:val="16"/>
                      <w:szCs w:val="16"/>
                    </w:rPr>
                    <w:t>.</w:t>
                  </w:r>
                </w:p>
                <w:tbl>
                  <w:tblPr>
                    <w:tblStyle w:val="Lijsttabel4-Accent5"/>
                    <w:tblW w:w="10953" w:type="dxa"/>
                    <w:tblLayout w:type="fixed"/>
                    <w:tblLook w:val="04A0" w:firstRow="1" w:lastRow="0" w:firstColumn="1" w:lastColumn="0" w:noHBand="0" w:noVBand="1"/>
                  </w:tblPr>
                  <w:tblGrid>
                    <w:gridCol w:w="1694"/>
                    <w:gridCol w:w="771"/>
                    <w:gridCol w:w="772"/>
                    <w:gridCol w:w="771"/>
                    <w:gridCol w:w="772"/>
                    <w:gridCol w:w="771"/>
                    <w:gridCol w:w="772"/>
                    <w:gridCol w:w="772"/>
                    <w:gridCol w:w="771"/>
                    <w:gridCol w:w="772"/>
                    <w:gridCol w:w="771"/>
                    <w:gridCol w:w="772"/>
                    <w:gridCol w:w="772"/>
                  </w:tblGrid>
                  <w:tr w:rsidRPr="0060241A" w:rsidR="005724D7" w:rsidTr="005724D7" w14:paraId="2E48F5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rsidRPr="00702A20" w:rsidR="005724D7" w:rsidP="005724D7" w:rsidRDefault="005724D7" w14:paraId="2ACFBF70" w14:textId="77777777">
                        <w:pPr>
                          <w:rPr>
                            <w:rFonts w:ascii="Verdana" w:hAnsi="Verdana"/>
                            <w:bCs w:val="0"/>
                            <w:color w:val="auto"/>
                            <w:sz w:val="17"/>
                            <w:szCs w:val="17"/>
                          </w:rPr>
                        </w:pPr>
                        <w:bookmarkStart w:name="_Hlk167972666" w:id="0"/>
                        <w:r w:rsidRPr="0060241A">
                          <w:rPr>
                            <w:rFonts w:ascii="Verdana" w:hAnsi="Verdana"/>
                            <w:sz w:val="17"/>
                            <w:szCs w:val="17"/>
                          </w:rPr>
                          <w:t>Jaar</w:t>
                        </w:r>
                      </w:p>
                    </w:tc>
                    <w:tc>
                      <w:tcPr>
                        <w:tcW w:w="771" w:type="dxa"/>
                      </w:tcPr>
                      <w:p w:rsidRPr="00702A20" w:rsidR="005724D7" w:rsidP="005724D7" w:rsidRDefault="005724D7" w14:paraId="7EEFF257" w14:textId="4FF6BE4A">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202</w:t>
                        </w:r>
                        <w:r w:rsidR="00041017">
                          <w:rPr>
                            <w:rFonts w:ascii="Verdana" w:hAnsi="Verdana"/>
                            <w:sz w:val="17"/>
                            <w:szCs w:val="17"/>
                          </w:rPr>
                          <w:t>8</w:t>
                        </w:r>
                      </w:p>
                    </w:tc>
                    <w:tc>
                      <w:tcPr>
                        <w:tcW w:w="772" w:type="dxa"/>
                      </w:tcPr>
                      <w:p w:rsidRPr="00702A20" w:rsidR="005724D7" w:rsidP="005724D7" w:rsidRDefault="005724D7" w14:paraId="5630FED2" w14:textId="47EF00B0">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202</w:t>
                        </w:r>
                        <w:r w:rsidR="00041017">
                          <w:rPr>
                            <w:rFonts w:ascii="Verdana" w:hAnsi="Verdana"/>
                            <w:sz w:val="17"/>
                            <w:szCs w:val="17"/>
                          </w:rPr>
                          <w:t>9</w:t>
                        </w:r>
                      </w:p>
                    </w:tc>
                    <w:tc>
                      <w:tcPr>
                        <w:tcW w:w="771" w:type="dxa"/>
                      </w:tcPr>
                      <w:p w:rsidRPr="00702A20" w:rsidR="005724D7" w:rsidP="005724D7" w:rsidRDefault="005724D7" w14:paraId="30ACAB03" w14:textId="36FA37AE">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w:t>
                        </w:r>
                        <w:r w:rsidR="00041017">
                          <w:rPr>
                            <w:rFonts w:ascii="Verdana" w:hAnsi="Verdana"/>
                            <w:sz w:val="17"/>
                            <w:szCs w:val="17"/>
                          </w:rPr>
                          <w:t>30</w:t>
                        </w:r>
                      </w:p>
                    </w:tc>
                    <w:tc>
                      <w:tcPr>
                        <w:tcW w:w="772" w:type="dxa"/>
                      </w:tcPr>
                      <w:p w:rsidRPr="00702A20" w:rsidR="005724D7" w:rsidP="005724D7" w:rsidRDefault="005724D7" w14:paraId="6B295B11" w14:textId="3836DC96">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203</w:t>
                        </w:r>
                        <w:r w:rsidR="00041017">
                          <w:rPr>
                            <w:rFonts w:ascii="Verdana" w:hAnsi="Verdana"/>
                            <w:sz w:val="17"/>
                            <w:szCs w:val="17"/>
                          </w:rPr>
                          <w:t>1</w:t>
                        </w:r>
                      </w:p>
                    </w:tc>
                    <w:tc>
                      <w:tcPr>
                        <w:tcW w:w="771" w:type="dxa"/>
                      </w:tcPr>
                      <w:p w:rsidRPr="00702A20" w:rsidR="005724D7" w:rsidP="005724D7" w:rsidRDefault="005724D7" w14:paraId="2C97983C" w14:textId="2BB9402F">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203</w:t>
                        </w:r>
                        <w:r w:rsidR="00041017">
                          <w:rPr>
                            <w:rFonts w:ascii="Verdana" w:hAnsi="Verdana"/>
                            <w:sz w:val="17"/>
                            <w:szCs w:val="17"/>
                          </w:rPr>
                          <w:t>2</w:t>
                        </w:r>
                      </w:p>
                    </w:tc>
                    <w:tc>
                      <w:tcPr>
                        <w:tcW w:w="772" w:type="dxa"/>
                      </w:tcPr>
                      <w:p w:rsidRPr="00702A20" w:rsidR="005724D7" w:rsidP="005724D7" w:rsidRDefault="005724D7" w14:paraId="4EB7EF6B" w14:textId="7CE00ECE">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203</w:t>
                        </w:r>
                        <w:r w:rsidR="00041017">
                          <w:rPr>
                            <w:rFonts w:ascii="Verdana" w:hAnsi="Verdana"/>
                            <w:sz w:val="17"/>
                            <w:szCs w:val="17"/>
                          </w:rPr>
                          <w:t>3</w:t>
                        </w:r>
                      </w:p>
                    </w:tc>
                    <w:tc>
                      <w:tcPr>
                        <w:tcW w:w="772" w:type="dxa"/>
                      </w:tcPr>
                      <w:p w:rsidRPr="00702A20" w:rsidR="005724D7" w:rsidP="005724D7" w:rsidRDefault="005724D7" w14:paraId="0168A980" w14:textId="3AA4FCD5">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203</w:t>
                        </w:r>
                        <w:r w:rsidR="00041017">
                          <w:rPr>
                            <w:rFonts w:ascii="Verdana" w:hAnsi="Verdana"/>
                            <w:sz w:val="17"/>
                            <w:szCs w:val="17"/>
                          </w:rPr>
                          <w:t>4</w:t>
                        </w:r>
                      </w:p>
                    </w:tc>
                    <w:tc>
                      <w:tcPr>
                        <w:tcW w:w="771" w:type="dxa"/>
                      </w:tcPr>
                      <w:p w:rsidRPr="00702A20" w:rsidR="005724D7" w:rsidP="005724D7" w:rsidRDefault="005724D7" w14:paraId="273B4DDF" w14:textId="668444ED">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203</w:t>
                        </w:r>
                        <w:r w:rsidR="00041017">
                          <w:rPr>
                            <w:rFonts w:ascii="Verdana" w:hAnsi="Verdana"/>
                            <w:sz w:val="17"/>
                            <w:szCs w:val="17"/>
                          </w:rPr>
                          <w:t>5</w:t>
                        </w:r>
                      </w:p>
                    </w:tc>
                    <w:tc>
                      <w:tcPr>
                        <w:tcW w:w="772" w:type="dxa"/>
                      </w:tcPr>
                      <w:p w:rsidRPr="00702A20" w:rsidR="005724D7" w:rsidP="005724D7" w:rsidRDefault="005724D7" w14:paraId="29272A99" w14:textId="7B553839">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203</w:t>
                        </w:r>
                        <w:r w:rsidR="00041017">
                          <w:rPr>
                            <w:rFonts w:ascii="Verdana" w:hAnsi="Verdana"/>
                            <w:sz w:val="17"/>
                            <w:szCs w:val="17"/>
                          </w:rPr>
                          <w:t>6</w:t>
                        </w:r>
                      </w:p>
                    </w:tc>
                    <w:tc>
                      <w:tcPr>
                        <w:tcW w:w="771" w:type="dxa"/>
                      </w:tcPr>
                      <w:p w:rsidRPr="00702A20" w:rsidR="005724D7" w:rsidP="005724D7" w:rsidRDefault="005724D7" w14:paraId="5E99F29B" w14:textId="0F5AD3C7">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203</w:t>
                        </w:r>
                        <w:r w:rsidR="00041017">
                          <w:rPr>
                            <w:rFonts w:ascii="Verdana" w:hAnsi="Verdana"/>
                            <w:sz w:val="17"/>
                            <w:szCs w:val="17"/>
                          </w:rPr>
                          <w:t>7</w:t>
                        </w:r>
                      </w:p>
                    </w:tc>
                    <w:tc>
                      <w:tcPr>
                        <w:tcW w:w="772" w:type="dxa"/>
                      </w:tcPr>
                      <w:p w:rsidRPr="00702A20" w:rsidR="005724D7" w:rsidP="005724D7" w:rsidRDefault="005724D7" w14:paraId="52FCFD49" w14:textId="2A7B3084">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r w:rsidRPr="00702A20">
                          <w:rPr>
                            <w:rFonts w:ascii="Verdana" w:hAnsi="Verdana"/>
                            <w:sz w:val="17"/>
                            <w:szCs w:val="17"/>
                          </w:rPr>
                          <w:t>203</w:t>
                        </w:r>
                        <w:r w:rsidR="00041017">
                          <w:rPr>
                            <w:rFonts w:ascii="Verdana" w:hAnsi="Verdana"/>
                            <w:sz w:val="17"/>
                            <w:szCs w:val="17"/>
                          </w:rPr>
                          <w:t>8</w:t>
                        </w:r>
                      </w:p>
                    </w:tc>
                    <w:tc>
                      <w:tcPr>
                        <w:tcW w:w="772" w:type="dxa"/>
                      </w:tcPr>
                      <w:p w:rsidRPr="00702A20" w:rsidR="005724D7" w:rsidP="005724D7" w:rsidRDefault="005724D7" w14:paraId="4E8DBAED" w14:textId="77777777">
                        <w:pPr>
                          <w:cnfStyle w:val="100000000000" w:firstRow="1" w:lastRow="0" w:firstColumn="0" w:lastColumn="0" w:oddVBand="0" w:evenVBand="0" w:oddHBand="0" w:evenHBand="0" w:firstRowFirstColumn="0" w:firstRowLastColumn="0" w:lastRowFirstColumn="0" w:lastRowLastColumn="0"/>
                          <w:rPr>
                            <w:rFonts w:ascii="Verdana" w:hAnsi="Verdana"/>
                            <w:bCs w:val="0"/>
                            <w:color w:val="auto"/>
                            <w:sz w:val="17"/>
                            <w:szCs w:val="17"/>
                          </w:rPr>
                        </w:pPr>
                        <w:proofErr w:type="spellStart"/>
                        <w:r w:rsidRPr="00702A20">
                          <w:rPr>
                            <w:rFonts w:ascii="Verdana" w:hAnsi="Verdana"/>
                            <w:sz w:val="17"/>
                            <w:szCs w:val="17"/>
                          </w:rPr>
                          <w:t>Struc</w:t>
                        </w:r>
                        <w:proofErr w:type="spellEnd"/>
                      </w:p>
                    </w:tc>
                  </w:tr>
                  <w:tr w:rsidRPr="0060241A" w:rsidR="005724D7" w:rsidTr="005724D7" w14:paraId="34368D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rsidRPr="00702A20" w:rsidR="005724D7" w:rsidP="005724D7" w:rsidRDefault="005724D7" w14:paraId="3FED1311" w14:textId="77777777">
                        <w:pPr>
                          <w:rPr>
                            <w:rFonts w:ascii="Verdana" w:hAnsi="Verdana"/>
                            <w:bCs w:val="0"/>
                            <w:sz w:val="14"/>
                            <w:szCs w:val="14"/>
                          </w:rPr>
                        </w:pPr>
                        <w:r w:rsidRPr="00702A20">
                          <w:rPr>
                            <w:rFonts w:ascii="Verdana" w:hAnsi="Verdana"/>
                            <w:sz w:val="14"/>
                            <w:szCs w:val="14"/>
                          </w:rPr>
                          <w:t>Inkomstenkant</w:t>
                        </w:r>
                      </w:p>
                    </w:tc>
                    <w:tc>
                      <w:tcPr>
                        <w:tcW w:w="771" w:type="dxa"/>
                      </w:tcPr>
                      <w:p w:rsidRPr="00702A20" w:rsidR="005724D7" w:rsidP="005724D7" w:rsidRDefault="000B2A09" w14:paraId="050140E1" w14:textId="6A53D315">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Pr>
                            <w:rFonts w:ascii="Verdana" w:hAnsi="Verdana"/>
                            <w:bCs/>
                            <w:sz w:val="17"/>
                            <w:szCs w:val="17"/>
                          </w:rPr>
                          <w:t>1006</w:t>
                        </w:r>
                      </w:p>
                    </w:tc>
                    <w:tc>
                      <w:tcPr>
                        <w:tcW w:w="772" w:type="dxa"/>
                      </w:tcPr>
                      <w:p w:rsidRPr="00702A20" w:rsidR="005724D7" w:rsidP="005724D7" w:rsidRDefault="000B2A09" w14:paraId="1C22B914" w14:textId="1C712EFB">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Pr>
                            <w:rFonts w:ascii="Verdana" w:hAnsi="Verdana"/>
                            <w:bCs/>
                            <w:sz w:val="17"/>
                            <w:szCs w:val="17"/>
                          </w:rPr>
                          <w:t>70</w:t>
                        </w:r>
                      </w:p>
                    </w:tc>
                    <w:tc>
                      <w:tcPr>
                        <w:tcW w:w="771" w:type="dxa"/>
                      </w:tcPr>
                      <w:p w:rsidRPr="00702A20" w:rsidR="005724D7" w:rsidP="005724D7" w:rsidRDefault="005724D7" w14:paraId="7B22F6B9" w14:textId="2EA0FF35">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sidRPr="00702A20">
                          <w:rPr>
                            <w:rFonts w:ascii="Verdana" w:hAnsi="Verdana"/>
                            <w:bCs/>
                            <w:sz w:val="17"/>
                            <w:szCs w:val="17"/>
                          </w:rPr>
                          <w:t>-</w:t>
                        </w:r>
                        <w:r w:rsidR="000B2A09">
                          <w:rPr>
                            <w:rFonts w:ascii="Verdana" w:hAnsi="Verdana"/>
                            <w:bCs/>
                            <w:sz w:val="17"/>
                            <w:szCs w:val="17"/>
                          </w:rPr>
                          <w:t>122</w:t>
                        </w:r>
                      </w:p>
                    </w:tc>
                    <w:tc>
                      <w:tcPr>
                        <w:tcW w:w="772" w:type="dxa"/>
                      </w:tcPr>
                      <w:p w:rsidRPr="00702A20" w:rsidR="005724D7" w:rsidP="005724D7" w:rsidRDefault="005724D7" w14:paraId="07601BD5" w14:textId="40EA0636">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sidRPr="00702A20">
                          <w:rPr>
                            <w:rFonts w:ascii="Verdana" w:hAnsi="Verdana"/>
                            <w:bCs/>
                            <w:sz w:val="17"/>
                            <w:szCs w:val="17"/>
                          </w:rPr>
                          <w:t>-1</w:t>
                        </w:r>
                        <w:r w:rsidR="000B2A09">
                          <w:rPr>
                            <w:rFonts w:ascii="Verdana" w:hAnsi="Verdana"/>
                            <w:bCs/>
                            <w:sz w:val="17"/>
                            <w:szCs w:val="17"/>
                          </w:rPr>
                          <w:t>67</w:t>
                        </w:r>
                      </w:p>
                    </w:tc>
                    <w:tc>
                      <w:tcPr>
                        <w:tcW w:w="771" w:type="dxa"/>
                      </w:tcPr>
                      <w:p w:rsidRPr="00702A20" w:rsidR="005724D7" w:rsidP="005724D7" w:rsidRDefault="005724D7" w14:paraId="0D188157" w14:textId="44A9E8D1">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sidRPr="00702A20">
                          <w:rPr>
                            <w:rFonts w:ascii="Verdana" w:hAnsi="Verdana"/>
                            <w:bCs/>
                            <w:sz w:val="17"/>
                            <w:szCs w:val="17"/>
                          </w:rPr>
                          <w:t>-</w:t>
                        </w:r>
                        <w:r w:rsidR="000B2A09">
                          <w:rPr>
                            <w:rFonts w:ascii="Verdana" w:hAnsi="Verdana"/>
                            <w:bCs/>
                            <w:sz w:val="17"/>
                            <w:szCs w:val="17"/>
                          </w:rPr>
                          <w:t>96</w:t>
                        </w:r>
                      </w:p>
                    </w:tc>
                    <w:tc>
                      <w:tcPr>
                        <w:tcW w:w="772" w:type="dxa"/>
                      </w:tcPr>
                      <w:p w:rsidRPr="00702A20" w:rsidR="005724D7" w:rsidP="005724D7" w:rsidRDefault="000B2A09" w14:paraId="00269A9C" w14:textId="45556694">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Pr>
                            <w:rFonts w:ascii="Verdana" w:hAnsi="Verdana"/>
                            <w:bCs/>
                            <w:sz w:val="17"/>
                            <w:szCs w:val="17"/>
                          </w:rPr>
                          <w:t>-13</w:t>
                        </w:r>
                      </w:p>
                    </w:tc>
                    <w:tc>
                      <w:tcPr>
                        <w:tcW w:w="772" w:type="dxa"/>
                      </w:tcPr>
                      <w:p w:rsidRPr="00702A20" w:rsidR="005724D7" w:rsidP="005724D7" w:rsidRDefault="000B2A09" w14:paraId="64060865" w14:textId="784D0EA2">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Pr>
                            <w:rFonts w:ascii="Verdana" w:hAnsi="Verdana"/>
                            <w:bCs/>
                            <w:sz w:val="17"/>
                            <w:szCs w:val="17"/>
                          </w:rPr>
                          <w:t>82</w:t>
                        </w:r>
                      </w:p>
                    </w:tc>
                    <w:tc>
                      <w:tcPr>
                        <w:tcW w:w="771" w:type="dxa"/>
                      </w:tcPr>
                      <w:p w:rsidRPr="00702A20" w:rsidR="005724D7" w:rsidP="005724D7" w:rsidRDefault="000B2A09" w14:paraId="567CED99" w14:textId="3F375902">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Pr>
                            <w:rFonts w:ascii="Verdana" w:hAnsi="Verdana"/>
                            <w:bCs/>
                            <w:sz w:val="17"/>
                            <w:szCs w:val="17"/>
                          </w:rPr>
                          <w:t>196</w:t>
                        </w:r>
                      </w:p>
                    </w:tc>
                    <w:tc>
                      <w:tcPr>
                        <w:tcW w:w="772" w:type="dxa"/>
                      </w:tcPr>
                      <w:p w:rsidRPr="00702A20" w:rsidR="005724D7" w:rsidP="005724D7" w:rsidRDefault="000B2A09" w14:paraId="11B3E5D2" w14:textId="495E7AD1">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Pr>
                            <w:rFonts w:ascii="Verdana" w:hAnsi="Verdana"/>
                            <w:bCs/>
                            <w:sz w:val="17"/>
                            <w:szCs w:val="17"/>
                          </w:rPr>
                          <w:t>279</w:t>
                        </w:r>
                      </w:p>
                    </w:tc>
                    <w:tc>
                      <w:tcPr>
                        <w:tcW w:w="771" w:type="dxa"/>
                      </w:tcPr>
                      <w:p w:rsidRPr="00702A20" w:rsidR="005724D7" w:rsidP="005724D7" w:rsidRDefault="00BA1328" w14:paraId="3D845798" w14:textId="489A7CA4">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Pr>
                            <w:rFonts w:ascii="Verdana" w:hAnsi="Verdana"/>
                            <w:bCs/>
                            <w:sz w:val="17"/>
                            <w:szCs w:val="17"/>
                          </w:rPr>
                          <w:t>390</w:t>
                        </w:r>
                      </w:p>
                    </w:tc>
                    <w:tc>
                      <w:tcPr>
                        <w:tcW w:w="772" w:type="dxa"/>
                      </w:tcPr>
                      <w:p w:rsidRPr="00702A20" w:rsidR="005724D7" w:rsidP="005724D7" w:rsidRDefault="005724D7" w14:paraId="192145CD" w14:textId="69AC7BD0">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sidRPr="00702A20">
                          <w:rPr>
                            <w:rFonts w:ascii="Verdana" w:hAnsi="Verdana"/>
                            <w:bCs/>
                            <w:sz w:val="17"/>
                            <w:szCs w:val="17"/>
                          </w:rPr>
                          <w:t>5</w:t>
                        </w:r>
                        <w:r w:rsidR="00BA1328">
                          <w:rPr>
                            <w:rFonts w:ascii="Verdana" w:hAnsi="Verdana"/>
                            <w:bCs/>
                            <w:sz w:val="17"/>
                            <w:szCs w:val="17"/>
                          </w:rPr>
                          <w:t>02</w:t>
                        </w:r>
                      </w:p>
                    </w:tc>
                    <w:tc>
                      <w:tcPr>
                        <w:tcW w:w="772" w:type="dxa"/>
                      </w:tcPr>
                      <w:p w:rsidRPr="00702A20" w:rsidR="005724D7" w:rsidP="005724D7" w:rsidRDefault="005724D7" w14:paraId="2C7F8C4F" w14:textId="1916CB68">
                        <w:pPr>
                          <w:cnfStyle w:val="000000100000" w:firstRow="0" w:lastRow="0" w:firstColumn="0" w:lastColumn="0" w:oddVBand="0" w:evenVBand="0" w:oddHBand="1" w:evenHBand="0" w:firstRowFirstColumn="0" w:firstRowLastColumn="0" w:lastRowFirstColumn="0" w:lastRowLastColumn="0"/>
                          <w:rPr>
                            <w:rFonts w:ascii="Verdana" w:hAnsi="Verdana"/>
                            <w:bCs/>
                            <w:sz w:val="17"/>
                            <w:szCs w:val="17"/>
                          </w:rPr>
                        </w:pPr>
                        <w:r w:rsidRPr="00702A20">
                          <w:rPr>
                            <w:rFonts w:ascii="Verdana" w:hAnsi="Verdana"/>
                            <w:bCs/>
                            <w:sz w:val="17"/>
                            <w:szCs w:val="17"/>
                          </w:rPr>
                          <w:t>1</w:t>
                        </w:r>
                        <w:r w:rsidR="000B2A09">
                          <w:rPr>
                            <w:rFonts w:ascii="Verdana" w:hAnsi="Verdana"/>
                            <w:bCs/>
                            <w:sz w:val="17"/>
                            <w:szCs w:val="17"/>
                          </w:rPr>
                          <w:t>.897</w:t>
                        </w:r>
                      </w:p>
                    </w:tc>
                  </w:tr>
                  <w:tr w:rsidRPr="0060241A" w:rsidR="005724D7" w:rsidTr="005724D7" w14:paraId="7C903C87" w14:textId="77777777">
                    <w:tc>
                      <w:tcPr>
                        <w:cnfStyle w:val="001000000000" w:firstRow="0" w:lastRow="0" w:firstColumn="1" w:lastColumn="0" w:oddVBand="0" w:evenVBand="0" w:oddHBand="0" w:evenHBand="0" w:firstRowFirstColumn="0" w:firstRowLastColumn="0" w:lastRowFirstColumn="0" w:lastRowLastColumn="0"/>
                        <w:tcW w:w="1694" w:type="dxa"/>
                      </w:tcPr>
                      <w:p w:rsidRPr="00702A20" w:rsidR="005724D7" w:rsidP="005724D7" w:rsidRDefault="005724D7" w14:paraId="2BDCDA41" w14:textId="77777777">
                        <w:pPr>
                          <w:rPr>
                            <w:rFonts w:ascii="Verdana" w:hAnsi="Verdana"/>
                            <w:sz w:val="14"/>
                            <w:szCs w:val="14"/>
                          </w:rPr>
                        </w:pPr>
                        <w:r w:rsidRPr="00702A20">
                          <w:rPr>
                            <w:rFonts w:ascii="Verdana" w:hAnsi="Verdana"/>
                            <w:sz w:val="14"/>
                            <w:szCs w:val="14"/>
                          </w:rPr>
                          <w:t>Uitvoeringskosten</w:t>
                        </w:r>
                      </w:p>
                    </w:tc>
                    <w:tc>
                      <w:tcPr>
                        <w:tcW w:w="771" w:type="dxa"/>
                      </w:tcPr>
                      <w:p w:rsidRPr="00A74008" w:rsidR="005724D7" w:rsidP="005724D7" w:rsidRDefault="005724D7" w14:paraId="52ADBDEA" w14:textId="2622392E">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w:t>
                        </w:r>
                        <w:r w:rsidR="000B2A09">
                          <w:rPr>
                            <w:rFonts w:ascii="Verdana" w:hAnsi="Verdana"/>
                            <w:bCs/>
                            <w:sz w:val="17"/>
                            <w:szCs w:val="17"/>
                          </w:rPr>
                          <w:t>132</w:t>
                        </w:r>
                      </w:p>
                    </w:tc>
                    <w:tc>
                      <w:tcPr>
                        <w:tcW w:w="772" w:type="dxa"/>
                      </w:tcPr>
                      <w:p w:rsidRPr="00A74008" w:rsidR="005724D7" w:rsidP="005724D7" w:rsidRDefault="005724D7" w14:paraId="6E5B8CBA" w14:textId="09F867DD">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w:t>
                        </w:r>
                        <w:r w:rsidR="00C2745E">
                          <w:rPr>
                            <w:rFonts w:ascii="Verdana" w:hAnsi="Verdana"/>
                            <w:bCs/>
                            <w:sz w:val="17"/>
                            <w:szCs w:val="17"/>
                          </w:rPr>
                          <w:t>12</w:t>
                        </w:r>
                      </w:p>
                    </w:tc>
                    <w:tc>
                      <w:tcPr>
                        <w:tcW w:w="771" w:type="dxa"/>
                      </w:tcPr>
                      <w:p w:rsidRPr="00A74008" w:rsidR="005724D7" w:rsidP="005724D7" w:rsidRDefault="005724D7" w14:paraId="4932A9CA" w14:textId="19B54E12">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w:t>
                        </w:r>
                        <w:r w:rsidR="00C2745E">
                          <w:rPr>
                            <w:rFonts w:ascii="Verdana" w:hAnsi="Verdana"/>
                            <w:bCs/>
                            <w:sz w:val="17"/>
                            <w:szCs w:val="17"/>
                          </w:rPr>
                          <w:t>12</w:t>
                        </w:r>
                      </w:p>
                    </w:tc>
                    <w:tc>
                      <w:tcPr>
                        <w:tcW w:w="772" w:type="dxa"/>
                      </w:tcPr>
                      <w:p w:rsidRPr="00A74008" w:rsidR="005724D7" w:rsidP="005724D7" w:rsidRDefault="005724D7" w14:paraId="37A88BB7" w14:textId="5B80D8A3">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-11</w:t>
                        </w:r>
                        <w:r w:rsidR="00041017">
                          <w:rPr>
                            <w:rFonts w:ascii="Verdana" w:hAnsi="Verdana"/>
                            <w:bCs/>
                            <w:sz w:val="17"/>
                            <w:szCs w:val="17"/>
                          </w:rPr>
                          <w:t>2</w:t>
                        </w:r>
                      </w:p>
                    </w:tc>
                    <w:tc>
                      <w:tcPr>
                        <w:tcW w:w="771" w:type="dxa"/>
                      </w:tcPr>
                      <w:p w:rsidRPr="00A74008" w:rsidR="005724D7" w:rsidP="005724D7" w:rsidRDefault="005724D7" w14:paraId="5804C372" w14:textId="7903C5B8">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-11</w:t>
                        </w:r>
                        <w:r w:rsidR="00041017">
                          <w:rPr>
                            <w:rFonts w:ascii="Verdana" w:hAnsi="Verdana"/>
                            <w:bCs/>
                            <w:sz w:val="17"/>
                            <w:szCs w:val="17"/>
                          </w:rPr>
                          <w:t>2</w:t>
                        </w:r>
                      </w:p>
                    </w:tc>
                    <w:tc>
                      <w:tcPr>
                        <w:tcW w:w="772" w:type="dxa"/>
                      </w:tcPr>
                      <w:p w:rsidRPr="00A74008" w:rsidR="005724D7" w:rsidP="005724D7" w:rsidRDefault="005724D7" w14:paraId="49CACFB2" w14:textId="20C52240">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-11</w:t>
                        </w:r>
                        <w:r w:rsidR="00041017">
                          <w:rPr>
                            <w:rFonts w:ascii="Verdana" w:hAnsi="Verdana"/>
                            <w:bCs/>
                            <w:sz w:val="17"/>
                            <w:szCs w:val="17"/>
                          </w:rPr>
                          <w:t>2</w:t>
                        </w:r>
                      </w:p>
                    </w:tc>
                    <w:tc>
                      <w:tcPr>
                        <w:tcW w:w="772" w:type="dxa"/>
                      </w:tcPr>
                      <w:p w:rsidRPr="00A74008" w:rsidR="005724D7" w:rsidP="005724D7" w:rsidRDefault="005724D7" w14:paraId="048EACFE" w14:textId="45BFB536">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-11</w:t>
                        </w:r>
                        <w:r w:rsidR="00041017">
                          <w:rPr>
                            <w:rFonts w:ascii="Verdana" w:hAnsi="Verdana"/>
                            <w:bCs/>
                            <w:sz w:val="17"/>
                            <w:szCs w:val="17"/>
                          </w:rPr>
                          <w:t>2</w:t>
                        </w:r>
                      </w:p>
                    </w:tc>
                    <w:tc>
                      <w:tcPr>
                        <w:tcW w:w="771" w:type="dxa"/>
                      </w:tcPr>
                      <w:p w:rsidRPr="00A74008" w:rsidR="005724D7" w:rsidP="005724D7" w:rsidRDefault="005724D7" w14:paraId="708F5121" w14:textId="6697A8CA">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-11</w:t>
                        </w:r>
                        <w:r w:rsidR="00041017">
                          <w:rPr>
                            <w:rFonts w:ascii="Verdana" w:hAnsi="Verdana"/>
                            <w:bCs/>
                            <w:sz w:val="17"/>
                            <w:szCs w:val="17"/>
                          </w:rPr>
                          <w:t>2</w:t>
                        </w:r>
                      </w:p>
                    </w:tc>
                    <w:tc>
                      <w:tcPr>
                        <w:tcW w:w="772" w:type="dxa"/>
                      </w:tcPr>
                      <w:p w:rsidRPr="00A74008" w:rsidR="005724D7" w:rsidP="005724D7" w:rsidRDefault="005724D7" w14:paraId="45285C6B" w14:textId="633334DB">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-11</w:t>
                        </w:r>
                        <w:r w:rsidR="00041017">
                          <w:rPr>
                            <w:rFonts w:ascii="Verdana" w:hAnsi="Verdana"/>
                            <w:bCs/>
                            <w:sz w:val="17"/>
                            <w:szCs w:val="17"/>
                          </w:rPr>
                          <w:t>2</w:t>
                        </w:r>
                      </w:p>
                    </w:tc>
                    <w:tc>
                      <w:tcPr>
                        <w:tcW w:w="771" w:type="dxa"/>
                      </w:tcPr>
                      <w:p w:rsidRPr="00A74008" w:rsidR="005724D7" w:rsidP="005724D7" w:rsidRDefault="005724D7" w14:paraId="386E5169" w14:textId="3E7FAFD8">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-11</w:t>
                        </w:r>
                        <w:r w:rsidR="00041017">
                          <w:rPr>
                            <w:rFonts w:ascii="Verdana" w:hAnsi="Verdana"/>
                            <w:bCs/>
                            <w:sz w:val="17"/>
                            <w:szCs w:val="17"/>
                          </w:rPr>
                          <w:t>2</w:t>
                        </w:r>
                      </w:p>
                    </w:tc>
                    <w:tc>
                      <w:tcPr>
                        <w:tcW w:w="772" w:type="dxa"/>
                      </w:tcPr>
                      <w:p w:rsidRPr="00A74008" w:rsidR="005724D7" w:rsidP="005724D7" w:rsidRDefault="005724D7" w14:paraId="7B35E921" w14:textId="4389B5BB">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-11</w:t>
                        </w:r>
                        <w:r w:rsidR="00041017">
                          <w:rPr>
                            <w:rFonts w:ascii="Verdana" w:hAnsi="Verdana"/>
                            <w:bCs/>
                            <w:sz w:val="17"/>
                            <w:szCs w:val="17"/>
                          </w:rPr>
                          <w:t>2</w:t>
                        </w:r>
                      </w:p>
                    </w:tc>
                    <w:tc>
                      <w:tcPr>
                        <w:tcW w:w="772" w:type="dxa"/>
                      </w:tcPr>
                      <w:p w:rsidRPr="00A74008" w:rsidR="005724D7" w:rsidP="005724D7" w:rsidRDefault="005724D7" w14:paraId="5E3D9BD6" w14:textId="150D8C9F">
                        <w:pPr>
                          <w:cnfStyle w:val="000000000000" w:firstRow="0" w:lastRow="0" w:firstColumn="0" w:lastColumn="0" w:oddVBand="0" w:evenVBand="0" w:oddHBand="0" w:evenHBand="0" w:firstRowFirstColumn="0" w:firstRowLastColumn="0" w:lastRowFirstColumn="0" w:lastRowLastColumn="0"/>
                          <w:rPr>
                            <w:rFonts w:ascii="Verdana" w:hAnsi="Verdana"/>
                            <w:bCs/>
                            <w:sz w:val="17"/>
                            <w:szCs w:val="17"/>
                          </w:rPr>
                        </w:pPr>
                        <w:r>
                          <w:rPr>
                            <w:rFonts w:ascii="Verdana" w:hAnsi="Verdana"/>
                            <w:bCs/>
                            <w:sz w:val="17"/>
                            <w:szCs w:val="17"/>
                          </w:rPr>
                          <w:t>-11</w:t>
                        </w:r>
                        <w:r w:rsidR="00041017">
                          <w:rPr>
                            <w:rFonts w:ascii="Verdana" w:hAnsi="Verdana"/>
                            <w:bCs/>
                            <w:sz w:val="17"/>
                            <w:szCs w:val="17"/>
                          </w:rPr>
                          <w:t>2</w:t>
                        </w:r>
                      </w:p>
                    </w:tc>
                  </w:tr>
                  <w:bookmarkEnd w:id="0"/>
                </w:tbl>
                <w:p w:rsidR="00CE3458" w:rsidP="00CE3458" w:rsidRDefault="00CE3458" w14:paraId="1109062A" w14:textId="77777777">
                  <w:pPr>
                    <w:rPr>
                      <w:rFonts w:cstheme="minorHAnsi"/>
                      <w:b/>
                      <w:sz w:val="16"/>
                      <w:szCs w:val="16"/>
                    </w:rPr>
                  </w:pPr>
                </w:p>
                <w:p w:rsidRPr="00CE3458" w:rsidR="00CE3458" w:rsidP="00CE3458" w:rsidRDefault="00CE3458" w14:paraId="50394E19" w14:textId="5D2C8C23">
                  <w:pPr>
                    <w:rPr>
                      <w:rFonts w:cstheme="minorHAnsi"/>
                      <w:b/>
                      <w:sz w:val="16"/>
                      <w:szCs w:val="16"/>
                    </w:rPr>
                  </w:pPr>
                </w:p>
              </w:tc>
            </w:tr>
            <w:tr w:rsidR="00962708" w:rsidTr="00CE3458" w14:paraId="31F6E508" w14:textId="77777777">
              <w:trPr>
                <w:trHeight w:val="548"/>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962708" w:rsidR="00962708" w:rsidRDefault="00962708" w14:paraId="661091BF" w14:textId="77777777">
                  <w:pPr>
                    <w:pStyle w:val="TableParagraph"/>
                    <w:spacing w:before="146"/>
                    <w:ind w:left="198" w:right="92"/>
                    <w:rPr>
                      <w:rFonts w:cstheme="minorHAnsi"/>
                      <w:b/>
                      <w:sz w:val="16"/>
                      <w:szCs w:val="16"/>
                    </w:rPr>
                  </w:pPr>
                  <w:r>
                    <w:rPr>
                      <w:rFonts w:cstheme="minorHAnsi"/>
                      <w:b/>
                      <w:color w:val="FFFFFF"/>
                      <w:sz w:val="16"/>
                      <w:szCs w:val="16"/>
                    </w:rPr>
                    <w:t xml:space="preserve">3B. Financiële gevolgen voor maatschappelijke sectoren </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C35BC0" w:rsidR="00A71D41" w:rsidP="001137FA" w:rsidRDefault="00410544" w14:paraId="24B43F8E" w14:textId="36287D52">
                  <w:r>
                    <w:rPr>
                      <w:rFonts w:cstheme="minorHAnsi"/>
                      <w:b/>
                      <w:sz w:val="16"/>
                      <w:szCs w:val="16"/>
                    </w:rPr>
                    <w:t>De Wet inkomstenbelasting 2001 geldt voor burgers en niet voor bedrijven</w:t>
                  </w:r>
                  <w:r w:rsidR="009C6806">
                    <w:rPr>
                      <w:rFonts w:cstheme="minorHAnsi"/>
                      <w:b/>
                      <w:sz w:val="16"/>
                      <w:szCs w:val="16"/>
                    </w:rPr>
                    <w:t xml:space="preserve"> of andere maatschappelijke organisaties. Sommige burgers zullen er met dit voorstel op vooruitgaan; anderen op achteruit. Per saldo is het voorstel budgetneutraal.</w:t>
                  </w:r>
                </w:p>
              </w:tc>
            </w:tr>
            <w:tr w:rsidR="00962708" w:rsidTr="00CE3458" w14:paraId="276534C6" w14:textId="77777777">
              <w:trPr>
                <w:trHeight w:val="588"/>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hideMark/>
                </w:tcPr>
                <w:p w:rsidR="00962708" w:rsidP="00D439E5" w:rsidRDefault="00962708" w14:paraId="67BD3174" w14:textId="77777777">
                  <w:pPr>
                    <w:pStyle w:val="TableParagraph"/>
                    <w:numPr>
                      <w:ilvl w:val="0"/>
                      <w:numId w:val="2"/>
                    </w:numPr>
                    <w:spacing w:before="141"/>
                    <w:ind w:right="829"/>
                    <w:rPr>
                      <w:rFonts w:cstheme="minorHAnsi"/>
                      <w:b/>
                      <w:sz w:val="16"/>
                      <w:szCs w:val="16"/>
                      <w:lang w:val="en-US"/>
                    </w:rPr>
                  </w:pPr>
                  <w:r>
                    <w:rPr>
                      <w:rFonts w:cstheme="minorHAnsi"/>
                      <w:b/>
                      <w:color w:val="FFFFFF"/>
                      <w:sz w:val="16"/>
                      <w:szCs w:val="16"/>
                    </w:rPr>
                    <w:t>Nagestreefde doeltreffendheid</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00F51F97" w:rsidP="00D62BFB" w:rsidRDefault="00043062" w14:paraId="0A58B021" w14:textId="562AE67A">
                  <w:pPr>
                    <w:rPr>
                      <w:rFonts w:cstheme="minorHAnsi"/>
                      <w:b/>
                      <w:sz w:val="16"/>
                      <w:szCs w:val="16"/>
                    </w:rPr>
                  </w:pPr>
                  <w:r w:rsidRPr="001137FA">
                    <w:rPr>
                      <w:rFonts w:cstheme="minorHAnsi"/>
                      <w:b/>
                      <w:sz w:val="16"/>
                      <w:szCs w:val="16"/>
                    </w:rPr>
                    <w:t>Met betrekking tot het doel ‘</w:t>
                  </w:r>
                  <w:r w:rsidR="004E745A">
                    <w:rPr>
                      <w:rFonts w:cstheme="minorHAnsi"/>
                      <w:b/>
                      <w:sz w:val="16"/>
                      <w:szCs w:val="16"/>
                    </w:rPr>
                    <w:t>belasten op basis van werkelijk rendement</w:t>
                  </w:r>
                  <w:r w:rsidRPr="001137FA">
                    <w:rPr>
                      <w:rFonts w:cstheme="minorHAnsi"/>
                      <w:b/>
                      <w:sz w:val="16"/>
                      <w:szCs w:val="16"/>
                    </w:rPr>
                    <w:t xml:space="preserve">’ is deze maatregel </w:t>
                  </w:r>
                  <w:r w:rsidR="009C6806">
                    <w:rPr>
                      <w:rFonts w:cstheme="minorHAnsi"/>
                      <w:b/>
                      <w:sz w:val="16"/>
                      <w:szCs w:val="16"/>
                    </w:rPr>
                    <w:t xml:space="preserve">naar verwachting </w:t>
                  </w:r>
                  <w:r w:rsidRPr="001137FA">
                    <w:rPr>
                      <w:rFonts w:cstheme="minorHAnsi"/>
                      <w:b/>
                      <w:sz w:val="16"/>
                      <w:szCs w:val="16"/>
                    </w:rPr>
                    <w:t xml:space="preserve">in hoge mate doeltreffend. </w:t>
                  </w:r>
                  <w:r w:rsidR="004E745A">
                    <w:rPr>
                      <w:rFonts w:cstheme="minorHAnsi"/>
                      <w:b/>
                      <w:sz w:val="16"/>
                      <w:szCs w:val="16"/>
                    </w:rPr>
                    <w:t xml:space="preserve">Voor vrijwel alle vermogensbestanddelen in box 3 wordt na de inwerkingtreding van het voorstel het werkelijke rendement belast. Alleen </w:t>
                  </w:r>
                  <w:r w:rsidR="005030DC">
                    <w:rPr>
                      <w:rFonts w:cstheme="minorHAnsi"/>
                      <w:b/>
                      <w:sz w:val="16"/>
                      <w:szCs w:val="16"/>
                    </w:rPr>
                    <w:t xml:space="preserve">het directe rendement uit </w:t>
                  </w:r>
                  <w:r w:rsidR="004E745A">
                    <w:rPr>
                      <w:rFonts w:cstheme="minorHAnsi"/>
                      <w:b/>
                      <w:sz w:val="16"/>
                      <w:szCs w:val="16"/>
                    </w:rPr>
                    <w:t xml:space="preserve">onroerende zaken die niet grotendeels verhuurd worden, geldt de vastgoedbijtelling. Dat is een forfait om ook het nut </w:t>
                  </w:r>
                  <w:r w:rsidR="009C6806">
                    <w:rPr>
                      <w:rFonts w:cstheme="minorHAnsi"/>
                      <w:b/>
                      <w:sz w:val="16"/>
                      <w:szCs w:val="16"/>
                    </w:rPr>
                    <w:t xml:space="preserve">behaald uit de beschikbaarheid </w:t>
                  </w:r>
                  <w:r w:rsidR="004E745A">
                    <w:rPr>
                      <w:rFonts w:cstheme="minorHAnsi"/>
                      <w:b/>
                      <w:sz w:val="16"/>
                      <w:szCs w:val="16"/>
                    </w:rPr>
                    <w:t>van deze onroerende zaken te kunnen belasten.</w:t>
                  </w:r>
                  <w:r w:rsidRPr="001137FA">
                    <w:rPr>
                      <w:rFonts w:cstheme="minorHAnsi"/>
                      <w:b/>
                      <w:sz w:val="16"/>
                      <w:szCs w:val="16"/>
                    </w:rPr>
                    <w:t xml:space="preserve"> </w:t>
                  </w:r>
                  <w:r w:rsidR="00BA31E5">
                    <w:rPr>
                      <w:rFonts w:cstheme="minorHAnsi"/>
                      <w:b/>
                      <w:sz w:val="16"/>
                      <w:szCs w:val="16"/>
                    </w:rPr>
                    <w:t xml:space="preserve"> Het is niet goed mogelijk het nut op een andere dan forfaitaire wijze vast te stellen.</w:t>
                  </w:r>
                </w:p>
                <w:p w:rsidR="00F51F97" w:rsidP="00D62BFB" w:rsidRDefault="00F51F97" w14:paraId="26487933" w14:textId="77777777">
                  <w:pPr>
                    <w:rPr>
                      <w:rFonts w:cstheme="minorHAnsi"/>
                      <w:b/>
                      <w:sz w:val="16"/>
                      <w:szCs w:val="16"/>
                    </w:rPr>
                  </w:pPr>
                </w:p>
                <w:p w:rsidRPr="001137FA" w:rsidR="00043062" w:rsidP="001137FA" w:rsidRDefault="00043062" w14:paraId="742E1938" w14:textId="707C7954">
                  <w:pPr>
                    <w:rPr>
                      <w:rFonts w:cstheme="minorHAnsi"/>
                      <w:b/>
                      <w:sz w:val="16"/>
                      <w:szCs w:val="16"/>
                    </w:rPr>
                  </w:pPr>
                  <w:r w:rsidRPr="001137FA">
                    <w:rPr>
                      <w:rFonts w:cstheme="minorHAnsi"/>
                      <w:b/>
                      <w:sz w:val="16"/>
                      <w:szCs w:val="16"/>
                    </w:rPr>
                    <w:t xml:space="preserve">Ook </w:t>
                  </w:r>
                  <w:r w:rsidR="001137FA">
                    <w:rPr>
                      <w:rFonts w:cstheme="minorHAnsi"/>
                      <w:b/>
                      <w:sz w:val="16"/>
                      <w:szCs w:val="16"/>
                    </w:rPr>
                    <w:t>aan</w:t>
                  </w:r>
                  <w:r w:rsidRPr="001137FA">
                    <w:rPr>
                      <w:rFonts w:cstheme="minorHAnsi"/>
                      <w:b/>
                      <w:sz w:val="16"/>
                      <w:szCs w:val="16"/>
                    </w:rPr>
                    <w:t xml:space="preserve"> het doel ‘</w:t>
                  </w:r>
                  <w:r w:rsidR="004E745A">
                    <w:rPr>
                      <w:rFonts w:cstheme="minorHAnsi"/>
                      <w:b/>
                      <w:sz w:val="16"/>
                      <w:szCs w:val="16"/>
                    </w:rPr>
                    <w:t>juridische houdbaarheid</w:t>
                  </w:r>
                  <w:r w:rsidR="00F51F97">
                    <w:rPr>
                      <w:rFonts w:cstheme="minorHAnsi"/>
                      <w:b/>
                      <w:sz w:val="16"/>
                      <w:szCs w:val="16"/>
                    </w:rPr>
                    <w:t>’</w:t>
                  </w:r>
                  <w:r w:rsidR="001137FA">
                    <w:rPr>
                      <w:rFonts w:cstheme="minorHAnsi"/>
                      <w:b/>
                      <w:sz w:val="16"/>
                      <w:szCs w:val="16"/>
                    </w:rPr>
                    <w:t xml:space="preserve"> levert</w:t>
                  </w:r>
                  <w:r w:rsidRPr="001137FA">
                    <w:rPr>
                      <w:rFonts w:cstheme="minorHAnsi"/>
                      <w:b/>
                      <w:sz w:val="16"/>
                      <w:szCs w:val="16"/>
                    </w:rPr>
                    <w:t xml:space="preserve"> deze maatregel </w:t>
                  </w:r>
                  <w:r w:rsidR="001137FA">
                    <w:rPr>
                      <w:rFonts w:cstheme="minorHAnsi"/>
                      <w:b/>
                      <w:sz w:val="16"/>
                      <w:szCs w:val="16"/>
                    </w:rPr>
                    <w:t>een grote bijdrage</w:t>
                  </w:r>
                  <w:r w:rsidRPr="001137FA">
                    <w:rPr>
                      <w:rFonts w:cstheme="minorHAnsi"/>
                      <w:b/>
                      <w:sz w:val="16"/>
                      <w:szCs w:val="16"/>
                    </w:rPr>
                    <w:t xml:space="preserve">. </w:t>
                  </w:r>
                  <w:r w:rsidR="004E745A">
                    <w:rPr>
                      <w:rFonts w:cstheme="minorHAnsi"/>
                      <w:b/>
                      <w:sz w:val="16"/>
                      <w:szCs w:val="16"/>
                    </w:rPr>
                    <w:t>Ten aanzien van het huidige forfaitaire stelsel in box 3</w:t>
                  </w:r>
                  <w:r w:rsidR="008E06AA">
                    <w:rPr>
                      <w:rFonts w:cstheme="minorHAnsi"/>
                      <w:b/>
                      <w:sz w:val="16"/>
                      <w:szCs w:val="16"/>
                    </w:rPr>
                    <w:t xml:space="preserve"> is op 24 december 2021 het zogenoemde Kerstarrest gewezen</w:t>
                  </w:r>
                  <w:r w:rsidR="00060B2A">
                    <w:rPr>
                      <w:rFonts w:cstheme="minorHAnsi"/>
                      <w:b/>
                      <w:sz w:val="16"/>
                      <w:szCs w:val="16"/>
                    </w:rPr>
                    <w:t xml:space="preserve"> ook in juni 2024 zijn meerdere arresten gewezen</w:t>
                  </w:r>
                  <w:r w:rsidR="004E745A">
                    <w:rPr>
                      <w:rFonts w:cstheme="minorHAnsi"/>
                      <w:b/>
                      <w:sz w:val="16"/>
                      <w:szCs w:val="16"/>
                    </w:rPr>
                    <w:t xml:space="preserve">. Omdat in het voorgestelde stelsel de meeste vermogensbestanddelen worden belast op basis van het werkelijk behaalde rendement, is dat per definitie juridisch houdbaarder dan </w:t>
                  </w:r>
                  <w:r w:rsidR="008E06AA">
                    <w:rPr>
                      <w:rFonts w:cstheme="minorHAnsi"/>
                      <w:b/>
                      <w:sz w:val="16"/>
                      <w:szCs w:val="16"/>
                    </w:rPr>
                    <w:t>het</w:t>
                  </w:r>
                  <w:r w:rsidR="004E745A">
                    <w:rPr>
                      <w:rFonts w:cstheme="minorHAnsi"/>
                      <w:b/>
                      <w:sz w:val="16"/>
                      <w:szCs w:val="16"/>
                    </w:rPr>
                    <w:t xml:space="preserve"> forfaitair stelsel</w:t>
                  </w:r>
                  <w:r w:rsidR="008E06AA">
                    <w:rPr>
                      <w:rFonts w:cstheme="minorHAnsi"/>
                      <w:b/>
                      <w:sz w:val="16"/>
                      <w:szCs w:val="16"/>
                    </w:rPr>
                    <w:t xml:space="preserve"> dat ter discussie staat</w:t>
                  </w:r>
                  <w:r w:rsidR="004E745A">
                    <w:rPr>
                      <w:rFonts w:cstheme="minorHAnsi"/>
                      <w:b/>
                      <w:sz w:val="16"/>
                      <w:szCs w:val="16"/>
                    </w:rPr>
                    <w:t>.</w:t>
                  </w:r>
                  <w:r w:rsidR="009C6806">
                    <w:rPr>
                      <w:rFonts w:cstheme="minorHAnsi"/>
                      <w:b/>
                      <w:sz w:val="16"/>
                      <w:szCs w:val="16"/>
                    </w:rPr>
                    <w:t xml:space="preserve"> Ook is de verwachting dat burgers een stelsel op basis van werkelijk rendement als aanmerkelijk rechtvaardiger zullen ervaren. Het nieuwe stelsel is wel complexer voor de uitvoering dan het oude stelsel op basis van forfaits, zo blijkt uit de Uitvoeringstoets.</w:t>
                  </w:r>
                </w:p>
                <w:p w:rsidRPr="001137FA" w:rsidR="00A71D41" w:rsidP="001137FA" w:rsidRDefault="00A71D41" w14:paraId="601F2F44" w14:textId="2292177B">
                  <w:pPr>
                    <w:rPr>
                      <w:rFonts w:cstheme="minorHAnsi"/>
                      <w:b/>
                      <w:sz w:val="16"/>
                      <w:szCs w:val="16"/>
                    </w:rPr>
                  </w:pPr>
                </w:p>
              </w:tc>
            </w:tr>
            <w:tr w:rsidR="00962708" w:rsidTr="00CE3458" w14:paraId="7E6C066F" w14:textId="77777777">
              <w:trPr>
                <w:trHeight w:val="605"/>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Pr="00FE054A" w:rsidR="00962708" w:rsidRDefault="00962708" w14:paraId="70A64713" w14:textId="77777777">
                  <w:pPr>
                    <w:pStyle w:val="TableParagraph"/>
                    <w:rPr>
                      <w:rFonts w:asciiTheme="minorHAnsi" w:hAnsiTheme="minorHAnsi" w:cstheme="minorHAnsi"/>
                      <w:i/>
                      <w:sz w:val="16"/>
                      <w:szCs w:val="16"/>
                    </w:rPr>
                  </w:pPr>
                </w:p>
                <w:p w:rsidR="00962708" w:rsidP="00D439E5" w:rsidRDefault="00962708" w14:paraId="3601981E" w14:textId="77777777">
                  <w:pPr>
                    <w:pStyle w:val="TableParagraph"/>
                    <w:numPr>
                      <w:ilvl w:val="0"/>
                      <w:numId w:val="2"/>
                    </w:numPr>
                    <w:ind w:right="1066"/>
                    <w:rPr>
                      <w:rFonts w:cstheme="minorHAnsi"/>
                      <w:b/>
                      <w:sz w:val="16"/>
                      <w:szCs w:val="16"/>
                    </w:rPr>
                  </w:pPr>
                  <w:r>
                    <w:rPr>
                      <w:rFonts w:cstheme="minorHAnsi"/>
                      <w:b/>
                      <w:color w:val="FFFFFF"/>
                      <w:sz w:val="16"/>
                      <w:szCs w:val="16"/>
                    </w:rPr>
                    <w:t>Nagestreefde doelmatigheid</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D62BFB" w:rsidR="00962708" w:rsidP="00D62BFB" w:rsidRDefault="00E94FE4" w14:paraId="7635863F" w14:textId="3374A6F3">
                  <w:pPr>
                    <w:rPr>
                      <w:rFonts w:cstheme="minorHAnsi"/>
                      <w:b/>
                      <w:sz w:val="16"/>
                      <w:szCs w:val="16"/>
                    </w:rPr>
                  </w:pPr>
                  <w:r>
                    <w:rPr>
                      <w:rFonts w:cstheme="minorHAnsi"/>
                      <w:b/>
                      <w:sz w:val="16"/>
                      <w:szCs w:val="16"/>
                    </w:rPr>
                    <w:t>In het</w:t>
                  </w:r>
                  <w:r w:rsidR="008E06AA">
                    <w:rPr>
                      <w:rFonts w:cstheme="minorHAnsi"/>
                      <w:b/>
                      <w:sz w:val="16"/>
                      <w:szCs w:val="16"/>
                    </w:rPr>
                    <w:t xml:space="preserve"> wetsvoorstel is</w:t>
                  </w:r>
                  <w:r>
                    <w:rPr>
                      <w:rFonts w:cstheme="minorHAnsi"/>
                      <w:b/>
                      <w:sz w:val="16"/>
                      <w:szCs w:val="16"/>
                    </w:rPr>
                    <w:t xml:space="preserve"> een balans gezocht tussen uitvoerbaarheid en </w:t>
                  </w:r>
                  <w:proofErr w:type="spellStart"/>
                  <w:r>
                    <w:rPr>
                      <w:rFonts w:cstheme="minorHAnsi"/>
                      <w:b/>
                      <w:sz w:val="16"/>
                      <w:szCs w:val="16"/>
                    </w:rPr>
                    <w:t>doenlijkheid</w:t>
                  </w:r>
                  <w:proofErr w:type="spellEnd"/>
                  <w:r>
                    <w:rPr>
                      <w:rFonts w:cstheme="minorHAnsi"/>
                      <w:b/>
                      <w:sz w:val="16"/>
                      <w:szCs w:val="16"/>
                    </w:rPr>
                    <w:t xml:space="preserve">, het evenwichtig belasten van verschillende vermogensbestanddelen en het zo goed als mogelijk aansluiten bij het werkelijke rendement. Dit is onder andere tot uitdrukking gekomen in het vermogenswinststelsel voor onroerende zaken en aandelen in </w:t>
                  </w:r>
                  <w:proofErr w:type="spellStart"/>
                  <w:r>
                    <w:rPr>
                      <w:rFonts w:cstheme="minorHAnsi"/>
                      <w:b/>
                      <w:sz w:val="16"/>
                      <w:szCs w:val="16"/>
                    </w:rPr>
                    <w:t>start-ups</w:t>
                  </w:r>
                  <w:proofErr w:type="spellEnd"/>
                  <w:r>
                    <w:rPr>
                      <w:rFonts w:cstheme="minorHAnsi"/>
                      <w:b/>
                      <w:sz w:val="16"/>
                      <w:szCs w:val="16"/>
                    </w:rPr>
                    <w:t xml:space="preserve"> en in de forfaitaire vaststelling van de vastgoedbijtelling. Het kabinet is van mening dat deze balans met dit voorstel zo goed als mogelijk gevonden is en dat het voorstel daarmee ook doelmatig is. Daarin speelt mee dat voor veel belastingplichtigen de nieuwe box 3-aangifte kan worden </w:t>
                  </w:r>
                  <w:proofErr w:type="spellStart"/>
                  <w:r>
                    <w:rPr>
                      <w:rFonts w:cstheme="minorHAnsi"/>
                      <w:b/>
                      <w:sz w:val="16"/>
                      <w:szCs w:val="16"/>
                    </w:rPr>
                    <w:t>vooringevuld</w:t>
                  </w:r>
                  <w:proofErr w:type="spellEnd"/>
                  <w:r>
                    <w:rPr>
                      <w:rFonts w:cstheme="minorHAnsi"/>
                      <w:b/>
                      <w:sz w:val="16"/>
                      <w:szCs w:val="16"/>
                    </w:rPr>
                    <w:t xml:space="preserve"> dankzij nieuwe renseigneringsstromen die zullen worden ingericht. </w:t>
                  </w:r>
                </w:p>
              </w:tc>
            </w:tr>
            <w:tr w:rsidR="00962708" w:rsidTr="00CE3458" w14:paraId="5DA6335F" w14:textId="77777777">
              <w:trPr>
                <w:trHeight w:val="605"/>
              </w:trPr>
              <w:tc>
                <w:tcPr>
                  <w:tcW w:w="3126" w:type="dxa"/>
                  <w:tcBorders>
                    <w:top w:val="single" w:color="FFFFFF" w:sz="4" w:space="0"/>
                    <w:left w:val="nil"/>
                    <w:bottom w:val="single" w:color="FFFFFF" w:sz="4" w:space="0"/>
                    <w:right w:val="single" w:color="FFFFFF" w:sz="4" w:space="0"/>
                  </w:tcBorders>
                  <w:shd w:val="clear" w:color="auto" w:fill="C45911" w:themeFill="accent2" w:themeFillShade="BF"/>
                </w:tcPr>
                <w:p w:rsidRPr="0015120F" w:rsidR="00962708" w:rsidRDefault="00962708" w14:paraId="113FD1BB" w14:textId="77777777">
                  <w:pPr>
                    <w:pStyle w:val="TableParagraph"/>
                    <w:ind w:left="103" w:right="1066"/>
                    <w:rPr>
                      <w:rFonts w:cstheme="minorHAnsi"/>
                      <w:b/>
                      <w:color w:val="FFFFFF"/>
                      <w:sz w:val="16"/>
                      <w:szCs w:val="16"/>
                    </w:rPr>
                  </w:pPr>
                </w:p>
                <w:p w:rsidR="00962708" w:rsidP="00D439E5" w:rsidRDefault="00962708" w14:paraId="585D9AB8" w14:textId="4F75900B">
                  <w:pPr>
                    <w:pStyle w:val="TableParagraph"/>
                    <w:numPr>
                      <w:ilvl w:val="0"/>
                      <w:numId w:val="2"/>
                    </w:numPr>
                    <w:ind w:right="1066"/>
                    <w:rPr>
                      <w:rFonts w:cstheme="minorHAnsi"/>
                      <w:sz w:val="16"/>
                      <w:szCs w:val="16"/>
                    </w:rPr>
                  </w:pPr>
                  <w:r>
                    <w:rPr>
                      <w:rFonts w:cstheme="minorHAnsi"/>
                      <w:b/>
                      <w:color w:val="FFFFFF"/>
                      <w:sz w:val="16"/>
                      <w:szCs w:val="16"/>
                    </w:rPr>
                    <w:t>Evaluatiepara</w:t>
                  </w:r>
                  <w:r w:rsidR="00CE3458">
                    <w:rPr>
                      <w:rFonts w:cstheme="minorHAnsi"/>
                      <w:b/>
                      <w:color w:val="FFFFFF"/>
                      <w:sz w:val="16"/>
                      <w:szCs w:val="16"/>
                    </w:rPr>
                    <w:t>-</w:t>
                  </w:r>
                  <w:r>
                    <w:rPr>
                      <w:rFonts w:cstheme="minorHAnsi"/>
                      <w:b/>
                      <w:color w:val="FFFFFF"/>
                      <w:sz w:val="16"/>
                      <w:szCs w:val="16"/>
                    </w:rPr>
                    <w:t>graaf</w:t>
                  </w:r>
                </w:p>
              </w:tc>
              <w:tc>
                <w:tcPr>
                  <w:tcW w:w="1129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15120F" w:rsidR="00962708" w:rsidP="008E06AA" w:rsidRDefault="008E06AA" w14:paraId="1A056FFE" w14:textId="79CD1E0F">
                  <w:pPr>
                    <w:rPr>
                      <w:rFonts w:cstheme="minorHAnsi"/>
                      <w:b/>
                      <w:bCs/>
                      <w:sz w:val="16"/>
                      <w:szCs w:val="16"/>
                    </w:rPr>
                  </w:pPr>
                  <w:r w:rsidRPr="008E06AA">
                    <w:rPr>
                      <w:rFonts w:cstheme="minorHAnsi"/>
                      <w:b/>
                      <w:bCs/>
                      <w:sz w:val="16"/>
                      <w:szCs w:val="16"/>
                    </w:rPr>
                    <w:t>Voorgesteld wordt om wettelijk te borgen dat het onderhavige wetsvoorstel binnen vijf jaar na inwerkingtreding wordt geëvalueerd. Daarbij zal in ieder geval aandacht moeten zijn voor de</w:t>
                  </w:r>
                  <w:r w:rsidR="005030DC">
                    <w:rPr>
                      <w:rFonts w:cstheme="minorHAnsi"/>
                      <w:b/>
                      <w:bCs/>
                      <w:sz w:val="16"/>
                      <w:szCs w:val="16"/>
                    </w:rPr>
                    <w:t xml:space="preserve"> perceptie van rechtvaardigheid bij belastingplichtigen, de</w:t>
                  </w:r>
                  <w:r w:rsidRPr="008E06AA">
                    <w:rPr>
                      <w:rFonts w:cstheme="minorHAnsi"/>
                      <w:b/>
                      <w:bCs/>
                      <w:sz w:val="16"/>
                      <w:szCs w:val="16"/>
                    </w:rPr>
                    <w:t xml:space="preserve"> budgettaire opbrengst, de uitvoering door de Belastingdienst, de administratieve lasten bij ketenpartners en de </w:t>
                  </w:r>
                  <w:proofErr w:type="spellStart"/>
                  <w:r w:rsidRPr="008E06AA">
                    <w:rPr>
                      <w:rFonts w:cstheme="minorHAnsi"/>
                      <w:b/>
                      <w:bCs/>
                      <w:sz w:val="16"/>
                      <w:szCs w:val="16"/>
                    </w:rPr>
                    <w:t>doenlijkheid</w:t>
                  </w:r>
                  <w:proofErr w:type="spellEnd"/>
                  <w:r w:rsidRPr="008E06AA">
                    <w:rPr>
                      <w:rFonts w:cstheme="minorHAnsi"/>
                      <w:b/>
                      <w:bCs/>
                      <w:sz w:val="16"/>
                      <w:szCs w:val="16"/>
                    </w:rPr>
                    <w:t xml:space="preserve"> voor en administratieve lasten bij burgers. </w:t>
                  </w:r>
                  <w:r w:rsidR="009C6806">
                    <w:rPr>
                      <w:rFonts w:cstheme="minorHAnsi"/>
                      <w:b/>
                      <w:bCs/>
                      <w:sz w:val="16"/>
                      <w:szCs w:val="16"/>
                    </w:rPr>
                    <w:t xml:space="preserve">Ook de geïntroduceerde fiscale regelingen worden met die evaluatie geëvalueerd. </w:t>
                  </w:r>
                  <w:r w:rsidRPr="008E06AA">
                    <w:rPr>
                      <w:rFonts w:cstheme="minorHAnsi"/>
                      <w:b/>
                      <w:bCs/>
                      <w:sz w:val="16"/>
                      <w:szCs w:val="16"/>
                    </w:rPr>
                    <w:t>Latere evaluaties van het stelsel zullen plaatsvinden als onderdeel van de reguliere beleidsdoorlichtingen</w:t>
                  </w:r>
                  <w:r w:rsidR="009C6806">
                    <w:rPr>
                      <w:rFonts w:cstheme="minorHAnsi"/>
                      <w:b/>
                      <w:bCs/>
                      <w:sz w:val="16"/>
                      <w:szCs w:val="16"/>
                    </w:rPr>
                    <w:t>.</w:t>
                  </w:r>
                </w:p>
              </w:tc>
            </w:tr>
          </w:tbl>
          <w:p w:rsidRPr="00AB4BD9" w:rsidR="00962708" w:rsidRDefault="00962708" w14:paraId="4C0DA405" w14:textId="77777777">
            <w:pPr>
              <w:rPr>
                <w:rFonts w:ascii="Verdana" w:hAnsi="Verdana" w:cstheme="minorBidi"/>
                <w:sz w:val="18"/>
              </w:rPr>
            </w:pPr>
          </w:p>
        </w:tc>
      </w:tr>
    </w:tbl>
    <w:p w:rsidRPr="008E06AA" w:rsidR="004958FB" w:rsidP="004958FB" w:rsidRDefault="004958FB" w14:paraId="6AF953C7" w14:textId="5EEF478D">
      <w:pPr>
        <w:pStyle w:val="Default"/>
        <w:rPr>
          <w:i/>
          <w:iCs/>
          <w:sz w:val="22"/>
          <w:szCs w:val="18"/>
        </w:rPr>
      </w:pPr>
    </w:p>
    <w:sectPr w:rsidRPr="008E06AA" w:rsidR="004958FB" w:rsidSect="00CE3458">
      <w:pgSz w:w="16840" w:h="11907" w:orient="landscape"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DB28" w14:textId="77777777" w:rsidR="00552F79" w:rsidRDefault="00552F79" w:rsidP="00962708">
      <w:r>
        <w:separator/>
      </w:r>
    </w:p>
  </w:endnote>
  <w:endnote w:type="continuationSeparator" w:id="0">
    <w:p w14:paraId="324FBDC5" w14:textId="77777777" w:rsidR="00552F79" w:rsidRDefault="00552F79" w:rsidP="0096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E0D0" w14:textId="77777777" w:rsidR="00552F79" w:rsidRDefault="00552F79" w:rsidP="00962708">
      <w:r>
        <w:separator/>
      </w:r>
    </w:p>
  </w:footnote>
  <w:footnote w:type="continuationSeparator" w:id="0">
    <w:p w14:paraId="6FF3C7BE" w14:textId="77777777" w:rsidR="00552F79" w:rsidRDefault="00552F79" w:rsidP="0096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F4173"/>
    <w:multiLevelType w:val="hybridMultilevel"/>
    <w:tmpl w:val="87B21E64"/>
    <w:lvl w:ilvl="0" w:tplc="8D7EB0EE">
      <w:start w:val="4"/>
      <w:numFmt w:val="decimal"/>
      <w:lvlText w:val="%1."/>
      <w:lvlJc w:val="left"/>
      <w:pPr>
        <w:ind w:left="720" w:hanging="360"/>
      </w:pPr>
      <w:rPr>
        <w:color w:val="FFFFFF"/>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502"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40365E7"/>
    <w:multiLevelType w:val="hybridMultilevel"/>
    <w:tmpl w:val="2E04AD14"/>
    <w:lvl w:ilvl="0" w:tplc="57D4BBC8">
      <w:start w:val="1"/>
      <w:numFmt w:val="decimal"/>
      <w:lvlText w:val="%1."/>
      <w:lvlJc w:val="left"/>
      <w:pPr>
        <w:ind w:left="463" w:hanging="360"/>
      </w:pPr>
      <w:rPr>
        <w:color w:val="FFFFFF"/>
      </w:rPr>
    </w:lvl>
    <w:lvl w:ilvl="1" w:tplc="04130019">
      <w:start w:val="1"/>
      <w:numFmt w:val="lowerLetter"/>
      <w:lvlText w:val="%2."/>
      <w:lvlJc w:val="left"/>
      <w:pPr>
        <w:ind w:left="1183" w:hanging="360"/>
      </w:pPr>
    </w:lvl>
    <w:lvl w:ilvl="2" w:tplc="0413001B">
      <w:start w:val="1"/>
      <w:numFmt w:val="lowerRoman"/>
      <w:lvlText w:val="%3."/>
      <w:lvlJc w:val="right"/>
      <w:pPr>
        <w:ind w:left="1903" w:hanging="180"/>
      </w:pPr>
    </w:lvl>
    <w:lvl w:ilvl="3" w:tplc="7D2C91FC">
      <w:start w:val="1"/>
      <w:numFmt w:val="decimal"/>
      <w:lvlText w:val="%4."/>
      <w:lvlJc w:val="left"/>
      <w:pPr>
        <w:ind w:left="502" w:hanging="360"/>
      </w:pPr>
      <w:rPr>
        <w:b/>
        <w:bCs/>
        <w:sz w:val="16"/>
        <w:szCs w:val="16"/>
      </w:rPr>
    </w:lvl>
    <w:lvl w:ilvl="4" w:tplc="04130019">
      <w:start w:val="1"/>
      <w:numFmt w:val="lowerLetter"/>
      <w:lvlText w:val="%5."/>
      <w:lvlJc w:val="left"/>
      <w:pPr>
        <w:ind w:left="3343" w:hanging="360"/>
      </w:pPr>
    </w:lvl>
    <w:lvl w:ilvl="5" w:tplc="0413001B">
      <w:start w:val="1"/>
      <w:numFmt w:val="lowerRoman"/>
      <w:lvlText w:val="%6."/>
      <w:lvlJc w:val="right"/>
      <w:pPr>
        <w:ind w:left="4063" w:hanging="180"/>
      </w:pPr>
    </w:lvl>
    <w:lvl w:ilvl="6" w:tplc="0413000F">
      <w:start w:val="1"/>
      <w:numFmt w:val="decimal"/>
      <w:lvlText w:val="%7."/>
      <w:lvlJc w:val="left"/>
      <w:pPr>
        <w:ind w:left="502" w:hanging="360"/>
      </w:pPr>
    </w:lvl>
    <w:lvl w:ilvl="7" w:tplc="04130019">
      <w:start w:val="1"/>
      <w:numFmt w:val="lowerLetter"/>
      <w:lvlText w:val="%8."/>
      <w:lvlJc w:val="left"/>
      <w:pPr>
        <w:ind w:left="5503" w:hanging="360"/>
      </w:pPr>
    </w:lvl>
    <w:lvl w:ilvl="8" w:tplc="0413001B">
      <w:start w:val="1"/>
      <w:numFmt w:val="lowerRoman"/>
      <w:lvlText w:val="%9."/>
      <w:lvlJc w:val="right"/>
      <w:pPr>
        <w:ind w:left="6223" w:hanging="180"/>
      </w:pPr>
    </w:lvl>
  </w:abstractNum>
  <w:num w:numId="1" w16cid:durableId="719980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271983">
    <w:abstractNumId w:val="0"/>
  </w:num>
  <w:num w:numId="3" w16cid:durableId="169098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08"/>
    <w:rsid w:val="00026EF5"/>
    <w:rsid w:val="00041017"/>
    <w:rsid w:val="00043062"/>
    <w:rsid w:val="000461FA"/>
    <w:rsid w:val="00060B2A"/>
    <w:rsid w:val="00076BD5"/>
    <w:rsid w:val="00091C66"/>
    <w:rsid w:val="000B11D2"/>
    <w:rsid w:val="000B2A09"/>
    <w:rsid w:val="000B3F16"/>
    <w:rsid w:val="000B43C3"/>
    <w:rsid w:val="000F69C2"/>
    <w:rsid w:val="001137FA"/>
    <w:rsid w:val="00125E4E"/>
    <w:rsid w:val="0013255A"/>
    <w:rsid w:val="00141001"/>
    <w:rsid w:val="0015120F"/>
    <w:rsid w:val="00161600"/>
    <w:rsid w:val="00187A86"/>
    <w:rsid w:val="001B04D9"/>
    <w:rsid w:val="001C6600"/>
    <w:rsid w:val="001D639C"/>
    <w:rsid w:val="001E6A24"/>
    <w:rsid w:val="00201312"/>
    <w:rsid w:val="00217261"/>
    <w:rsid w:val="00257CB7"/>
    <w:rsid w:val="00282B9A"/>
    <w:rsid w:val="002A3253"/>
    <w:rsid w:val="002C0EF6"/>
    <w:rsid w:val="002E1502"/>
    <w:rsid w:val="002F624D"/>
    <w:rsid w:val="00350D65"/>
    <w:rsid w:val="0035222D"/>
    <w:rsid w:val="003547F8"/>
    <w:rsid w:val="0035512B"/>
    <w:rsid w:val="00355C69"/>
    <w:rsid w:val="00373A5E"/>
    <w:rsid w:val="00385767"/>
    <w:rsid w:val="00391BE4"/>
    <w:rsid w:val="003D5AEB"/>
    <w:rsid w:val="00410544"/>
    <w:rsid w:val="0042365A"/>
    <w:rsid w:val="0042581A"/>
    <w:rsid w:val="00450973"/>
    <w:rsid w:val="00480116"/>
    <w:rsid w:val="004926E4"/>
    <w:rsid w:val="004958FB"/>
    <w:rsid w:val="004975B2"/>
    <w:rsid w:val="004B0916"/>
    <w:rsid w:val="004E745A"/>
    <w:rsid w:val="005030DC"/>
    <w:rsid w:val="00507091"/>
    <w:rsid w:val="00552F79"/>
    <w:rsid w:val="00566F65"/>
    <w:rsid w:val="0057126B"/>
    <w:rsid w:val="005724D7"/>
    <w:rsid w:val="005728E2"/>
    <w:rsid w:val="00595DF9"/>
    <w:rsid w:val="005B01C2"/>
    <w:rsid w:val="005C3BB8"/>
    <w:rsid w:val="005D0485"/>
    <w:rsid w:val="005E2D61"/>
    <w:rsid w:val="00617445"/>
    <w:rsid w:val="00650FD1"/>
    <w:rsid w:val="006629FA"/>
    <w:rsid w:val="00666442"/>
    <w:rsid w:val="006A7C5D"/>
    <w:rsid w:val="006B0E1E"/>
    <w:rsid w:val="006C0B7D"/>
    <w:rsid w:val="006D208C"/>
    <w:rsid w:val="006E1187"/>
    <w:rsid w:val="006E236E"/>
    <w:rsid w:val="007231DA"/>
    <w:rsid w:val="00724932"/>
    <w:rsid w:val="007272AE"/>
    <w:rsid w:val="00756BF4"/>
    <w:rsid w:val="0077488F"/>
    <w:rsid w:val="007A7239"/>
    <w:rsid w:val="007C6F38"/>
    <w:rsid w:val="0082467D"/>
    <w:rsid w:val="00824EC8"/>
    <w:rsid w:val="008333E4"/>
    <w:rsid w:val="008377AB"/>
    <w:rsid w:val="00862604"/>
    <w:rsid w:val="00863C4C"/>
    <w:rsid w:val="008C2534"/>
    <w:rsid w:val="008C27C3"/>
    <w:rsid w:val="008C3C65"/>
    <w:rsid w:val="008E06AA"/>
    <w:rsid w:val="008E5D83"/>
    <w:rsid w:val="00920D8E"/>
    <w:rsid w:val="00936474"/>
    <w:rsid w:val="00962708"/>
    <w:rsid w:val="00977F19"/>
    <w:rsid w:val="009C6806"/>
    <w:rsid w:val="00A04DB4"/>
    <w:rsid w:val="00A06757"/>
    <w:rsid w:val="00A1017A"/>
    <w:rsid w:val="00A55122"/>
    <w:rsid w:val="00A56937"/>
    <w:rsid w:val="00A71D41"/>
    <w:rsid w:val="00A93857"/>
    <w:rsid w:val="00AA761C"/>
    <w:rsid w:val="00AB468F"/>
    <w:rsid w:val="00AB4BD9"/>
    <w:rsid w:val="00B00CD2"/>
    <w:rsid w:val="00B06701"/>
    <w:rsid w:val="00B15B93"/>
    <w:rsid w:val="00B16CBD"/>
    <w:rsid w:val="00B20305"/>
    <w:rsid w:val="00B311A3"/>
    <w:rsid w:val="00B62563"/>
    <w:rsid w:val="00BA1328"/>
    <w:rsid w:val="00BA31E5"/>
    <w:rsid w:val="00BE7A98"/>
    <w:rsid w:val="00C12BD4"/>
    <w:rsid w:val="00C13945"/>
    <w:rsid w:val="00C13C3E"/>
    <w:rsid w:val="00C25E61"/>
    <w:rsid w:val="00C2745E"/>
    <w:rsid w:val="00C3358D"/>
    <w:rsid w:val="00C35BC0"/>
    <w:rsid w:val="00C813C0"/>
    <w:rsid w:val="00CA1C75"/>
    <w:rsid w:val="00CB4B5D"/>
    <w:rsid w:val="00CE3458"/>
    <w:rsid w:val="00CF2D45"/>
    <w:rsid w:val="00CF7BEC"/>
    <w:rsid w:val="00D275AC"/>
    <w:rsid w:val="00D370EA"/>
    <w:rsid w:val="00D421E4"/>
    <w:rsid w:val="00D435D9"/>
    <w:rsid w:val="00D61161"/>
    <w:rsid w:val="00D62BFB"/>
    <w:rsid w:val="00DA22AF"/>
    <w:rsid w:val="00DA6730"/>
    <w:rsid w:val="00DC3343"/>
    <w:rsid w:val="00DD7F4B"/>
    <w:rsid w:val="00DE4DC3"/>
    <w:rsid w:val="00DE5DFB"/>
    <w:rsid w:val="00DF546A"/>
    <w:rsid w:val="00DF58ED"/>
    <w:rsid w:val="00E209DA"/>
    <w:rsid w:val="00E62832"/>
    <w:rsid w:val="00E82DAE"/>
    <w:rsid w:val="00E94FE4"/>
    <w:rsid w:val="00E9677E"/>
    <w:rsid w:val="00ED5C17"/>
    <w:rsid w:val="00EF4040"/>
    <w:rsid w:val="00F001BB"/>
    <w:rsid w:val="00F017F9"/>
    <w:rsid w:val="00F068DC"/>
    <w:rsid w:val="00F10415"/>
    <w:rsid w:val="00F21364"/>
    <w:rsid w:val="00F51F97"/>
    <w:rsid w:val="00F701E5"/>
    <w:rsid w:val="00F953AE"/>
    <w:rsid w:val="00FB0DBE"/>
    <w:rsid w:val="00FB18CE"/>
    <w:rsid w:val="00FC29EC"/>
    <w:rsid w:val="00FC598A"/>
    <w:rsid w:val="00FC67A6"/>
    <w:rsid w:val="00FE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104B8"/>
  <w15:chartTrackingRefBased/>
  <w15:docId w15:val="{EC30BA32-6740-4349-A95C-9587511C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2708"/>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962708"/>
    <w:pPr>
      <w:widowControl w:val="0"/>
      <w:autoSpaceDE w:val="0"/>
      <w:autoSpaceDN w:val="0"/>
    </w:pPr>
    <w:rPr>
      <w:rFonts w:ascii="Verdana" w:eastAsia="Verdana" w:hAnsi="Verdana" w:cs="Verdana"/>
    </w:rPr>
  </w:style>
  <w:style w:type="table" w:styleId="Tabelraster">
    <w:name w:val="Table Grid"/>
    <w:basedOn w:val="Standaardtabel"/>
    <w:uiPriority w:val="39"/>
    <w:rsid w:val="009627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62708"/>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customStyle="1" w:styleId="Default">
    <w:name w:val="Default"/>
    <w:rsid w:val="004958FB"/>
    <w:pPr>
      <w:autoSpaceDE w:val="0"/>
      <w:autoSpaceDN w:val="0"/>
      <w:adjustRightInd w:val="0"/>
      <w:spacing w:after="0" w:line="240" w:lineRule="auto"/>
    </w:pPr>
    <w:rPr>
      <w:rFonts w:ascii="RijksoverheidSansText" w:hAnsi="RijksoverheidSansText" w:cs="RijksoverheidSansText"/>
      <w:color w:val="000000"/>
      <w:sz w:val="24"/>
      <w:szCs w:val="24"/>
      <w:lang w:val="nl-NL"/>
    </w:rPr>
  </w:style>
  <w:style w:type="character" w:customStyle="1" w:styleId="A8">
    <w:name w:val="A8"/>
    <w:uiPriority w:val="99"/>
    <w:rsid w:val="004958FB"/>
    <w:rPr>
      <w:rFonts w:cs="RijksoverheidSansText"/>
      <w:color w:val="00558D"/>
      <w:sz w:val="16"/>
      <w:szCs w:val="16"/>
      <w:u w:val="single"/>
    </w:rPr>
  </w:style>
  <w:style w:type="character" w:customStyle="1" w:styleId="A6">
    <w:name w:val="A6"/>
    <w:uiPriority w:val="99"/>
    <w:rsid w:val="004958FB"/>
    <w:rPr>
      <w:rFonts w:cs="RijksoverheidSansText"/>
      <w:color w:val="000000"/>
      <w:sz w:val="16"/>
      <w:szCs w:val="16"/>
    </w:rPr>
  </w:style>
  <w:style w:type="paragraph" w:styleId="Lijstalinea">
    <w:name w:val="List Paragraph"/>
    <w:basedOn w:val="Standaard"/>
    <w:uiPriority w:val="34"/>
    <w:qFormat/>
    <w:rsid w:val="00D435D9"/>
    <w:pPr>
      <w:ind w:left="720"/>
      <w:contextualSpacing/>
    </w:pPr>
  </w:style>
  <w:style w:type="character" w:styleId="Verwijzingopmerking">
    <w:name w:val="annotation reference"/>
    <w:basedOn w:val="Standaardalinea-lettertype"/>
    <w:uiPriority w:val="99"/>
    <w:semiHidden/>
    <w:unhideWhenUsed/>
    <w:rsid w:val="00AB4BD9"/>
    <w:rPr>
      <w:sz w:val="16"/>
      <w:szCs w:val="16"/>
    </w:rPr>
  </w:style>
  <w:style w:type="paragraph" w:styleId="Tekstopmerking">
    <w:name w:val="annotation text"/>
    <w:basedOn w:val="Standaard"/>
    <w:link w:val="TekstopmerkingChar"/>
    <w:uiPriority w:val="99"/>
    <w:unhideWhenUsed/>
    <w:rsid w:val="00AB4BD9"/>
    <w:rPr>
      <w:sz w:val="20"/>
      <w:szCs w:val="20"/>
    </w:rPr>
  </w:style>
  <w:style w:type="character" w:customStyle="1" w:styleId="TekstopmerkingChar">
    <w:name w:val="Tekst opmerking Char"/>
    <w:basedOn w:val="Standaardalinea-lettertype"/>
    <w:link w:val="Tekstopmerking"/>
    <w:uiPriority w:val="99"/>
    <w:rsid w:val="00AB4BD9"/>
    <w:rPr>
      <w:rFonts w:ascii="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B4BD9"/>
    <w:rPr>
      <w:b/>
      <w:bCs/>
    </w:rPr>
  </w:style>
  <w:style w:type="character" w:customStyle="1" w:styleId="OnderwerpvanopmerkingChar">
    <w:name w:val="Onderwerp van opmerking Char"/>
    <w:basedOn w:val="TekstopmerkingChar"/>
    <w:link w:val="Onderwerpvanopmerking"/>
    <w:uiPriority w:val="99"/>
    <w:semiHidden/>
    <w:rsid w:val="00AB4BD9"/>
    <w:rPr>
      <w:rFonts w:ascii="Calibri" w:hAnsi="Calibri" w:cs="Calibri"/>
      <w:b/>
      <w:bCs/>
      <w:sz w:val="20"/>
      <w:szCs w:val="20"/>
      <w:lang w:val="nl-NL"/>
    </w:rPr>
  </w:style>
  <w:style w:type="paragraph" w:styleId="Koptekst">
    <w:name w:val="header"/>
    <w:basedOn w:val="Standaard"/>
    <w:link w:val="KoptekstChar"/>
    <w:uiPriority w:val="99"/>
    <w:unhideWhenUsed/>
    <w:rsid w:val="00CE3458"/>
    <w:pPr>
      <w:tabs>
        <w:tab w:val="center" w:pos="4536"/>
        <w:tab w:val="right" w:pos="9072"/>
      </w:tabs>
    </w:pPr>
  </w:style>
  <w:style w:type="character" w:customStyle="1" w:styleId="KoptekstChar">
    <w:name w:val="Koptekst Char"/>
    <w:basedOn w:val="Standaardalinea-lettertype"/>
    <w:link w:val="Koptekst"/>
    <w:uiPriority w:val="99"/>
    <w:rsid w:val="00CE3458"/>
    <w:rPr>
      <w:rFonts w:ascii="Calibri" w:hAnsi="Calibri" w:cs="Calibri"/>
      <w:sz w:val="22"/>
      <w:lang w:val="nl-NL"/>
    </w:rPr>
  </w:style>
  <w:style w:type="paragraph" w:styleId="Voettekst">
    <w:name w:val="footer"/>
    <w:basedOn w:val="Standaard"/>
    <w:link w:val="VoettekstChar"/>
    <w:uiPriority w:val="99"/>
    <w:unhideWhenUsed/>
    <w:rsid w:val="00CE3458"/>
    <w:pPr>
      <w:tabs>
        <w:tab w:val="center" w:pos="4536"/>
        <w:tab w:val="right" w:pos="9072"/>
      </w:tabs>
    </w:pPr>
  </w:style>
  <w:style w:type="character" w:customStyle="1" w:styleId="VoettekstChar">
    <w:name w:val="Voettekst Char"/>
    <w:basedOn w:val="Standaardalinea-lettertype"/>
    <w:link w:val="Voettekst"/>
    <w:uiPriority w:val="99"/>
    <w:rsid w:val="00CE3458"/>
    <w:rPr>
      <w:rFonts w:ascii="Calibri" w:hAnsi="Calibri" w:cs="Calibri"/>
      <w:sz w:val="22"/>
      <w:lang w:val="nl-NL"/>
    </w:rPr>
  </w:style>
  <w:style w:type="paragraph" w:styleId="Geenafstand">
    <w:name w:val="No Spacing"/>
    <w:uiPriority w:val="1"/>
    <w:qFormat/>
    <w:rsid w:val="00CE3458"/>
    <w:pPr>
      <w:spacing w:after="0" w:line="240" w:lineRule="auto"/>
    </w:pPr>
    <w:rPr>
      <w:rFonts w:ascii="Calibri" w:hAnsi="Calibri" w:cs="Calibri"/>
      <w:sz w:val="22"/>
      <w:lang w:val="nl-NL"/>
    </w:rPr>
  </w:style>
  <w:style w:type="paragraph" w:styleId="Revisie">
    <w:name w:val="Revision"/>
    <w:hidden/>
    <w:uiPriority w:val="99"/>
    <w:semiHidden/>
    <w:rsid w:val="00ED5C17"/>
    <w:pPr>
      <w:spacing w:after="0" w:line="240" w:lineRule="auto"/>
    </w:pPr>
    <w:rPr>
      <w:rFonts w:ascii="Calibri" w:hAnsi="Calibri" w:cs="Calibri"/>
      <w:sz w:val="22"/>
      <w:lang w:val="nl-NL"/>
    </w:rPr>
  </w:style>
  <w:style w:type="table" w:styleId="Rastertabel4-Accent4">
    <w:name w:val="Grid Table 4 Accent 4"/>
    <w:basedOn w:val="Standaardtabel"/>
    <w:uiPriority w:val="49"/>
    <w:rsid w:val="005724D7"/>
    <w:pPr>
      <w:autoSpaceDN w:val="0"/>
      <w:spacing w:after="0" w:line="240" w:lineRule="auto"/>
    </w:pPr>
    <w:rPr>
      <w:rFonts w:ascii="Times New Roman" w:eastAsia="DejaVu Sans" w:hAnsi="Times New Roman" w:cs="Lohit Hindi"/>
      <w:sz w:val="20"/>
      <w:szCs w:val="20"/>
      <w:lang w:val="nl-NL" w:eastAsia="nl-NL"/>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5724D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588">
      <w:bodyDiv w:val="1"/>
      <w:marLeft w:val="0"/>
      <w:marRight w:val="0"/>
      <w:marTop w:val="0"/>
      <w:marBottom w:val="0"/>
      <w:divBdr>
        <w:top w:val="none" w:sz="0" w:space="0" w:color="auto"/>
        <w:left w:val="none" w:sz="0" w:space="0" w:color="auto"/>
        <w:bottom w:val="none" w:sz="0" w:space="0" w:color="auto"/>
        <w:right w:val="none" w:sz="0" w:space="0" w:color="auto"/>
      </w:divBdr>
    </w:div>
    <w:div w:id="1783915456">
      <w:bodyDiv w:val="1"/>
      <w:marLeft w:val="0"/>
      <w:marRight w:val="0"/>
      <w:marTop w:val="0"/>
      <w:marBottom w:val="0"/>
      <w:divBdr>
        <w:top w:val="none" w:sz="0" w:space="0" w:color="auto"/>
        <w:left w:val="none" w:sz="0" w:space="0" w:color="auto"/>
        <w:bottom w:val="none" w:sz="0" w:space="0" w:color="auto"/>
        <w:right w:val="none" w:sz="0" w:space="0" w:color="auto"/>
      </w:divBdr>
    </w:div>
    <w:div w:id="18710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632</ap:Words>
  <ap:Characters>3478</ap:Characters>
  <ap:DocSecurity>4</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2025-05-19T12:46:00.0000000Z</dcterms:created>
  <dcterms:modified xsi:type="dcterms:W3CDTF">2025-05-19T12:46:00.0000000Z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2024-05-29T13:06:18Z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8f4bf753-ea97-4907-87b0-5d596dbe2f8c</vt:lpwstr>
  </property>
  <property fmtid="{D5CDD505-2E9C-101B-9397-08002B2CF9AE}" pid="8" name="MSIP_Label_f4b587cc-5349-4506-9b19-2242ab88a0ee_ContentBits">
    <vt:lpwstr>0</vt:lpwstr>
  </property>
</Properties>
</file>