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2025Z09555</w:t>
        <w:br/>
      </w:r>
      <w:proofErr w:type="spellEnd"/>
    </w:p>
    <w:p>
      <w:pPr>
        <w:pStyle w:val="Normal"/>
        <w:rPr>
          <w:b w:val="1"/>
          <w:bCs w:val="1"/>
        </w:rPr>
      </w:pPr>
      <w:r w:rsidR="250AE766">
        <w:rPr>
          <w:b w:val="0"/>
          <w:bCs w:val="0"/>
        </w:rPr>
        <w:t>(ingezonden 16 mei 2025)</w:t>
        <w:br/>
      </w:r>
    </w:p>
    <w:p>
      <w:r>
        <w:t xml:space="preserve">Vragen van het lid Bikkers</w:t>
      </w:r>
      <w:r>
        <w:rPr>
          <w:b w:val="1"/>
          <w:bCs w:val="1"/>
        </w:rPr>
        <w:t xml:space="preserve"> </w:t>
      </w:r>
      <w:r>
        <w:rPr/>
        <w:t xml:space="preserve">(VVD) aan de minister van Binnenlandse Zaken en Koninkrijksrelaties over het artikel 'Zorgen over decentraal ‘hosten’ verkiezingsuitslagen'</w:t>
      </w:r>
      <w:r>
        <w:br/>
      </w:r>
    </w:p>
    <w:p>
      <w:pPr>
        <w:pStyle w:val="ListParagraph"/>
        <w:numPr>
          <w:ilvl w:val="0"/>
          <w:numId w:val="100477990"/>
        </w:numPr>
        <w:ind w:left="360"/>
      </w:pPr>
      <w:r>
        <w:t>Hebt u kennisgenomen van het advies van de Afdeling advisering van de Raad van State (de Afdeling) d.d. 7 mei 2025 over het Besluit programmatuur verkiezingsuitslagen? In hoeverre bent u voornemens de nota van toelichting bij het onderhavige ontwerpbesluit en/of het ontwerpbesluit aan te passen naar aanleiding van het advies? 1)</w:t>
      </w:r>
      <w:r>
        <w:br/>
      </w:r>
    </w:p>
    <w:p>
      <w:pPr>
        <w:pStyle w:val="ListParagraph"/>
        <w:numPr>
          <w:ilvl w:val="0"/>
          <w:numId w:val="100477990"/>
        </w:numPr>
        <w:ind w:left="360"/>
      </w:pPr>
      <w:r>
        <w:t>Wat zijn de gevolgen van het advies van de Afdeling voor de datum van inwerkingtreding van de Wet programmatuur verkiezingsuitslagen en het eventueel aanpassen van de toelichting en/of het ontwerpbesluit? Zal de wet nog steeds in werking treden op de beoogde datum van 1 juli 2025? Zo neen, waarom niet?  </w:t>
      </w:r>
      <w:r>
        <w:br/>
      </w:r>
    </w:p>
    <w:p>
      <w:pPr>
        <w:pStyle w:val="ListParagraph"/>
        <w:numPr>
          <w:ilvl w:val="0"/>
          <w:numId w:val="100477990"/>
        </w:numPr>
        <w:ind w:left="360"/>
      </w:pPr>
      <w:r>
        <w:t>Mocht de wet niet in werking treden op 1 juli 2025, welk effect heeft dit dan op de gemeenteraadsverkiezingen van 2026?</w:t>
      </w:r>
      <w:r>
        <w:br/>
      </w:r>
    </w:p>
    <w:p>
      <w:pPr>
        <w:pStyle w:val="ListParagraph"/>
        <w:numPr>
          <w:ilvl w:val="0"/>
          <w:numId w:val="100477990"/>
        </w:numPr>
        <w:ind w:left="360"/>
      </w:pPr>
      <w:r>
        <w:t>In hoeverre is er het voornemen om bij verkiezingen gebruik te maken van centraal ontsloten uitslagprogrammatuur nu er sprake is van de mogelijkheid van een decentrale opzet van de programmatuur? Wordt er per verkiezing een besluit genomen? Of wordt er standaard gebruik gemaakt van centraal ontsloten uitslagprogrammatuur en pas als dat niet mogelijk is van decentraal ontsloten uitslagprogrammatuur?   </w:t>
      </w:r>
      <w:r>
        <w:br/>
      </w:r>
    </w:p>
    <w:p>
      <w:r>
        <w:t xml:space="preserve"> </w:t>
      </w:r>
      <w:r>
        <w:br/>
      </w:r>
    </w:p>
    <w:p>
      <w:r>
        <w:t xml:space="preserve">1) Binnenlands Bestuur, 14 mei 2025, </w:t>
      </w:r>
      <w:r>
        <w:rPr>
          <w:i w:val="1"/>
          <w:iCs w:val="1"/>
        </w:rPr>
        <w:t xml:space="preserve">“Zorgen over decentraal ‘hosten’ verkiezingsuitslagen”</w:t>
      </w:r>
      <w:r>
        <w:rPr/>
        <w:t xml:space="preserve"> (https://www.binnenlandsbestuur.nl/bestuur-en-organisatie/zorgen-over-decentraal-hosten-verkiezingsuitslagen)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9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950">
    <w:abstractNumId w:val="1004779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