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D5782" w:rsidR="006E3BE1" w:rsidP="003D5782" w:rsidRDefault="006E3BE1" w14:paraId="5FB472FD" w14:textId="32AFA40D">
      <w:pPr>
        <w:spacing w:line="276" w:lineRule="auto"/>
        <w:rPr>
          <w:szCs w:val="18"/>
          <w:lang w:val="nl-NL"/>
        </w:rPr>
      </w:pPr>
    </w:p>
    <w:tbl>
      <w:tblPr>
        <w:tblStyle w:val="Rastertabel4-Accent1"/>
        <w:tblW w:w="9702" w:type="dxa"/>
        <w:tblInd w:w="0" w:type="dxa"/>
        <w:tblLook w:val="04A0" w:firstRow="1" w:lastRow="0" w:firstColumn="1" w:lastColumn="0" w:noHBand="0" w:noVBand="1"/>
      </w:tblPr>
      <w:tblGrid>
        <w:gridCol w:w="2286"/>
        <w:gridCol w:w="7416"/>
      </w:tblGrid>
      <w:tr w:rsidRPr="00E76289" w:rsidR="00331329" w:rsidTr="00B70DBE" w14:paraId="23CDEB9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02" w:type="dxa"/>
            <w:gridSpan w:val="2"/>
            <w:hideMark/>
          </w:tcPr>
          <w:p w:rsidRPr="003D5782" w:rsidR="00331329" w:rsidP="003D5782" w:rsidRDefault="00260999" w14:paraId="08CC61BB" w14:textId="3C17DBCE">
            <w:pPr>
              <w:pStyle w:val="Kop2"/>
              <w:spacing w:before="0" w:line="276" w:lineRule="auto"/>
              <w:contextualSpacing/>
              <w:rPr>
                <w:color w:val="auto"/>
                <w:szCs w:val="18"/>
                <w:lang w:val="nl-NL"/>
              </w:rPr>
            </w:pPr>
            <w:r w:rsidRPr="003D5782">
              <w:rPr>
                <w:color w:val="auto"/>
                <w:szCs w:val="18"/>
                <w:lang w:val="nl-NL"/>
              </w:rPr>
              <w:t>U</w:t>
            </w:r>
            <w:r w:rsidRPr="003D5782" w:rsidR="00331329">
              <w:rPr>
                <w:color w:val="auto"/>
                <w:szCs w:val="18"/>
                <w:lang w:val="nl-NL"/>
              </w:rPr>
              <w:t>niforme belasting BSR met aftrek</w:t>
            </w:r>
          </w:p>
        </w:tc>
      </w:tr>
      <w:tr w:rsidRPr="003D5782" w:rsidR="00331329" w:rsidTr="00B70DBE" w14:paraId="2ED68DB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02" w:type="dxa"/>
            <w:gridSpan w:val="2"/>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hideMark/>
          </w:tcPr>
          <w:p w:rsidRPr="003D5782" w:rsidR="00331329" w:rsidP="003D5782" w:rsidRDefault="00331329" w14:paraId="58C59449" w14:textId="77777777">
            <w:pPr>
              <w:tabs>
                <w:tab w:val="left" w:pos="8160"/>
              </w:tabs>
              <w:spacing w:after="255" w:line="276" w:lineRule="auto"/>
              <w:contextualSpacing/>
              <w:rPr>
                <w:szCs w:val="18"/>
              </w:rPr>
            </w:pPr>
            <w:proofErr w:type="spellStart"/>
            <w:r w:rsidRPr="003D5782">
              <w:rPr>
                <w:szCs w:val="18"/>
              </w:rPr>
              <w:t>Omschrijving</w:t>
            </w:r>
            <w:proofErr w:type="spellEnd"/>
            <w:r w:rsidRPr="003D5782">
              <w:rPr>
                <w:szCs w:val="18"/>
              </w:rPr>
              <w:t xml:space="preserve"> van de </w:t>
            </w:r>
            <w:proofErr w:type="spellStart"/>
            <w:r w:rsidRPr="003D5782">
              <w:rPr>
                <w:szCs w:val="18"/>
              </w:rPr>
              <w:t>maatregel</w:t>
            </w:r>
            <w:proofErr w:type="spellEnd"/>
            <w:r w:rsidRPr="003D5782">
              <w:rPr>
                <w:szCs w:val="18"/>
              </w:rPr>
              <w:tab/>
            </w:r>
          </w:p>
        </w:tc>
      </w:tr>
      <w:tr w:rsidRPr="00E76289" w:rsidR="00331329" w:rsidTr="00B70DBE" w14:paraId="258E8618" w14:textId="77777777">
        <w:tc>
          <w:tcPr>
            <w:cnfStyle w:val="001000000000" w:firstRow="0" w:lastRow="0" w:firstColumn="1" w:lastColumn="0" w:oddVBand="0" w:evenVBand="0" w:oddHBand="0" w:evenHBand="0" w:firstRowFirstColumn="0" w:firstRowLastColumn="0" w:lastRowFirstColumn="0" w:lastRowLastColumn="0"/>
            <w:tcW w:w="9702" w:type="dxa"/>
            <w:gridSpan w:val="2"/>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FFFFFF" w:themeFill="background1"/>
          </w:tcPr>
          <w:p w:rsidRPr="003D5782" w:rsidR="003B2E01" w:rsidP="003D5782" w:rsidRDefault="003B2E01" w14:paraId="57C875B6" w14:textId="014C32C8">
            <w:pPr>
              <w:pStyle w:val="Lijstalinea"/>
              <w:numPr>
                <w:ilvl w:val="0"/>
                <w:numId w:val="10"/>
              </w:numPr>
              <w:tabs>
                <w:tab w:val="left" w:pos="8160"/>
              </w:tabs>
              <w:spacing w:after="255" w:line="276" w:lineRule="auto"/>
              <w:rPr>
                <w:rFonts w:ascii="Verdana" w:hAnsi="Verdana"/>
                <w:b w:val="0"/>
                <w:bCs w:val="0"/>
                <w:sz w:val="18"/>
                <w:szCs w:val="18"/>
              </w:rPr>
            </w:pPr>
            <w:r w:rsidRPr="003D5782">
              <w:rPr>
                <w:rFonts w:ascii="Verdana" w:hAnsi="Verdana"/>
                <w:b w:val="0"/>
                <w:bCs w:val="0"/>
                <w:sz w:val="18"/>
                <w:szCs w:val="18"/>
              </w:rPr>
              <w:t>De kansspelbelasting krijgt een uniforme grondslag en tarief</w:t>
            </w:r>
            <w:r w:rsidRPr="003D5782" w:rsidR="00D8684C">
              <w:rPr>
                <w:rFonts w:ascii="Verdana" w:hAnsi="Verdana"/>
                <w:b w:val="0"/>
                <w:bCs w:val="0"/>
                <w:sz w:val="18"/>
                <w:szCs w:val="18"/>
              </w:rPr>
              <w:t xml:space="preserve"> voor alle spellen en aanbieders</w:t>
            </w:r>
            <w:r w:rsidRPr="003D5782">
              <w:rPr>
                <w:rFonts w:ascii="Verdana" w:hAnsi="Verdana"/>
                <w:b w:val="0"/>
                <w:bCs w:val="0"/>
                <w:sz w:val="18"/>
                <w:szCs w:val="18"/>
              </w:rPr>
              <w:t>. De kansspelbelasting wordt</w:t>
            </w:r>
            <w:r w:rsidRPr="003D5782" w:rsidR="00D8684C">
              <w:rPr>
                <w:rFonts w:ascii="Verdana" w:hAnsi="Verdana"/>
                <w:b w:val="0"/>
                <w:bCs w:val="0"/>
                <w:sz w:val="18"/>
                <w:szCs w:val="18"/>
              </w:rPr>
              <w:t xml:space="preserve"> in deze optie</w:t>
            </w:r>
            <w:r w:rsidRPr="003D5782">
              <w:rPr>
                <w:rFonts w:ascii="Verdana" w:hAnsi="Verdana"/>
                <w:b w:val="0"/>
                <w:bCs w:val="0"/>
                <w:sz w:val="18"/>
                <w:szCs w:val="18"/>
              </w:rPr>
              <w:t xml:space="preserve"> bij loterijen en andere aanbieders geheven op basis van hun </w:t>
            </w:r>
            <w:proofErr w:type="spellStart"/>
            <w:r w:rsidRPr="003D5782">
              <w:rPr>
                <w:rFonts w:ascii="Verdana" w:hAnsi="Verdana"/>
                <w:b w:val="0"/>
                <w:bCs w:val="0"/>
                <w:sz w:val="18"/>
                <w:szCs w:val="18"/>
              </w:rPr>
              <w:t>brutospelresultaat</w:t>
            </w:r>
            <w:proofErr w:type="spellEnd"/>
            <w:r w:rsidRPr="003D5782">
              <w:rPr>
                <w:rFonts w:ascii="Verdana" w:hAnsi="Verdana"/>
                <w:b w:val="0"/>
                <w:bCs w:val="0"/>
                <w:sz w:val="18"/>
                <w:szCs w:val="18"/>
              </w:rPr>
              <w:t xml:space="preserve"> (inzet minus prijzen). De verschuldigde kansspelbelasting is dan </w:t>
            </w:r>
            <w:proofErr w:type="spellStart"/>
            <w:r w:rsidRPr="003D5782">
              <w:rPr>
                <w:rFonts w:ascii="Verdana" w:hAnsi="Verdana"/>
                <w:b w:val="0"/>
                <w:bCs w:val="0"/>
                <w:sz w:val="18"/>
                <w:szCs w:val="18"/>
              </w:rPr>
              <w:t>brutospelresultaat</w:t>
            </w:r>
            <w:proofErr w:type="spellEnd"/>
            <w:r w:rsidRPr="003D5782">
              <w:rPr>
                <w:rFonts w:ascii="Verdana" w:hAnsi="Verdana"/>
                <w:b w:val="0"/>
                <w:bCs w:val="0"/>
                <w:sz w:val="18"/>
                <w:szCs w:val="18"/>
              </w:rPr>
              <w:t xml:space="preserve"> maal tarief. </w:t>
            </w:r>
          </w:p>
          <w:p w:rsidRPr="003D5782" w:rsidR="00A979BA" w:rsidP="003D5782" w:rsidRDefault="003B2E01" w14:paraId="0C583B05" w14:textId="44EC35A3">
            <w:pPr>
              <w:pStyle w:val="Lijstalinea"/>
              <w:numPr>
                <w:ilvl w:val="0"/>
                <w:numId w:val="10"/>
              </w:numPr>
              <w:tabs>
                <w:tab w:val="left" w:pos="8160"/>
              </w:tabs>
              <w:spacing w:after="255" w:line="276" w:lineRule="auto"/>
              <w:rPr>
                <w:rFonts w:ascii="Verdana" w:hAnsi="Verdana"/>
                <w:b w:val="0"/>
                <w:bCs w:val="0"/>
                <w:sz w:val="18"/>
                <w:szCs w:val="18"/>
              </w:rPr>
            </w:pPr>
            <w:r w:rsidRPr="003D5782">
              <w:rPr>
                <w:rFonts w:ascii="Verdana" w:hAnsi="Verdana"/>
                <w:b w:val="0"/>
                <w:bCs w:val="0"/>
                <w:sz w:val="18"/>
                <w:szCs w:val="18"/>
              </w:rPr>
              <w:t>Winnaars bij l</w:t>
            </w:r>
            <w:r w:rsidRPr="003D5782" w:rsidR="00A979BA">
              <w:rPr>
                <w:rFonts w:ascii="Verdana" w:hAnsi="Verdana"/>
                <w:b w:val="0"/>
                <w:bCs w:val="0"/>
                <w:sz w:val="18"/>
                <w:szCs w:val="18"/>
              </w:rPr>
              <w:t xml:space="preserve">oterijen worden niet meer belast op basis van uitgekeerde prijzen, </w:t>
            </w:r>
            <w:r w:rsidRPr="003D5782">
              <w:rPr>
                <w:rFonts w:ascii="Verdana" w:hAnsi="Verdana"/>
                <w:b w:val="0"/>
                <w:bCs w:val="0"/>
                <w:sz w:val="18"/>
                <w:szCs w:val="18"/>
              </w:rPr>
              <w:t xml:space="preserve">omdat alle prijzen netto worden uitgekeerd. Er is dus geen noodzaak meer voor een administratieve vrijstelling. </w:t>
            </w:r>
          </w:p>
          <w:p w:rsidRPr="003D5782" w:rsidR="006A23CB" w:rsidP="003D5782" w:rsidRDefault="003B2E01" w14:paraId="78065241" w14:textId="68942398">
            <w:pPr>
              <w:pStyle w:val="Lijstalinea"/>
              <w:numPr>
                <w:ilvl w:val="0"/>
                <w:numId w:val="10"/>
              </w:numPr>
              <w:tabs>
                <w:tab w:val="left" w:pos="8160"/>
              </w:tabs>
              <w:spacing w:after="255" w:line="276" w:lineRule="auto"/>
              <w:rPr>
                <w:rFonts w:ascii="Verdana" w:hAnsi="Verdana"/>
                <w:sz w:val="18"/>
                <w:szCs w:val="18"/>
              </w:rPr>
            </w:pPr>
            <w:r w:rsidRPr="003D5782">
              <w:rPr>
                <w:rFonts w:ascii="Verdana" w:hAnsi="Verdana"/>
                <w:b w:val="0"/>
                <w:bCs w:val="0"/>
                <w:sz w:val="18"/>
                <w:szCs w:val="18"/>
              </w:rPr>
              <w:t>Bepaalde aanbieders (loterijen</w:t>
            </w:r>
            <w:r w:rsidRPr="003D5782" w:rsidR="00D8684C">
              <w:rPr>
                <w:rFonts w:ascii="Verdana" w:hAnsi="Verdana"/>
                <w:b w:val="0"/>
                <w:bCs w:val="0"/>
                <w:sz w:val="18"/>
                <w:szCs w:val="18"/>
              </w:rPr>
              <w:t>, sportweddenschappen en</w:t>
            </w:r>
            <w:r w:rsidRPr="003D5782">
              <w:rPr>
                <w:rFonts w:ascii="Verdana" w:hAnsi="Verdana"/>
                <w:b w:val="0"/>
                <w:bCs w:val="0"/>
                <w:sz w:val="18"/>
                <w:szCs w:val="18"/>
              </w:rPr>
              <w:t xml:space="preserve"> </w:t>
            </w:r>
            <w:proofErr w:type="spellStart"/>
            <w:r w:rsidRPr="003D5782">
              <w:rPr>
                <w:rFonts w:ascii="Verdana" w:hAnsi="Verdana"/>
                <w:b w:val="0"/>
                <w:bCs w:val="0"/>
                <w:sz w:val="18"/>
                <w:szCs w:val="18"/>
              </w:rPr>
              <w:t>paardentotalisatoren</w:t>
            </w:r>
            <w:proofErr w:type="spellEnd"/>
            <w:r w:rsidRPr="003D5782">
              <w:rPr>
                <w:rFonts w:ascii="Verdana" w:hAnsi="Verdana"/>
                <w:b w:val="0"/>
                <w:bCs w:val="0"/>
                <w:sz w:val="18"/>
                <w:szCs w:val="18"/>
              </w:rPr>
              <w:t xml:space="preserve">) hebben verplichte afdrachten, waardoor het </w:t>
            </w:r>
            <w:proofErr w:type="spellStart"/>
            <w:r w:rsidRPr="003D5782">
              <w:rPr>
                <w:rFonts w:ascii="Verdana" w:hAnsi="Verdana"/>
                <w:b w:val="0"/>
                <w:bCs w:val="0"/>
                <w:sz w:val="18"/>
                <w:szCs w:val="18"/>
              </w:rPr>
              <w:t>brutospelresultaat</w:t>
            </w:r>
            <w:proofErr w:type="spellEnd"/>
            <w:r w:rsidRPr="003D5782">
              <w:rPr>
                <w:rFonts w:ascii="Verdana" w:hAnsi="Verdana"/>
                <w:b w:val="0"/>
                <w:bCs w:val="0"/>
                <w:sz w:val="18"/>
                <w:szCs w:val="18"/>
              </w:rPr>
              <w:t xml:space="preserve"> lager is. Om deze reden wordt een </w:t>
            </w:r>
            <w:r w:rsidRPr="003D5782" w:rsidR="006C1A9C">
              <w:rPr>
                <w:rFonts w:ascii="Verdana" w:hAnsi="Verdana"/>
                <w:b w:val="0"/>
                <w:bCs w:val="0"/>
                <w:sz w:val="18"/>
                <w:szCs w:val="18"/>
              </w:rPr>
              <w:t xml:space="preserve">grondslagvermindering </w:t>
            </w:r>
            <w:r w:rsidRPr="003D5782">
              <w:rPr>
                <w:rFonts w:ascii="Verdana" w:hAnsi="Verdana"/>
                <w:b w:val="0"/>
                <w:bCs w:val="0"/>
                <w:sz w:val="18"/>
                <w:szCs w:val="18"/>
              </w:rPr>
              <w:t>gecreëerd ter hoogte van de verplichte afdrachten</w:t>
            </w:r>
            <w:r w:rsidRPr="003D5782" w:rsidR="00DB2959">
              <w:rPr>
                <w:rFonts w:ascii="Verdana" w:hAnsi="Verdana"/>
                <w:b w:val="0"/>
                <w:bCs w:val="0"/>
                <w:sz w:val="18"/>
                <w:szCs w:val="18"/>
              </w:rPr>
              <w:t>.</w:t>
            </w:r>
          </w:p>
        </w:tc>
      </w:tr>
      <w:tr w:rsidRPr="003D5782" w:rsidR="00331329" w:rsidTr="00B70DBE" w14:paraId="0E9DF97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02" w:type="dxa"/>
            <w:gridSpan w:val="2"/>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tcPr>
          <w:p w:rsidRPr="003D5782" w:rsidR="00331329" w:rsidP="003D5782" w:rsidRDefault="00331329" w14:paraId="67BB1192" w14:textId="77777777">
            <w:pPr>
              <w:autoSpaceDE w:val="0"/>
              <w:autoSpaceDN w:val="0"/>
              <w:adjustRightInd w:val="0"/>
              <w:spacing w:line="276" w:lineRule="auto"/>
              <w:rPr>
                <w:rFonts w:cs="Verdana"/>
                <w:szCs w:val="18"/>
              </w:rPr>
            </w:pPr>
            <w:proofErr w:type="spellStart"/>
            <w:r w:rsidRPr="003D5782">
              <w:rPr>
                <w:rFonts w:cs="Verdana"/>
                <w:szCs w:val="18"/>
              </w:rPr>
              <w:t>Achtergrond</w:t>
            </w:r>
            <w:proofErr w:type="spellEnd"/>
            <w:r w:rsidRPr="003D5782">
              <w:rPr>
                <w:rFonts w:cs="Verdana"/>
                <w:szCs w:val="18"/>
              </w:rPr>
              <w:t>/rationale</w:t>
            </w:r>
          </w:p>
        </w:tc>
      </w:tr>
      <w:tr w:rsidRPr="008C0056" w:rsidR="00331329" w:rsidTr="00B70DBE" w14:paraId="0482EDD8" w14:textId="77777777">
        <w:tc>
          <w:tcPr>
            <w:cnfStyle w:val="001000000000" w:firstRow="0" w:lastRow="0" w:firstColumn="1" w:lastColumn="0" w:oddVBand="0" w:evenVBand="0" w:oddHBand="0" w:evenHBand="0" w:firstRowFirstColumn="0" w:firstRowLastColumn="0" w:lastRowFirstColumn="0" w:lastRowLastColumn="0"/>
            <w:tcW w:w="9702" w:type="dxa"/>
            <w:gridSpan w:val="2"/>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FFFFFF" w:themeFill="background1"/>
          </w:tcPr>
          <w:p w:rsidRPr="003D5782" w:rsidR="003B2E01" w:rsidP="003D5782" w:rsidRDefault="003B2E01" w14:paraId="65594328" w14:textId="0485955B">
            <w:pPr>
              <w:pStyle w:val="Lijstalinea"/>
              <w:numPr>
                <w:ilvl w:val="0"/>
                <w:numId w:val="11"/>
              </w:numPr>
              <w:autoSpaceDE w:val="0"/>
              <w:autoSpaceDN w:val="0"/>
              <w:adjustRightInd w:val="0"/>
              <w:spacing w:line="276" w:lineRule="auto"/>
              <w:rPr>
                <w:rFonts w:ascii="Verdana" w:hAnsi="Verdana" w:cs="Verdana"/>
                <w:b w:val="0"/>
                <w:bCs w:val="0"/>
                <w:sz w:val="18"/>
                <w:szCs w:val="18"/>
              </w:rPr>
            </w:pPr>
            <w:r w:rsidRPr="003D5782">
              <w:rPr>
                <w:rFonts w:ascii="Verdana" w:hAnsi="Verdana" w:cs="Verdana"/>
                <w:b w:val="0"/>
                <w:bCs w:val="0"/>
                <w:sz w:val="18"/>
                <w:szCs w:val="18"/>
              </w:rPr>
              <w:t xml:space="preserve">Bij loterijen wordt </w:t>
            </w:r>
            <w:r w:rsidRPr="003D5782" w:rsidR="00D8684C">
              <w:rPr>
                <w:rFonts w:ascii="Verdana" w:hAnsi="Verdana" w:cs="Verdana"/>
                <w:b w:val="0"/>
                <w:bCs w:val="0"/>
                <w:sz w:val="18"/>
                <w:szCs w:val="18"/>
              </w:rPr>
              <w:t xml:space="preserve">momenteel </w:t>
            </w:r>
            <w:r w:rsidR="006267A8">
              <w:rPr>
                <w:rFonts w:ascii="Verdana" w:hAnsi="Verdana" w:cs="Verdana"/>
                <w:b w:val="0"/>
                <w:bCs w:val="0"/>
                <w:sz w:val="18"/>
                <w:szCs w:val="18"/>
              </w:rPr>
              <w:t>bij</w:t>
            </w:r>
            <w:r w:rsidRPr="003D5782" w:rsidR="006267A8">
              <w:rPr>
                <w:rFonts w:ascii="Verdana" w:hAnsi="Verdana" w:cs="Verdana"/>
                <w:b w:val="0"/>
                <w:bCs w:val="0"/>
                <w:sz w:val="18"/>
                <w:szCs w:val="18"/>
              </w:rPr>
              <w:t xml:space="preserve"> </w:t>
            </w:r>
            <w:r w:rsidRPr="003D5782">
              <w:rPr>
                <w:rFonts w:ascii="Verdana" w:hAnsi="Verdana" w:cs="Verdana"/>
                <w:b w:val="0"/>
                <w:bCs w:val="0"/>
                <w:sz w:val="18"/>
                <w:szCs w:val="18"/>
              </w:rPr>
              <w:t>de winnaar kansspelbelasting geheven als die een prijs heeft gewonnen die hoger is dan € 449, tenzij de loterij de belasting overneemt.</w:t>
            </w:r>
            <w:r w:rsidRPr="003D5782" w:rsidR="00AB3FF8">
              <w:rPr>
                <w:rFonts w:ascii="Verdana" w:hAnsi="Verdana" w:cs="Verdana"/>
                <w:b w:val="0"/>
                <w:bCs w:val="0"/>
                <w:sz w:val="18"/>
                <w:szCs w:val="18"/>
              </w:rPr>
              <w:t xml:space="preserve"> Dan wordt de</w:t>
            </w:r>
            <w:r w:rsidRPr="003D5782" w:rsidR="006A23CB">
              <w:rPr>
                <w:rFonts w:ascii="Verdana" w:hAnsi="Verdana" w:cs="Verdana"/>
                <w:b w:val="0"/>
                <w:bCs w:val="0"/>
                <w:sz w:val="18"/>
                <w:szCs w:val="18"/>
              </w:rPr>
              <w:t xml:space="preserve"> verschuldigde</w:t>
            </w:r>
            <w:r w:rsidRPr="003D5782" w:rsidR="00AB3FF8">
              <w:rPr>
                <w:rFonts w:ascii="Verdana" w:hAnsi="Verdana" w:cs="Verdana"/>
                <w:b w:val="0"/>
                <w:bCs w:val="0"/>
                <w:sz w:val="18"/>
                <w:szCs w:val="18"/>
              </w:rPr>
              <w:t xml:space="preserve"> belasting berekend door de prijs te vermenigvuldigen met een bepaalde breuk (2025: </w:t>
            </w:r>
            <w:r w:rsidRPr="003D5782" w:rsidR="006A23CB">
              <w:rPr>
                <w:rFonts w:ascii="Verdana" w:hAnsi="Verdana" w:cs="Verdana"/>
                <w:b w:val="0"/>
                <w:bCs w:val="0"/>
                <w:sz w:val="18"/>
                <w:szCs w:val="18"/>
              </w:rPr>
              <w:t xml:space="preserve">100/65,8). Bij andere aanbieders, zoals casino’s en sportweddenschappen wordt de kansspelbelasting geheven over het </w:t>
            </w:r>
            <w:proofErr w:type="spellStart"/>
            <w:r w:rsidRPr="003D5782" w:rsidR="006A23CB">
              <w:rPr>
                <w:rFonts w:ascii="Verdana" w:hAnsi="Verdana" w:cs="Verdana"/>
                <w:b w:val="0"/>
                <w:bCs w:val="0"/>
                <w:sz w:val="18"/>
                <w:szCs w:val="18"/>
              </w:rPr>
              <w:t>brutospelresultaat</w:t>
            </w:r>
            <w:proofErr w:type="spellEnd"/>
            <w:r w:rsidRPr="003D5782" w:rsidR="006A23CB">
              <w:rPr>
                <w:rFonts w:ascii="Verdana" w:hAnsi="Verdana" w:cs="Verdana"/>
                <w:b w:val="0"/>
                <w:bCs w:val="0"/>
                <w:sz w:val="18"/>
                <w:szCs w:val="18"/>
              </w:rPr>
              <w:t xml:space="preserve"> per tijdvak (vaak per maand).</w:t>
            </w:r>
          </w:p>
          <w:p w:rsidRPr="003D5782" w:rsidR="00331329" w:rsidP="003D5782" w:rsidRDefault="006A23CB" w14:paraId="568AF5BF" w14:textId="2EBBDF25">
            <w:pPr>
              <w:pStyle w:val="Lijstalinea"/>
              <w:numPr>
                <w:ilvl w:val="0"/>
                <w:numId w:val="11"/>
              </w:numPr>
              <w:autoSpaceDE w:val="0"/>
              <w:autoSpaceDN w:val="0"/>
              <w:adjustRightInd w:val="0"/>
              <w:spacing w:line="276" w:lineRule="auto"/>
              <w:rPr>
                <w:rFonts w:ascii="Verdana" w:hAnsi="Verdana" w:cs="Verdana"/>
                <w:b w:val="0"/>
                <w:bCs w:val="0"/>
                <w:sz w:val="18"/>
                <w:szCs w:val="18"/>
              </w:rPr>
            </w:pPr>
            <w:r w:rsidRPr="003D5782">
              <w:rPr>
                <w:rFonts w:ascii="Verdana" w:hAnsi="Verdana" w:cs="Verdana"/>
                <w:b w:val="0"/>
                <w:bCs w:val="0"/>
                <w:sz w:val="18"/>
                <w:szCs w:val="18"/>
              </w:rPr>
              <w:t xml:space="preserve">Door bij alle aanbieders over het </w:t>
            </w:r>
            <w:proofErr w:type="spellStart"/>
            <w:r w:rsidRPr="003D5782">
              <w:rPr>
                <w:rFonts w:ascii="Verdana" w:hAnsi="Verdana" w:cs="Verdana"/>
                <w:b w:val="0"/>
                <w:bCs w:val="0"/>
                <w:sz w:val="18"/>
                <w:szCs w:val="18"/>
              </w:rPr>
              <w:t>brutospelresultaat</w:t>
            </w:r>
            <w:proofErr w:type="spellEnd"/>
            <w:r w:rsidRPr="003D5782">
              <w:rPr>
                <w:rFonts w:ascii="Verdana" w:hAnsi="Verdana" w:cs="Verdana"/>
                <w:b w:val="0"/>
                <w:bCs w:val="0"/>
                <w:sz w:val="18"/>
                <w:szCs w:val="18"/>
              </w:rPr>
              <w:t xml:space="preserve"> te heffen on</w:t>
            </w:r>
            <w:r w:rsidRPr="003D5782" w:rsidR="00AE2EC5">
              <w:rPr>
                <w:rFonts w:ascii="Verdana" w:hAnsi="Verdana" w:cs="Verdana"/>
                <w:b w:val="0"/>
                <w:bCs w:val="0"/>
                <w:sz w:val="18"/>
                <w:szCs w:val="18"/>
              </w:rPr>
              <w:t>t</w:t>
            </w:r>
            <w:r w:rsidRPr="003D5782">
              <w:rPr>
                <w:rFonts w:ascii="Verdana" w:hAnsi="Verdana" w:cs="Verdana"/>
                <w:b w:val="0"/>
                <w:bCs w:val="0"/>
                <w:sz w:val="18"/>
                <w:szCs w:val="18"/>
              </w:rPr>
              <w:t>staat een consistente belastingsystematiek voor loterijen en casino’s.</w:t>
            </w:r>
          </w:p>
          <w:p w:rsidRPr="003D5782" w:rsidR="006A23CB" w:rsidP="003D5782" w:rsidRDefault="006A23CB" w14:paraId="66B04CBC" w14:textId="2DB22C87">
            <w:pPr>
              <w:pStyle w:val="Lijstalinea"/>
              <w:numPr>
                <w:ilvl w:val="0"/>
                <w:numId w:val="11"/>
              </w:numPr>
              <w:autoSpaceDE w:val="0"/>
              <w:autoSpaceDN w:val="0"/>
              <w:adjustRightInd w:val="0"/>
              <w:spacing w:line="276" w:lineRule="auto"/>
              <w:rPr>
                <w:rFonts w:ascii="Verdana" w:hAnsi="Verdana" w:cs="Verdana"/>
                <w:b w:val="0"/>
                <w:bCs w:val="0"/>
                <w:sz w:val="18"/>
                <w:szCs w:val="18"/>
              </w:rPr>
            </w:pPr>
            <w:r w:rsidRPr="003D5782">
              <w:rPr>
                <w:rFonts w:ascii="Verdana" w:hAnsi="Verdana" w:cs="Verdana"/>
                <w:b w:val="0"/>
                <w:bCs w:val="0"/>
                <w:sz w:val="18"/>
                <w:szCs w:val="18"/>
              </w:rPr>
              <w:t>Voor verschillende loterijen</w:t>
            </w:r>
            <w:r w:rsidRPr="003D5782" w:rsidR="00DB2959">
              <w:rPr>
                <w:rFonts w:ascii="Verdana" w:hAnsi="Verdana" w:cs="Verdana"/>
                <w:b w:val="0"/>
                <w:bCs w:val="0"/>
                <w:sz w:val="18"/>
                <w:szCs w:val="18"/>
              </w:rPr>
              <w:t xml:space="preserve"> en aanbieders</w:t>
            </w:r>
            <w:r w:rsidRPr="003D5782">
              <w:rPr>
                <w:rFonts w:ascii="Verdana" w:hAnsi="Verdana" w:cs="Verdana"/>
                <w:b w:val="0"/>
                <w:bCs w:val="0"/>
                <w:sz w:val="18"/>
                <w:szCs w:val="18"/>
              </w:rPr>
              <w:t xml:space="preserve"> bestaa</w:t>
            </w:r>
            <w:r w:rsidRPr="003D5782" w:rsidR="00DB2959">
              <w:rPr>
                <w:rFonts w:ascii="Verdana" w:hAnsi="Verdana" w:cs="Verdana"/>
                <w:b w:val="0"/>
                <w:bCs w:val="0"/>
                <w:sz w:val="18"/>
                <w:szCs w:val="18"/>
              </w:rPr>
              <w:t>n</w:t>
            </w:r>
            <w:r w:rsidRPr="003D5782">
              <w:rPr>
                <w:rFonts w:ascii="Verdana" w:hAnsi="Verdana" w:cs="Verdana"/>
                <w:b w:val="0"/>
                <w:bCs w:val="0"/>
                <w:sz w:val="18"/>
                <w:szCs w:val="18"/>
              </w:rPr>
              <w:t xml:space="preserve"> een verschillend</w:t>
            </w:r>
            <w:r w:rsidRPr="003D5782" w:rsidR="00DB2959">
              <w:rPr>
                <w:rFonts w:ascii="Verdana" w:hAnsi="Verdana" w:cs="Verdana"/>
                <w:b w:val="0"/>
                <w:bCs w:val="0"/>
                <w:sz w:val="18"/>
                <w:szCs w:val="18"/>
              </w:rPr>
              <w:t>e</w:t>
            </w:r>
            <w:r w:rsidRPr="003D5782">
              <w:rPr>
                <w:rFonts w:ascii="Verdana" w:hAnsi="Verdana" w:cs="Verdana"/>
                <w:b w:val="0"/>
                <w:bCs w:val="0"/>
                <w:sz w:val="18"/>
                <w:szCs w:val="18"/>
              </w:rPr>
              <w:t xml:space="preserve"> verplicht</w:t>
            </w:r>
            <w:r w:rsidRPr="003D5782" w:rsidR="00DB2959">
              <w:rPr>
                <w:rFonts w:ascii="Verdana" w:hAnsi="Verdana" w:cs="Verdana"/>
                <w:b w:val="0"/>
                <w:bCs w:val="0"/>
                <w:sz w:val="18"/>
                <w:szCs w:val="18"/>
              </w:rPr>
              <w:t>e</w:t>
            </w:r>
            <w:r w:rsidRPr="003D5782">
              <w:rPr>
                <w:rFonts w:ascii="Verdana" w:hAnsi="Verdana" w:cs="Verdana"/>
                <w:b w:val="0"/>
                <w:bCs w:val="0"/>
                <w:sz w:val="18"/>
                <w:szCs w:val="18"/>
              </w:rPr>
              <w:t xml:space="preserve"> </w:t>
            </w:r>
            <w:proofErr w:type="spellStart"/>
            <w:r w:rsidRPr="003D5782">
              <w:rPr>
                <w:rFonts w:ascii="Verdana" w:hAnsi="Verdana" w:cs="Verdana"/>
                <w:b w:val="0"/>
                <w:bCs w:val="0"/>
                <w:sz w:val="18"/>
                <w:szCs w:val="18"/>
              </w:rPr>
              <w:t>afdrachtpercentage</w:t>
            </w:r>
            <w:r w:rsidRPr="003D5782" w:rsidR="00AE2EC5">
              <w:rPr>
                <w:rFonts w:ascii="Verdana" w:hAnsi="Verdana" w:cs="Verdana"/>
                <w:b w:val="0"/>
                <w:bCs w:val="0"/>
                <w:sz w:val="18"/>
                <w:szCs w:val="18"/>
              </w:rPr>
              <w:t>s</w:t>
            </w:r>
            <w:proofErr w:type="spellEnd"/>
            <w:r w:rsidRPr="003D5782">
              <w:rPr>
                <w:rFonts w:ascii="Verdana" w:hAnsi="Verdana" w:cs="Verdana"/>
                <w:b w:val="0"/>
                <w:bCs w:val="0"/>
                <w:sz w:val="18"/>
                <w:szCs w:val="18"/>
              </w:rPr>
              <w:t>:</w:t>
            </w:r>
          </w:p>
          <w:tbl>
            <w:tblPr>
              <w:tblStyle w:val="Tabelraster"/>
              <w:tblW w:w="0" w:type="auto"/>
              <w:tblInd w:w="0" w:type="dxa"/>
              <w:tblLook w:val="04A0" w:firstRow="1" w:lastRow="0" w:firstColumn="1" w:lastColumn="0" w:noHBand="0" w:noVBand="1"/>
            </w:tblPr>
            <w:tblGrid>
              <w:gridCol w:w="4558"/>
              <w:gridCol w:w="4536"/>
            </w:tblGrid>
            <w:tr w:rsidRPr="003D5782" w:rsidR="006A23CB" w:rsidTr="00A26F84" w14:paraId="42CEA374" w14:textId="77777777">
              <w:tc>
                <w:tcPr>
                  <w:tcW w:w="4558" w:type="dxa"/>
                </w:tcPr>
                <w:p w:rsidRPr="003D5782" w:rsidR="006A23CB" w:rsidP="003D5782" w:rsidRDefault="006A23CB" w14:paraId="41E24A82" w14:textId="51843420">
                  <w:pPr>
                    <w:autoSpaceDE w:val="0"/>
                    <w:autoSpaceDN w:val="0"/>
                    <w:adjustRightInd w:val="0"/>
                    <w:spacing w:line="276" w:lineRule="auto"/>
                    <w:rPr>
                      <w:rFonts w:cs="Verdana"/>
                      <w:b/>
                      <w:bCs/>
                    </w:rPr>
                  </w:pPr>
                  <w:proofErr w:type="spellStart"/>
                  <w:r w:rsidRPr="003D5782">
                    <w:rPr>
                      <w:rFonts w:cs="Verdana"/>
                      <w:b/>
                      <w:bCs/>
                    </w:rPr>
                    <w:t>Aanbieder</w:t>
                  </w:r>
                  <w:proofErr w:type="spellEnd"/>
                </w:p>
              </w:tc>
              <w:tc>
                <w:tcPr>
                  <w:tcW w:w="4536" w:type="dxa"/>
                </w:tcPr>
                <w:p w:rsidRPr="003D5782" w:rsidR="006A23CB" w:rsidP="003D5782" w:rsidRDefault="006A23CB" w14:paraId="215130EC" w14:textId="1941F093">
                  <w:pPr>
                    <w:autoSpaceDE w:val="0"/>
                    <w:autoSpaceDN w:val="0"/>
                    <w:adjustRightInd w:val="0"/>
                    <w:spacing w:line="276" w:lineRule="auto"/>
                    <w:rPr>
                      <w:rFonts w:cs="Verdana"/>
                      <w:b/>
                      <w:bCs/>
                    </w:rPr>
                  </w:pPr>
                  <w:proofErr w:type="spellStart"/>
                  <w:r w:rsidRPr="003D5782">
                    <w:rPr>
                      <w:rFonts w:cs="Verdana"/>
                      <w:b/>
                      <w:bCs/>
                    </w:rPr>
                    <w:t>Afdrachtpercentage</w:t>
                  </w:r>
                  <w:proofErr w:type="spellEnd"/>
                </w:p>
              </w:tc>
            </w:tr>
            <w:tr w:rsidRPr="003D5782" w:rsidR="006A23CB" w:rsidTr="00A26F84" w14:paraId="63E51E51" w14:textId="77777777">
              <w:tc>
                <w:tcPr>
                  <w:tcW w:w="4558" w:type="dxa"/>
                </w:tcPr>
                <w:p w:rsidRPr="003D5782" w:rsidR="006A23CB" w:rsidP="003D5782" w:rsidRDefault="006A23CB" w14:paraId="0C616B31" w14:textId="707B24F8">
                  <w:pPr>
                    <w:autoSpaceDE w:val="0"/>
                    <w:autoSpaceDN w:val="0"/>
                    <w:adjustRightInd w:val="0"/>
                    <w:spacing w:line="276" w:lineRule="auto"/>
                    <w:rPr>
                      <w:rFonts w:cs="Verdana"/>
                    </w:rPr>
                  </w:pPr>
                  <w:proofErr w:type="spellStart"/>
                  <w:r w:rsidRPr="003D5782">
                    <w:rPr>
                      <w:rFonts w:cs="Verdana"/>
                    </w:rPr>
                    <w:t>Staatsloterij</w:t>
                  </w:r>
                  <w:proofErr w:type="spellEnd"/>
                </w:p>
              </w:tc>
              <w:tc>
                <w:tcPr>
                  <w:tcW w:w="4536" w:type="dxa"/>
                </w:tcPr>
                <w:p w:rsidRPr="003D5782" w:rsidR="006A23CB" w:rsidP="003D5782" w:rsidRDefault="006A23CB" w14:paraId="1059E64F" w14:textId="75800DF4">
                  <w:pPr>
                    <w:autoSpaceDE w:val="0"/>
                    <w:autoSpaceDN w:val="0"/>
                    <w:adjustRightInd w:val="0"/>
                    <w:spacing w:line="276" w:lineRule="auto"/>
                    <w:rPr>
                      <w:rFonts w:cs="Verdana"/>
                    </w:rPr>
                  </w:pPr>
                  <w:r w:rsidRPr="003D5782">
                    <w:rPr>
                      <w:rFonts w:cs="Verdana"/>
                    </w:rPr>
                    <w:t xml:space="preserve">15% van de </w:t>
                  </w:r>
                  <w:proofErr w:type="spellStart"/>
                  <w:r w:rsidRPr="003D5782">
                    <w:rPr>
                      <w:rFonts w:cs="Verdana"/>
                    </w:rPr>
                    <w:t>opbrengst</w:t>
                  </w:r>
                  <w:proofErr w:type="spellEnd"/>
                  <w:r w:rsidRPr="003D5782" w:rsidR="00DB2959">
                    <w:rPr>
                      <w:rStyle w:val="Voetnootmarkering"/>
                      <w:rFonts w:ascii="Verdana" w:hAnsi="Verdana"/>
                    </w:rPr>
                    <w:footnoteReference w:id="2"/>
                  </w:r>
                </w:p>
              </w:tc>
            </w:tr>
            <w:tr w:rsidRPr="003D5782" w:rsidR="006A23CB" w:rsidTr="00A26F84" w14:paraId="5C128D1B" w14:textId="77777777">
              <w:tc>
                <w:tcPr>
                  <w:tcW w:w="4558" w:type="dxa"/>
                </w:tcPr>
                <w:p w:rsidRPr="000605DC" w:rsidR="006A23CB" w:rsidP="003D5782" w:rsidRDefault="00C9654B" w14:paraId="67C8FD6A" w14:textId="13BF6B53">
                  <w:pPr>
                    <w:autoSpaceDE w:val="0"/>
                    <w:autoSpaceDN w:val="0"/>
                    <w:adjustRightInd w:val="0"/>
                    <w:spacing w:line="276" w:lineRule="auto"/>
                    <w:rPr>
                      <w:rFonts w:cs="Verdana"/>
                      <w:lang w:val="nl-NL"/>
                    </w:rPr>
                  </w:pPr>
                  <w:r w:rsidRPr="000605DC">
                    <w:rPr>
                      <w:rFonts w:cs="Verdana"/>
                      <w:lang w:val="nl-NL"/>
                    </w:rPr>
                    <w:t>Nationale Postcode Loterij en Vr</w:t>
                  </w:r>
                  <w:r>
                    <w:rPr>
                      <w:rFonts w:cs="Verdana"/>
                      <w:lang w:val="nl-NL"/>
                    </w:rPr>
                    <w:t>iendenloterij</w:t>
                  </w:r>
                </w:p>
              </w:tc>
              <w:tc>
                <w:tcPr>
                  <w:tcW w:w="4536" w:type="dxa"/>
                </w:tcPr>
                <w:p w:rsidRPr="003D5782" w:rsidR="006A23CB" w:rsidP="003D5782" w:rsidRDefault="00C9654B" w14:paraId="24AEAC3E" w14:textId="26A1883A">
                  <w:pPr>
                    <w:autoSpaceDE w:val="0"/>
                    <w:autoSpaceDN w:val="0"/>
                    <w:adjustRightInd w:val="0"/>
                    <w:spacing w:line="276" w:lineRule="auto"/>
                    <w:rPr>
                      <w:rFonts w:cs="Verdana"/>
                      <w:lang w:val="nl-NL"/>
                    </w:rPr>
                  </w:pPr>
                  <w:r>
                    <w:rPr>
                      <w:rFonts w:cs="Verdana"/>
                      <w:lang w:val="nl-NL"/>
                    </w:rPr>
                    <w:t>40% van de opbrengst</w:t>
                  </w:r>
                </w:p>
              </w:tc>
            </w:tr>
            <w:tr w:rsidRPr="00E76289" w:rsidR="006A23CB" w:rsidTr="00A26F84" w14:paraId="68DD814E" w14:textId="77777777">
              <w:tc>
                <w:tcPr>
                  <w:tcW w:w="4558" w:type="dxa"/>
                </w:tcPr>
                <w:p w:rsidRPr="003D5782" w:rsidR="006A23CB" w:rsidP="003D5782" w:rsidRDefault="006A23CB" w14:paraId="4EBC22B1" w14:textId="5000496F">
                  <w:pPr>
                    <w:autoSpaceDE w:val="0"/>
                    <w:autoSpaceDN w:val="0"/>
                    <w:adjustRightInd w:val="0"/>
                    <w:spacing w:line="276" w:lineRule="auto"/>
                    <w:rPr>
                      <w:rFonts w:cs="Verdana"/>
                    </w:rPr>
                  </w:pPr>
                  <w:r w:rsidRPr="003D5782">
                    <w:rPr>
                      <w:rFonts w:cs="Verdana"/>
                    </w:rPr>
                    <w:t>Lotto</w:t>
                  </w:r>
                </w:p>
              </w:tc>
              <w:tc>
                <w:tcPr>
                  <w:tcW w:w="4536" w:type="dxa"/>
                </w:tcPr>
                <w:p w:rsidRPr="006267A8" w:rsidR="006A23CB" w:rsidP="003D5782" w:rsidRDefault="006267A8" w14:paraId="228BD0FF" w14:textId="1DF3E367">
                  <w:pPr>
                    <w:autoSpaceDE w:val="0"/>
                    <w:autoSpaceDN w:val="0"/>
                    <w:adjustRightInd w:val="0"/>
                    <w:spacing w:line="276" w:lineRule="auto"/>
                    <w:rPr>
                      <w:rFonts w:cs="Verdana"/>
                      <w:lang w:val="nl-NL"/>
                    </w:rPr>
                  </w:pPr>
                  <w:r w:rsidRPr="006267A8">
                    <w:rPr>
                      <w:rFonts w:cs="Verdana"/>
                      <w:lang w:val="nl-NL"/>
                    </w:rPr>
                    <w:t xml:space="preserve">De opbrengst, met een minimum van </w:t>
                  </w:r>
                  <w:r w:rsidRPr="006267A8" w:rsidR="006A23CB">
                    <w:rPr>
                      <w:rFonts w:cs="Verdana"/>
                      <w:lang w:val="nl-NL"/>
                    </w:rPr>
                    <w:t>18%</w:t>
                  </w:r>
                </w:p>
              </w:tc>
            </w:tr>
            <w:tr w:rsidRPr="008C0056" w:rsidR="00D8684C" w:rsidTr="00A26F84" w14:paraId="0C76AE46" w14:textId="77777777">
              <w:tc>
                <w:tcPr>
                  <w:tcW w:w="4558" w:type="dxa"/>
                </w:tcPr>
                <w:p w:rsidRPr="003D5782" w:rsidR="00DB2959" w:rsidP="003D5782" w:rsidRDefault="008F70D4" w14:paraId="5BAF73E0" w14:textId="1B82DC70">
                  <w:pPr>
                    <w:autoSpaceDE w:val="0"/>
                    <w:autoSpaceDN w:val="0"/>
                    <w:adjustRightInd w:val="0"/>
                    <w:spacing w:line="276" w:lineRule="auto"/>
                    <w:rPr>
                      <w:rFonts w:cs="Verdana"/>
                    </w:rPr>
                  </w:pPr>
                  <w:proofErr w:type="spellStart"/>
                  <w:r w:rsidRPr="003D5782">
                    <w:rPr>
                      <w:rFonts w:cs="Verdana"/>
                    </w:rPr>
                    <w:t>Instantloterijen</w:t>
                  </w:r>
                  <w:proofErr w:type="spellEnd"/>
                </w:p>
              </w:tc>
              <w:tc>
                <w:tcPr>
                  <w:tcW w:w="4536" w:type="dxa"/>
                </w:tcPr>
                <w:p w:rsidRPr="003D5782" w:rsidR="00DB2959" w:rsidP="003D5782" w:rsidRDefault="00C9654B" w14:paraId="74FD2DA4" w14:textId="7744D913">
                  <w:pPr>
                    <w:autoSpaceDE w:val="0"/>
                    <w:autoSpaceDN w:val="0"/>
                    <w:adjustRightInd w:val="0"/>
                    <w:spacing w:line="276" w:lineRule="auto"/>
                    <w:rPr>
                      <w:lang w:val="nl-NL"/>
                    </w:rPr>
                  </w:pPr>
                  <w:r>
                    <w:rPr>
                      <w:lang w:val="nl-NL"/>
                    </w:rPr>
                    <w:t>De opbrengst</w:t>
                  </w:r>
                </w:p>
              </w:tc>
            </w:tr>
            <w:tr w:rsidRPr="003D5782" w:rsidR="00D8684C" w:rsidTr="00A26F84" w14:paraId="0F4E97AB" w14:textId="77777777">
              <w:tc>
                <w:tcPr>
                  <w:tcW w:w="4558" w:type="dxa"/>
                </w:tcPr>
                <w:p w:rsidRPr="003D5782" w:rsidR="00DB2959" w:rsidP="003D5782" w:rsidRDefault="00DB2959" w14:paraId="61F559CD" w14:textId="1ECCEDBC">
                  <w:pPr>
                    <w:autoSpaceDE w:val="0"/>
                    <w:autoSpaceDN w:val="0"/>
                    <w:adjustRightInd w:val="0"/>
                    <w:spacing w:line="276" w:lineRule="auto"/>
                    <w:rPr>
                      <w:rFonts w:cs="Verdana"/>
                    </w:rPr>
                  </w:pPr>
                  <w:proofErr w:type="spellStart"/>
                  <w:r w:rsidRPr="003D5782">
                    <w:rPr>
                      <w:rFonts w:cs="Verdana"/>
                    </w:rPr>
                    <w:t>Paardentotalisator</w:t>
                  </w:r>
                  <w:proofErr w:type="spellEnd"/>
                  <w:r w:rsidRPr="003D5782">
                    <w:rPr>
                      <w:rFonts w:cs="Verdana"/>
                    </w:rPr>
                    <w:tab/>
                  </w:r>
                </w:p>
              </w:tc>
              <w:tc>
                <w:tcPr>
                  <w:tcW w:w="4536" w:type="dxa"/>
                </w:tcPr>
                <w:p w:rsidRPr="003D5782" w:rsidR="00DB2959" w:rsidP="003D5782" w:rsidRDefault="00DB2959" w14:paraId="1C82F22E" w14:textId="246A209B">
                  <w:pPr>
                    <w:autoSpaceDE w:val="0"/>
                    <w:autoSpaceDN w:val="0"/>
                    <w:adjustRightInd w:val="0"/>
                    <w:spacing w:line="276" w:lineRule="auto"/>
                    <w:rPr>
                      <w:rFonts w:cs="Verdana"/>
                    </w:rPr>
                  </w:pPr>
                  <w:r w:rsidRPr="003D5782">
                    <w:rPr>
                      <w:rFonts w:cs="Verdana"/>
                    </w:rPr>
                    <w:t xml:space="preserve">10% van het </w:t>
                  </w:r>
                  <w:proofErr w:type="spellStart"/>
                  <w:r w:rsidRPr="003D5782">
                    <w:rPr>
                      <w:rFonts w:cs="Verdana"/>
                    </w:rPr>
                    <w:t>brutospelresultaat</w:t>
                  </w:r>
                  <w:proofErr w:type="spellEnd"/>
                </w:p>
              </w:tc>
            </w:tr>
            <w:tr w:rsidRPr="008C0056" w:rsidR="00D8684C" w:rsidTr="00A26F84" w14:paraId="47123C14" w14:textId="77777777">
              <w:tc>
                <w:tcPr>
                  <w:tcW w:w="4558" w:type="dxa"/>
                </w:tcPr>
                <w:p w:rsidRPr="003D5782" w:rsidR="00DB2959" w:rsidP="003D5782" w:rsidRDefault="00DB2959" w14:paraId="77F434D4" w14:textId="20C175A5">
                  <w:pPr>
                    <w:autoSpaceDE w:val="0"/>
                    <w:autoSpaceDN w:val="0"/>
                    <w:adjustRightInd w:val="0"/>
                    <w:spacing w:line="276" w:lineRule="auto"/>
                    <w:rPr>
                      <w:rFonts w:cs="Verdana"/>
                    </w:rPr>
                  </w:pPr>
                  <w:proofErr w:type="spellStart"/>
                  <w:r w:rsidRPr="003D5782">
                    <w:rPr>
                      <w:rFonts w:cs="Verdana"/>
                    </w:rPr>
                    <w:t>Sportweddenschappen</w:t>
                  </w:r>
                  <w:proofErr w:type="spellEnd"/>
                  <w:r w:rsidRPr="003D5782">
                    <w:rPr>
                      <w:rFonts w:cs="Verdana"/>
                    </w:rPr>
                    <w:t xml:space="preserve"> (Toto)</w:t>
                  </w:r>
                </w:p>
              </w:tc>
              <w:tc>
                <w:tcPr>
                  <w:tcW w:w="4536" w:type="dxa"/>
                </w:tcPr>
                <w:p w:rsidRPr="003D5782" w:rsidR="00DB2959" w:rsidP="003D5782" w:rsidRDefault="00C9654B" w14:paraId="6E9BAD90" w14:textId="52B0BF89">
                  <w:pPr>
                    <w:autoSpaceDE w:val="0"/>
                    <w:autoSpaceDN w:val="0"/>
                    <w:adjustRightInd w:val="0"/>
                    <w:spacing w:line="276" w:lineRule="auto"/>
                    <w:rPr>
                      <w:lang w:val="nl-NL"/>
                    </w:rPr>
                  </w:pPr>
                  <w:r>
                    <w:rPr>
                      <w:lang w:val="nl-NL"/>
                    </w:rPr>
                    <w:t>Opbrengst</w:t>
                  </w:r>
                  <w:r w:rsidRPr="003D5782" w:rsidR="00DB2959">
                    <w:rPr>
                      <w:rStyle w:val="Voetnootmarkering"/>
                      <w:rFonts w:ascii="Verdana" w:hAnsi="Verdana"/>
                    </w:rPr>
                    <w:footnoteReference w:id="3"/>
                  </w:r>
                </w:p>
              </w:tc>
            </w:tr>
          </w:tbl>
          <w:p w:rsidRPr="003D5782" w:rsidR="00A979BA" w:rsidP="003D5782" w:rsidRDefault="00A979BA" w14:paraId="5D78F604" w14:textId="7AB8E930">
            <w:pPr>
              <w:autoSpaceDE w:val="0"/>
              <w:autoSpaceDN w:val="0"/>
              <w:adjustRightInd w:val="0"/>
              <w:spacing w:line="276" w:lineRule="auto"/>
              <w:ind w:left="360"/>
              <w:rPr>
                <w:szCs w:val="18"/>
                <w:lang w:val="nl-NL"/>
              </w:rPr>
            </w:pPr>
          </w:p>
        </w:tc>
      </w:tr>
      <w:tr w:rsidRPr="003D5782" w:rsidR="00331329" w:rsidTr="00B70DBE" w14:paraId="31CFD81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02" w:type="dxa"/>
            <w:gridSpan w:val="2"/>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hideMark/>
          </w:tcPr>
          <w:p w:rsidRPr="003D5782" w:rsidR="00331329" w:rsidP="003D5782" w:rsidRDefault="00331329" w14:paraId="2DEB2AA5" w14:textId="77777777">
            <w:pPr>
              <w:spacing w:after="255" w:line="276" w:lineRule="auto"/>
              <w:contextualSpacing/>
              <w:rPr>
                <w:szCs w:val="18"/>
                <w:lang w:val="nl-NL"/>
              </w:rPr>
            </w:pPr>
            <w:r w:rsidRPr="003D5782">
              <w:rPr>
                <w:szCs w:val="18"/>
                <w:lang w:val="nl-NL"/>
              </w:rPr>
              <w:t>Effecten</w:t>
            </w:r>
          </w:p>
        </w:tc>
      </w:tr>
      <w:tr w:rsidRPr="00E76289" w:rsidR="00331329" w:rsidTr="00B70DBE" w14:paraId="15DB5F6E" w14:textId="77777777">
        <w:tc>
          <w:tcPr>
            <w:cnfStyle w:val="001000000000" w:firstRow="0" w:lastRow="0" w:firstColumn="1" w:lastColumn="0" w:oddVBand="0" w:evenVBand="0" w:oddHBand="0" w:evenHBand="0" w:firstRowFirstColumn="0" w:firstRowLastColumn="0" w:lastRowFirstColumn="0" w:lastRowLastColumn="0"/>
            <w:tcW w:w="2286"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hideMark/>
          </w:tcPr>
          <w:p w:rsidRPr="003D5782" w:rsidR="00331329" w:rsidP="003D5782" w:rsidRDefault="00331329" w14:paraId="0DA24753" w14:textId="77777777">
            <w:pPr>
              <w:spacing w:after="255" w:line="276" w:lineRule="auto"/>
              <w:contextualSpacing/>
              <w:rPr>
                <w:szCs w:val="18"/>
                <w:lang w:val="nl-NL"/>
              </w:rPr>
            </w:pPr>
            <w:r w:rsidRPr="003D5782">
              <w:rPr>
                <w:szCs w:val="18"/>
                <w:lang w:val="nl-NL"/>
              </w:rPr>
              <w:t>Gevolgen burgers, bedrijven en kansspelbeleid</w:t>
            </w:r>
          </w:p>
        </w:tc>
        <w:tc>
          <w:tcPr>
            <w:tcW w:w="7416"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FFFFFF" w:themeFill="background1"/>
            <w:hideMark/>
          </w:tcPr>
          <w:p w:rsidRPr="003D5782" w:rsidR="00331329" w:rsidP="003D5782" w:rsidRDefault="00331329" w14:paraId="2596E184" w14:textId="77777777">
            <w:pPr>
              <w:spacing w:line="276" w:lineRule="auto"/>
              <w:cnfStyle w:val="000000000000" w:firstRow="0" w:lastRow="0" w:firstColumn="0" w:lastColumn="0" w:oddVBand="0" w:evenVBand="0" w:oddHBand="0" w:evenHBand="0" w:firstRowFirstColumn="0" w:firstRowLastColumn="0" w:lastRowFirstColumn="0" w:lastRowLastColumn="0"/>
              <w:rPr>
                <w:i/>
                <w:szCs w:val="18"/>
                <w:lang w:val="nl-NL"/>
              </w:rPr>
            </w:pPr>
            <w:r w:rsidRPr="003D5782">
              <w:rPr>
                <w:i/>
                <w:szCs w:val="18"/>
                <w:lang w:val="nl-NL"/>
              </w:rPr>
              <w:t>Gevolgen voor afdrachten</w:t>
            </w:r>
          </w:p>
          <w:p w:rsidRPr="003D5782" w:rsidR="00A26F84" w:rsidP="003D5782" w:rsidRDefault="00A26F84" w14:paraId="4C7AE65C" w14:textId="585EC4B8">
            <w:pPr>
              <w:pStyle w:val="Lijstalinea"/>
              <w:numPr>
                <w:ilvl w:val="0"/>
                <w:numId w:val="30"/>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s="Verdana"/>
                <w:sz w:val="18"/>
                <w:szCs w:val="18"/>
              </w:rPr>
            </w:pPr>
            <w:r w:rsidRPr="003D5782">
              <w:rPr>
                <w:rFonts w:ascii="Verdana" w:hAnsi="Verdana" w:cs="Verdana"/>
                <w:sz w:val="18"/>
                <w:szCs w:val="18"/>
              </w:rPr>
              <w:t xml:space="preserve">Loterijen betalen in deze variant meer belasting dan in de huidige situatie. Dit kan mogelijk ten koste gaan van de afdracht aan goede doelen. Voor (paarden)sportweddenschappen ontstaat echter een aftrekpost. </w:t>
            </w:r>
            <w:r w:rsidR="00C9654B">
              <w:rPr>
                <w:rFonts w:ascii="Verdana" w:hAnsi="Verdana" w:cs="Verdana"/>
                <w:sz w:val="18"/>
                <w:szCs w:val="18"/>
              </w:rPr>
              <w:t>In totaal zal dit waarschijnlijk niet leiden tot meer afdrachten aan de (paarden)sport.</w:t>
            </w:r>
          </w:p>
          <w:p w:rsidRPr="003D5782" w:rsidR="00A26F84" w:rsidP="003D5782" w:rsidRDefault="00BE1828" w14:paraId="4D803EF3" w14:textId="77777777">
            <w:pPr>
              <w:pStyle w:val="Lijstalinea"/>
              <w:numPr>
                <w:ilvl w:val="0"/>
                <w:numId w:val="30"/>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s="Verdana"/>
                <w:sz w:val="18"/>
                <w:szCs w:val="18"/>
              </w:rPr>
            </w:pPr>
            <w:r w:rsidRPr="003D5782">
              <w:rPr>
                <w:rFonts w:ascii="Verdana" w:hAnsi="Verdana" w:cs="Verdana"/>
                <w:sz w:val="18"/>
                <w:szCs w:val="18"/>
              </w:rPr>
              <w:t>Kleine goede doelenloterijen betalen meer belasting. Deze hogere belasting kan ertoe leiden dat de totale afdrachten afnemen.</w:t>
            </w:r>
            <w:r w:rsidRPr="003D5782" w:rsidR="00ED4EC7">
              <w:rPr>
                <w:rFonts w:ascii="Verdana" w:hAnsi="Verdana" w:cs="Verdana"/>
                <w:sz w:val="18"/>
                <w:szCs w:val="18"/>
              </w:rPr>
              <w:t xml:space="preserve"> </w:t>
            </w:r>
          </w:p>
          <w:p w:rsidRPr="003D5782" w:rsidR="00BE1828" w:rsidP="003D5782" w:rsidRDefault="00117C37" w14:paraId="4CCB2472" w14:textId="3655D06B">
            <w:pPr>
              <w:pStyle w:val="Lijstalinea"/>
              <w:numPr>
                <w:ilvl w:val="0"/>
                <w:numId w:val="30"/>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s="Verdana"/>
                <w:sz w:val="18"/>
                <w:szCs w:val="18"/>
              </w:rPr>
            </w:pPr>
            <w:r w:rsidRPr="003D5782">
              <w:rPr>
                <w:rFonts w:ascii="Verdana" w:hAnsi="Verdana" w:cs="Verdana"/>
                <w:sz w:val="18"/>
                <w:szCs w:val="18"/>
              </w:rPr>
              <w:t>Uit doelmatigheidsoverwegingen</w:t>
            </w:r>
            <w:r w:rsidRPr="003D5782" w:rsidR="00A26F84">
              <w:rPr>
                <w:rFonts w:ascii="Verdana" w:hAnsi="Verdana" w:cs="Verdana"/>
                <w:sz w:val="18"/>
                <w:szCs w:val="18"/>
              </w:rPr>
              <w:t xml:space="preserve"> kan</w:t>
            </w:r>
            <w:r w:rsidRPr="003D5782">
              <w:rPr>
                <w:rFonts w:ascii="Verdana" w:hAnsi="Verdana" w:cs="Verdana"/>
                <w:sz w:val="18"/>
                <w:szCs w:val="18"/>
              </w:rPr>
              <w:t xml:space="preserve"> voor deze loterijen</w:t>
            </w:r>
            <w:r w:rsidRPr="003D5782" w:rsidR="00A26F84">
              <w:rPr>
                <w:rFonts w:ascii="Verdana" w:hAnsi="Verdana" w:cs="Verdana"/>
                <w:sz w:val="18"/>
                <w:szCs w:val="18"/>
              </w:rPr>
              <w:t xml:space="preserve"> een belastingvrije som worden geïntroduceerd. Dit leidt wel tot een hoger algemeen tarief.</w:t>
            </w:r>
          </w:p>
          <w:p w:rsidRPr="003D5782" w:rsidR="00A26F84" w:rsidP="003D5782" w:rsidRDefault="00A26F84" w14:paraId="6DFA33A4" w14:textId="77777777">
            <w:pPr>
              <w:spacing w:line="276" w:lineRule="auto"/>
              <w:ind w:left="360"/>
              <w:cnfStyle w:val="000000000000" w:firstRow="0" w:lastRow="0" w:firstColumn="0" w:lastColumn="0" w:oddVBand="0" w:evenVBand="0" w:oddHBand="0" w:evenHBand="0" w:firstRowFirstColumn="0" w:firstRowLastColumn="0" w:lastRowFirstColumn="0" w:lastRowLastColumn="0"/>
              <w:rPr>
                <w:rFonts w:cs="Verdana"/>
                <w:szCs w:val="18"/>
                <w:lang w:val="nl-NL"/>
              </w:rPr>
            </w:pPr>
          </w:p>
          <w:p w:rsidRPr="003D5782" w:rsidR="00117C37" w:rsidP="003D5782" w:rsidRDefault="00117C37" w14:paraId="2F9EF844" w14:textId="0DF67CF3">
            <w:pPr>
              <w:spacing w:line="276" w:lineRule="auto"/>
              <w:cnfStyle w:val="000000000000" w:firstRow="0" w:lastRow="0" w:firstColumn="0" w:lastColumn="0" w:oddVBand="0" w:evenVBand="0" w:oddHBand="0" w:evenHBand="0" w:firstRowFirstColumn="0" w:firstRowLastColumn="0" w:lastRowFirstColumn="0" w:lastRowLastColumn="0"/>
              <w:rPr>
                <w:i/>
                <w:szCs w:val="18"/>
                <w:lang w:val="nl-NL"/>
              </w:rPr>
            </w:pPr>
            <w:r w:rsidRPr="003D5782">
              <w:rPr>
                <w:i/>
                <w:szCs w:val="18"/>
                <w:lang w:val="nl-NL"/>
              </w:rPr>
              <w:t>Gevolgen kansspelbeleid</w:t>
            </w:r>
            <w:r w:rsidR="00103EF6">
              <w:rPr>
                <w:i/>
                <w:szCs w:val="18"/>
                <w:lang w:val="nl-NL"/>
              </w:rPr>
              <w:t xml:space="preserve"> bescherming van burgers tegen </w:t>
            </w:r>
            <w:proofErr w:type="spellStart"/>
            <w:r w:rsidR="00103EF6">
              <w:rPr>
                <w:i/>
                <w:szCs w:val="18"/>
                <w:lang w:val="nl-NL"/>
              </w:rPr>
              <w:t>kansspelgerelateerde</w:t>
            </w:r>
            <w:proofErr w:type="spellEnd"/>
            <w:r w:rsidR="00103EF6">
              <w:rPr>
                <w:i/>
                <w:szCs w:val="18"/>
                <w:lang w:val="nl-NL"/>
              </w:rPr>
              <w:t xml:space="preserve"> schade en bestrijding illegaal aanbod</w:t>
            </w:r>
            <w:r w:rsidRPr="003D5782">
              <w:rPr>
                <w:i/>
                <w:szCs w:val="18"/>
                <w:lang w:val="nl-NL"/>
              </w:rPr>
              <w:t xml:space="preserve"> </w:t>
            </w:r>
          </w:p>
          <w:p w:rsidRPr="003D5782" w:rsidR="00117C37" w:rsidP="003D5782" w:rsidRDefault="00117C37" w14:paraId="6EB30582" w14:textId="77777777">
            <w:pPr>
              <w:spacing w:line="276" w:lineRule="auto"/>
              <w:cnfStyle w:val="000000000000" w:firstRow="0" w:lastRow="0" w:firstColumn="0" w:lastColumn="0" w:oddVBand="0" w:evenVBand="0" w:oddHBand="0" w:evenHBand="0" w:firstRowFirstColumn="0" w:firstRowLastColumn="0" w:lastRowFirstColumn="0" w:lastRowLastColumn="0"/>
              <w:rPr>
                <w:i/>
                <w:szCs w:val="18"/>
                <w:lang w:val="nl-NL"/>
              </w:rPr>
            </w:pPr>
          </w:p>
          <w:p w:rsidRPr="006640DC" w:rsidR="00F05D9B" w:rsidP="006267A8" w:rsidRDefault="00D23D4C" w14:paraId="60495E1E" w14:textId="46ADA2EE">
            <w:pPr>
              <w:pStyle w:val="Lijstalinea"/>
              <w:spacing w:line="276" w:lineRule="auto"/>
              <w:cnfStyle w:val="000000000000" w:firstRow="0" w:lastRow="0" w:firstColumn="0" w:lastColumn="0" w:oddVBand="0" w:evenVBand="0" w:oddHBand="0" w:evenHBand="0" w:firstRowFirstColumn="0" w:firstRowLastColumn="0" w:lastRowFirstColumn="0" w:lastRowLastColumn="0"/>
              <w:rPr>
                <w:rFonts w:cs="Verdana"/>
                <w:szCs w:val="18"/>
              </w:rPr>
            </w:pPr>
            <w:r w:rsidRPr="006640DC">
              <w:rPr>
                <w:rFonts w:ascii="Verdana" w:hAnsi="Verdana" w:cs="Verdana"/>
                <w:sz w:val="18"/>
                <w:szCs w:val="18"/>
              </w:rPr>
              <w:t xml:space="preserve">In dit scenario is het tarief </w:t>
            </w:r>
            <w:r w:rsidRPr="006640DC" w:rsidR="00404EA2">
              <w:rPr>
                <w:rFonts w:ascii="Verdana" w:hAnsi="Verdana" w:cs="Verdana"/>
                <w:sz w:val="18"/>
                <w:szCs w:val="18"/>
              </w:rPr>
              <w:t xml:space="preserve">voor de </w:t>
            </w:r>
            <w:r w:rsidRPr="006640DC" w:rsidR="006640DC">
              <w:rPr>
                <w:rFonts w:ascii="Verdana" w:hAnsi="Verdana" w:cs="Verdana"/>
                <w:sz w:val="18"/>
                <w:szCs w:val="18"/>
              </w:rPr>
              <w:t>aanbieders van hoog</w:t>
            </w:r>
            <w:r w:rsidR="00C9654B">
              <w:rPr>
                <w:rFonts w:ascii="Verdana" w:hAnsi="Verdana" w:cs="Verdana"/>
                <w:sz w:val="18"/>
                <w:szCs w:val="18"/>
              </w:rPr>
              <w:t xml:space="preserve"> </w:t>
            </w:r>
            <w:r w:rsidRPr="006640DC" w:rsidR="006640DC">
              <w:rPr>
                <w:rFonts w:ascii="Verdana" w:hAnsi="Verdana" w:cs="Verdana"/>
                <w:sz w:val="18"/>
                <w:szCs w:val="18"/>
              </w:rPr>
              <w:t>risico kansspelen (</w:t>
            </w:r>
            <w:proofErr w:type="spellStart"/>
            <w:r w:rsidR="00C9654B">
              <w:rPr>
                <w:rFonts w:ascii="Verdana" w:hAnsi="Verdana" w:cs="Verdana"/>
                <w:sz w:val="18"/>
                <w:szCs w:val="18"/>
              </w:rPr>
              <w:t>l</w:t>
            </w:r>
            <w:r w:rsidRPr="006640DC" w:rsidR="00404EA2">
              <w:rPr>
                <w:rFonts w:ascii="Verdana" w:hAnsi="Verdana" w:cs="Verdana"/>
                <w:sz w:val="18"/>
                <w:szCs w:val="18"/>
              </w:rPr>
              <w:t>andgebonden</w:t>
            </w:r>
            <w:proofErr w:type="spellEnd"/>
            <w:r w:rsidRPr="006640DC" w:rsidR="00404EA2">
              <w:rPr>
                <w:rFonts w:ascii="Verdana" w:hAnsi="Verdana" w:cs="Verdana"/>
                <w:sz w:val="18"/>
                <w:szCs w:val="18"/>
              </w:rPr>
              <w:t xml:space="preserve"> en online</w:t>
            </w:r>
            <w:r w:rsidRPr="006640DC" w:rsidR="006640DC">
              <w:rPr>
                <w:rFonts w:ascii="Verdana" w:hAnsi="Verdana" w:cs="Verdana"/>
                <w:sz w:val="18"/>
                <w:szCs w:val="18"/>
              </w:rPr>
              <w:t>)</w:t>
            </w:r>
            <w:r w:rsidRPr="006640DC" w:rsidR="00404EA2">
              <w:rPr>
                <w:rFonts w:ascii="Verdana" w:hAnsi="Verdana" w:cs="Verdana"/>
                <w:sz w:val="18"/>
                <w:szCs w:val="18"/>
              </w:rPr>
              <w:t xml:space="preserve"> </w:t>
            </w:r>
            <w:r w:rsidRPr="006640DC">
              <w:rPr>
                <w:rFonts w:ascii="Verdana" w:hAnsi="Verdana" w:cs="Verdana"/>
                <w:sz w:val="18"/>
                <w:szCs w:val="18"/>
              </w:rPr>
              <w:t xml:space="preserve">lager dan het </w:t>
            </w:r>
            <w:proofErr w:type="spellStart"/>
            <w:r w:rsidRPr="006640DC">
              <w:rPr>
                <w:rFonts w:ascii="Verdana" w:hAnsi="Verdana" w:cs="Verdana"/>
                <w:sz w:val="18"/>
                <w:szCs w:val="18"/>
              </w:rPr>
              <w:t>basispad</w:t>
            </w:r>
            <w:proofErr w:type="spellEnd"/>
            <w:r w:rsidRPr="006640DC">
              <w:rPr>
                <w:rFonts w:ascii="Verdana" w:hAnsi="Verdana" w:cs="Verdana"/>
                <w:sz w:val="18"/>
                <w:szCs w:val="18"/>
              </w:rPr>
              <w:t xml:space="preserve">. </w:t>
            </w:r>
            <w:r w:rsidRPr="006640DC" w:rsidR="00ED4EC7">
              <w:rPr>
                <w:rFonts w:ascii="Verdana" w:hAnsi="Verdana" w:cs="Verdana"/>
                <w:sz w:val="18"/>
                <w:szCs w:val="18"/>
              </w:rPr>
              <w:t xml:space="preserve">Een lager tarief kan leiden tot </w:t>
            </w:r>
            <w:r w:rsidRPr="006640DC" w:rsidR="006640DC">
              <w:rPr>
                <w:rFonts w:ascii="Verdana" w:hAnsi="Verdana" w:cs="Verdana"/>
                <w:sz w:val="18"/>
                <w:szCs w:val="18"/>
              </w:rPr>
              <w:t xml:space="preserve">betere bedrijfseconomische condities voor passend legaal aanbod, dat een hoog beschermingsniveau heeft. Ook </w:t>
            </w:r>
            <w:r w:rsidRPr="006640DC" w:rsidR="006640DC">
              <w:rPr>
                <w:rFonts w:ascii="Verdana" w:hAnsi="Verdana" w:cs="Verdana"/>
                <w:sz w:val="18"/>
                <w:szCs w:val="18"/>
              </w:rPr>
              <w:lastRenderedPageBreak/>
              <w:t>het risico op uitwijkgedrag naar illegaal aanbod wordt verminderd</w:t>
            </w:r>
            <w:r w:rsidRPr="006640DC" w:rsidR="00ED4EC7">
              <w:rPr>
                <w:rFonts w:ascii="Verdana" w:hAnsi="Verdana" w:cs="Verdana"/>
                <w:sz w:val="18"/>
                <w:szCs w:val="18"/>
              </w:rPr>
              <w:t>. Het spelaanbod van loterijen kan minder attractief worden</w:t>
            </w:r>
            <w:r w:rsidRPr="006640DC" w:rsidR="006640DC">
              <w:rPr>
                <w:rFonts w:ascii="Verdana" w:hAnsi="Verdana" w:cs="Verdana"/>
                <w:sz w:val="18"/>
                <w:szCs w:val="18"/>
              </w:rPr>
              <w:t xml:space="preserve">, </w:t>
            </w:r>
            <w:r w:rsidRPr="006640DC" w:rsidR="00ED4EC7">
              <w:rPr>
                <w:rFonts w:ascii="Verdana" w:hAnsi="Verdana" w:cs="Verdana"/>
                <w:sz w:val="18"/>
                <w:szCs w:val="18"/>
              </w:rPr>
              <w:t xml:space="preserve">omdat </w:t>
            </w:r>
            <w:proofErr w:type="spellStart"/>
            <w:r w:rsidRPr="006640DC" w:rsidR="00ED4EC7">
              <w:rPr>
                <w:rFonts w:ascii="Verdana" w:hAnsi="Verdana" w:cs="Verdana"/>
                <w:sz w:val="18"/>
                <w:szCs w:val="18"/>
              </w:rPr>
              <w:t>lotprijzen</w:t>
            </w:r>
            <w:proofErr w:type="spellEnd"/>
            <w:r w:rsidRPr="006640DC" w:rsidR="00ED4EC7">
              <w:rPr>
                <w:rFonts w:ascii="Verdana" w:hAnsi="Verdana" w:cs="Verdana"/>
                <w:sz w:val="18"/>
                <w:szCs w:val="18"/>
              </w:rPr>
              <w:t xml:space="preserve"> verhoogd moeten worden of prijzen verlaagd. De prijselasticiteit is echter lager bij loter</w:t>
            </w:r>
            <w:r w:rsidRPr="006640DC" w:rsidR="006A6471">
              <w:rPr>
                <w:rFonts w:ascii="Verdana" w:hAnsi="Verdana" w:cs="Verdana"/>
                <w:sz w:val="18"/>
                <w:szCs w:val="18"/>
              </w:rPr>
              <w:t>ij</w:t>
            </w:r>
            <w:r w:rsidRPr="006640DC" w:rsidR="00ED4EC7">
              <w:rPr>
                <w:rFonts w:ascii="Verdana" w:hAnsi="Verdana" w:cs="Verdana"/>
                <w:sz w:val="18"/>
                <w:szCs w:val="18"/>
              </w:rPr>
              <w:t>en dan bij andere aanbieders,</w:t>
            </w:r>
            <w:r w:rsidRPr="003D5782" w:rsidR="006A6471">
              <w:rPr>
                <w:rStyle w:val="Voetnootmarkering"/>
                <w:rFonts w:ascii="Verdana" w:hAnsi="Verdana"/>
                <w:sz w:val="18"/>
                <w:szCs w:val="18"/>
              </w:rPr>
              <w:footnoteReference w:id="4"/>
            </w:r>
            <w:r w:rsidRPr="006640DC" w:rsidR="00ED4EC7">
              <w:rPr>
                <w:rFonts w:ascii="Verdana" w:hAnsi="Verdana" w:cs="Verdana"/>
                <w:sz w:val="18"/>
                <w:szCs w:val="18"/>
              </w:rPr>
              <w:t xml:space="preserve"> waardoor er</w:t>
            </w:r>
            <w:r w:rsidRPr="006640DC" w:rsidR="006A6471">
              <w:rPr>
                <w:rFonts w:ascii="Verdana" w:hAnsi="Verdana" w:cs="Verdana"/>
                <w:sz w:val="18"/>
                <w:szCs w:val="18"/>
              </w:rPr>
              <w:t xml:space="preserve"> waarschijnlijk</w:t>
            </w:r>
            <w:r w:rsidRPr="006640DC" w:rsidR="00ED4EC7">
              <w:rPr>
                <w:rFonts w:ascii="Verdana" w:hAnsi="Verdana" w:cs="Verdana"/>
                <w:sz w:val="18"/>
                <w:szCs w:val="18"/>
              </w:rPr>
              <w:t xml:space="preserve"> minder gevolgen zijn voor </w:t>
            </w:r>
            <w:r w:rsidRPr="006640DC" w:rsidR="006640DC">
              <w:rPr>
                <w:rFonts w:ascii="Verdana" w:hAnsi="Verdana" w:cs="Verdana"/>
                <w:sz w:val="18"/>
                <w:szCs w:val="18"/>
              </w:rPr>
              <w:t>kansspeldoelen</w:t>
            </w:r>
            <w:r w:rsidR="006D43E2">
              <w:rPr>
                <w:rFonts w:ascii="Verdana" w:hAnsi="Verdana" w:cs="Verdana"/>
                <w:sz w:val="18"/>
                <w:szCs w:val="18"/>
              </w:rPr>
              <w:t>.</w:t>
            </w:r>
          </w:p>
          <w:p w:rsidRPr="003D5782" w:rsidR="00331329" w:rsidP="003D5782" w:rsidRDefault="00331329" w14:paraId="147F636C" w14:textId="22D6D644">
            <w:pPr>
              <w:spacing w:line="276" w:lineRule="auto"/>
              <w:cnfStyle w:val="000000000000" w:firstRow="0" w:lastRow="0" w:firstColumn="0" w:lastColumn="0" w:oddVBand="0" w:evenVBand="0" w:oddHBand="0" w:evenHBand="0" w:firstRowFirstColumn="0" w:firstRowLastColumn="0" w:lastRowFirstColumn="0" w:lastRowLastColumn="0"/>
              <w:rPr>
                <w:i/>
                <w:szCs w:val="18"/>
                <w:lang w:val="nl-NL"/>
              </w:rPr>
            </w:pPr>
            <w:r w:rsidRPr="003D5782">
              <w:rPr>
                <w:i/>
                <w:szCs w:val="18"/>
                <w:lang w:val="nl-NL"/>
              </w:rPr>
              <w:t xml:space="preserve">Gevolgen voor de </w:t>
            </w:r>
            <w:r w:rsidRPr="003D5782" w:rsidR="00F05D9B">
              <w:rPr>
                <w:i/>
                <w:szCs w:val="18"/>
                <w:lang w:val="nl-NL"/>
              </w:rPr>
              <w:t>kansspelaanbieders</w:t>
            </w:r>
          </w:p>
          <w:p w:rsidRPr="003D5782" w:rsidR="00B779E8" w:rsidP="003D5782" w:rsidRDefault="00D23D4C" w14:paraId="62B15337" w14:textId="69586F52">
            <w:pPr>
              <w:pStyle w:val="Lijstalinea"/>
              <w:numPr>
                <w:ilvl w:val="0"/>
                <w:numId w:val="31"/>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s="Verdana"/>
                <w:sz w:val="18"/>
                <w:szCs w:val="18"/>
              </w:rPr>
            </w:pPr>
            <w:r w:rsidRPr="003D5782">
              <w:rPr>
                <w:rFonts w:ascii="Verdana" w:hAnsi="Verdana" w:cs="Verdana"/>
                <w:sz w:val="18"/>
                <w:szCs w:val="18"/>
              </w:rPr>
              <w:t>Het belastingtarief</w:t>
            </w:r>
            <w:r w:rsidRPr="003D5782" w:rsidR="006A6471">
              <w:rPr>
                <w:rFonts w:ascii="Verdana" w:hAnsi="Verdana" w:cs="Verdana"/>
                <w:sz w:val="18"/>
                <w:szCs w:val="18"/>
              </w:rPr>
              <w:t xml:space="preserve"> voor </w:t>
            </w:r>
            <w:proofErr w:type="spellStart"/>
            <w:r w:rsidRPr="003D5782" w:rsidR="006A6471">
              <w:rPr>
                <w:rFonts w:ascii="Verdana" w:hAnsi="Verdana" w:cs="Verdana"/>
                <w:sz w:val="18"/>
                <w:szCs w:val="18"/>
              </w:rPr>
              <w:t>landgebonden</w:t>
            </w:r>
            <w:proofErr w:type="spellEnd"/>
            <w:r w:rsidRPr="003D5782" w:rsidR="00404EA2">
              <w:rPr>
                <w:rFonts w:ascii="Verdana" w:hAnsi="Verdana" w:cs="Verdana"/>
                <w:sz w:val="18"/>
                <w:szCs w:val="18"/>
              </w:rPr>
              <w:t xml:space="preserve"> en online</w:t>
            </w:r>
            <w:r w:rsidRPr="003D5782" w:rsidR="006A6471">
              <w:rPr>
                <w:rFonts w:ascii="Verdana" w:hAnsi="Verdana" w:cs="Verdana"/>
                <w:sz w:val="18"/>
                <w:szCs w:val="18"/>
              </w:rPr>
              <w:t xml:space="preserve"> aanbieders </w:t>
            </w:r>
            <w:r w:rsidRPr="003D5782" w:rsidR="00CE592F">
              <w:rPr>
                <w:rFonts w:ascii="Verdana" w:hAnsi="Verdana" w:cs="Verdana"/>
                <w:sz w:val="18"/>
                <w:szCs w:val="18"/>
              </w:rPr>
              <w:t xml:space="preserve">(niet zijnde loterijen) </w:t>
            </w:r>
            <w:r w:rsidRPr="003D5782" w:rsidR="006A6471">
              <w:rPr>
                <w:rFonts w:ascii="Verdana" w:hAnsi="Verdana" w:cs="Verdana"/>
                <w:sz w:val="18"/>
                <w:szCs w:val="18"/>
              </w:rPr>
              <w:t>zal licht dalen</w:t>
            </w:r>
            <w:r w:rsidR="006267A8">
              <w:rPr>
                <w:rFonts w:ascii="Verdana" w:hAnsi="Verdana" w:cs="Verdana"/>
                <w:sz w:val="18"/>
                <w:szCs w:val="18"/>
              </w:rPr>
              <w:t xml:space="preserve"> ten opzichte van </w:t>
            </w:r>
            <w:r w:rsidR="006D43E2">
              <w:rPr>
                <w:rFonts w:ascii="Verdana" w:hAnsi="Verdana" w:cs="Verdana"/>
                <w:sz w:val="18"/>
                <w:szCs w:val="18"/>
              </w:rPr>
              <w:t>het tarief dat ingaat per 1 januari 2026 (37,8%)</w:t>
            </w:r>
            <w:r w:rsidRPr="003D5782" w:rsidR="00404EA2">
              <w:rPr>
                <w:rFonts w:ascii="Verdana" w:hAnsi="Verdana" w:cs="Verdana"/>
                <w:sz w:val="18"/>
                <w:szCs w:val="18"/>
              </w:rPr>
              <w:t xml:space="preserve"> Dit zal deze bedrijven financieel iets meer ruimte geven</w:t>
            </w:r>
            <w:r w:rsidRPr="003D5782" w:rsidR="00117C37">
              <w:rPr>
                <w:rFonts w:ascii="Verdana" w:hAnsi="Verdana" w:cs="Verdana"/>
                <w:sz w:val="18"/>
                <w:szCs w:val="18"/>
              </w:rPr>
              <w:t>.</w:t>
            </w:r>
            <w:r w:rsidRPr="003D5782" w:rsidR="00404EA2">
              <w:rPr>
                <w:rFonts w:ascii="Verdana" w:hAnsi="Verdana" w:cs="Verdana"/>
                <w:sz w:val="18"/>
                <w:szCs w:val="18"/>
              </w:rPr>
              <w:t xml:space="preserve"> De belastingafdrachten van</w:t>
            </w:r>
            <w:r w:rsidRPr="003D5782" w:rsidR="006A6471">
              <w:rPr>
                <w:rFonts w:ascii="Verdana" w:hAnsi="Verdana" w:cs="Verdana"/>
                <w:sz w:val="18"/>
                <w:szCs w:val="18"/>
              </w:rPr>
              <w:t xml:space="preserve"> loterijen z</w:t>
            </w:r>
            <w:r w:rsidRPr="003D5782" w:rsidR="00404EA2">
              <w:rPr>
                <w:rFonts w:ascii="Verdana" w:hAnsi="Verdana" w:cs="Verdana"/>
                <w:sz w:val="18"/>
                <w:szCs w:val="18"/>
              </w:rPr>
              <w:t>ul</w:t>
            </w:r>
            <w:r w:rsidRPr="003D5782" w:rsidR="006A6471">
              <w:rPr>
                <w:rFonts w:ascii="Verdana" w:hAnsi="Verdana" w:cs="Verdana"/>
                <w:sz w:val="18"/>
                <w:szCs w:val="18"/>
              </w:rPr>
              <w:t>l</w:t>
            </w:r>
            <w:r w:rsidRPr="003D5782" w:rsidR="00404EA2">
              <w:rPr>
                <w:rFonts w:ascii="Verdana" w:hAnsi="Verdana" w:cs="Verdana"/>
                <w:sz w:val="18"/>
                <w:szCs w:val="18"/>
              </w:rPr>
              <w:t>en</w:t>
            </w:r>
            <w:r w:rsidRPr="003D5782" w:rsidR="006A6471">
              <w:rPr>
                <w:rFonts w:ascii="Verdana" w:hAnsi="Verdana" w:cs="Verdana"/>
                <w:sz w:val="18"/>
                <w:szCs w:val="18"/>
              </w:rPr>
              <w:t xml:space="preserve"> echter stijgen</w:t>
            </w:r>
            <w:r w:rsidRPr="003D5782" w:rsidR="00404EA2">
              <w:rPr>
                <w:rFonts w:ascii="Verdana" w:hAnsi="Verdana" w:cs="Verdana"/>
                <w:sz w:val="18"/>
                <w:szCs w:val="18"/>
              </w:rPr>
              <w:t>, ondanks de aftrek voor verplichte afdrachten</w:t>
            </w:r>
            <w:r w:rsidRPr="003D5782" w:rsidR="006A6471">
              <w:rPr>
                <w:rFonts w:ascii="Verdana" w:hAnsi="Verdana" w:cs="Verdana"/>
                <w:sz w:val="18"/>
                <w:szCs w:val="18"/>
              </w:rPr>
              <w:t xml:space="preserve">. </w:t>
            </w:r>
            <w:r w:rsidRPr="003D5782" w:rsidR="00E46467">
              <w:rPr>
                <w:rFonts w:ascii="Verdana" w:hAnsi="Verdana" w:cs="Verdana"/>
                <w:sz w:val="18"/>
                <w:szCs w:val="18"/>
              </w:rPr>
              <w:t xml:space="preserve">De grondslag wordt namelijk verbreed door niet te heffen over de prijs, maar over het </w:t>
            </w:r>
            <w:proofErr w:type="spellStart"/>
            <w:r w:rsidRPr="003D5782" w:rsidR="00E46467">
              <w:rPr>
                <w:rFonts w:ascii="Verdana" w:hAnsi="Verdana" w:cs="Verdana"/>
                <w:sz w:val="18"/>
                <w:szCs w:val="18"/>
              </w:rPr>
              <w:t>brutospelresultaat</w:t>
            </w:r>
            <w:proofErr w:type="spellEnd"/>
            <w:r w:rsidRPr="003D5782" w:rsidR="00404EA2">
              <w:rPr>
                <w:rFonts w:ascii="Verdana" w:hAnsi="Verdana" w:cs="Verdana"/>
                <w:sz w:val="18"/>
                <w:szCs w:val="18"/>
              </w:rPr>
              <w:t xml:space="preserve"> en de prijzenvrijstelling wordt afgeschaft. </w:t>
            </w:r>
          </w:p>
          <w:p w:rsidRPr="003D5782" w:rsidR="00E46467" w:rsidP="003D5782" w:rsidRDefault="00B463A3" w14:paraId="3F3CAD91" w14:textId="0B4A29D1">
            <w:pPr>
              <w:pStyle w:val="Lijstalinea"/>
              <w:numPr>
                <w:ilvl w:val="0"/>
                <w:numId w:val="31"/>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s="Verdana"/>
                <w:sz w:val="18"/>
                <w:szCs w:val="18"/>
              </w:rPr>
            </w:pPr>
            <w:r w:rsidRPr="003D5782">
              <w:rPr>
                <w:rFonts w:ascii="Verdana" w:hAnsi="Verdana" w:cs="Verdana"/>
                <w:sz w:val="18"/>
                <w:szCs w:val="18"/>
              </w:rPr>
              <w:t xml:space="preserve">Met name </w:t>
            </w:r>
            <w:proofErr w:type="spellStart"/>
            <w:r w:rsidRPr="003D5782">
              <w:rPr>
                <w:rFonts w:ascii="Verdana" w:hAnsi="Verdana" w:cs="Verdana"/>
                <w:sz w:val="18"/>
                <w:szCs w:val="18"/>
              </w:rPr>
              <w:t>landgebonden</w:t>
            </w:r>
            <w:proofErr w:type="spellEnd"/>
            <w:r w:rsidRPr="003D5782">
              <w:rPr>
                <w:rFonts w:ascii="Verdana" w:hAnsi="Verdana" w:cs="Verdana"/>
                <w:sz w:val="18"/>
                <w:szCs w:val="18"/>
              </w:rPr>
              <w:t xml:space="preserve"> kansspelen </w:t>
            </w:r>
            <w:r w:rsidR="006640DC">
              <w:rPr>
                <w:rFonts w:ascii="Verdana" w:hAnsi="Verdana" w:cs="Verdana"/>
                <w:sz w:val="18"/>
                <w:szCs w:val="18"/>
              </w:rPr>
              <w:t xml:space="preserve">(anders dan loterijen) </w:t>
            </w:r>
            <w:r w:rsidRPr="003D5782">
              <w:rPr>
                <w:rFonts w:ascii="Verdana" w:hAnsi="Verdana" w:cs="Verdana"/>
                <w:sz w:val="18"/>
                <w:szCs w:val="18"/>
              </w:rPr>
              <w:t xml:space="preserve">verkeren in financieel zwaar weer. Verlaging van het tarief voor met name </w:t>
            </w:r>
            <w:proofErr w:type="spellStart"/>
            <w:r w:rsidRPr="003D5782">
              <w:rPr>
                <w:rFonts w:ascii="Verdana" w:hAnsi="Verdana" w:cs="Verdana"/>
                <w:sz w:val="18"/>
                <w:szCs w:val="18"/>
              </w:rPr>
              <w:t>landgebonden</w:t>
            </w:r>
            <w:proofErr w:type="spellEnd"/>
            <w:r w:rsidRPr="003D5782">
              <w:rPr>
                <w:rFonts w:ascii="Verdana" w:hAnsi="Verdana" w:cs="Verdana"/>
                <w:sz w:val="18"/>
                <w:szCs w:val="18"/>
              </w:rPr>
              <w:t xml:space="preserve"> kansspelen, kan deze aanbieders helpen om de financiële druk iets te verlichten. Ten aanzien van </w:t>
            </w:r>
            <w:r w:rsidR="00833886">
              <w:rPr>
                <w:rFonts w:ascii="Verdana" w:hAnsi="Verdana" w:cs="Verdana"/>
                <w:sz w:val="18"/>
                <w:szCs w:val="18"/>
              </w:rPr>
              <w:t xml:space="preserve">met name </w:t>
            </w:r>
            <w:r w:rsidRPr="003D5782">
              <w:rPr>
                <w:rFonts w:ascii="Verdana" w:hAnsi="Verdana" w:cs="Verdana"/>
                <w:sz w:val="18"/>
                <w:szCs w:val="18"/>
              </w:rPr>
              <w:t xml:space="preserve">de online kansspelen worden er de komende periode maatregelen ingevoerd die effect kunnen hebben op de spelers en de concurrentiepositie van legale aanbieders ten opzichte van illegale aanbieders, zoals overkoepelende speellimieten, reclameaanpassingen, en verbeteringen in de zorgplicht. Ook in het geval van online kansspelaanbieders zullen er dus </w:t>
            </w:r>
            <w:r w:rsidR="00833886">
              <w:rPr>
                <w:rFonts w:ascii="Verdana" w:hAnsi="Verdana" w:cs="Verdana"/>
                <w:sz w:val="18"/>
                <w:szCs w:val="18"/>
              </w:rPr>
              <w:t xml:space="preserve">naar verwachting </w:t>
            </w:r>
            <w:r w:rsidRPr="003D5782">
              <w:rPr>
                <w:rFonts w:ascii="Verdana" w:hAnsi="Verdana" w:cs="Verdana"/>
                <w:sz w:val="18"/>
                <w:szCs w:val="18"/>
              </w:rPr>
              <w:t>bedrijfsmatige wijzigingen doorgevoerd moeten worden. Een verlaging van de belastingdruk kan aanbieders helpen hun concurrentiepositie ten opzichte van illegaal aanbod te behouden, zonder daarvoor concessies te hoeven doen op de bescherming van de speler.</w:t>
            </w:r>
          </w:p>
        </w:tc>
      </w:tr>
      <w:tr w:rsidRPr="00E76289" w:rsidR="00331329" w:rsidTr="00B70DBE" w14:paraId="38C6990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6"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hideMark/>
          </w:tcPr>
          <w:p w:rsidRPr="003D5782" w:rsidR="00331329" w:rsidP="003D5782" w:rsidRDefault="005C0F66" w14:paraId="1BE8CAF1" w14:textId="6D346974">
            <w:pPr>
              <w:spacing w:after="255" w:line="276" w:lineRule="auto"/>
              <w:contextualSpacing/>
              <w:rPr>
                <w:szCs w:val="18"/>
              </w:rPr>
            </w:pPr>
            <w:r w:rsidRPr="003D5782">
              <w:rPr>
                <w:szCs w:val="18"/>
                <w:lang w:val="nl-NL"/>
              </w:rPr>
              <w:lastRenderedPageBreak/>
              <w:t>Budgettair</w:t>
            </w:r>
          </w:p>
        </w:tc>
        <w:tc>
          <w:tcPr>
            <w:tcW w:w="7416"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FFFFFF" w:themeFill="background1"/>
          </w:tcPr>
          <w:p w:rsidRPr="003D5782" w:rsidR="00DC067A" w:rsidP="003D5782" w:rsidRDefault="00DC067A" w14:paraId="58AD91E6" w14:textId="7596BE80">
            <w:pPr>
              <w:spacing w:line="276" w:lineRule="auto"/>
              <w:cnfStyle w:val="000000100000" w:firstRow="0" w:lastRow="0" w:firstColumn="0" w:lastColumn="0" w:oddVBand="0" w:evenVBand="0" w:oddHBand="1" w:evenHBand="0" w:firstRowFirstColumn="0" w:firstRowLastColumn="0" w:lastRowFirstColumn="0" w:lastRowLastColumn="0"/>
              <w:rPr>
                <w:i/>
                <w:iCs/>
                <w:szCs w:val="18"/>
                <w:lang w:val="nl-NL"/>
              </w:rPr>
            </w:pPr>
            <w:r w:rsidRPr="003D5782">
              <w:rPr>
                <w:i/>
                <w:iCs/>
                <w:szCs w:val="18"/>
                <w:lang w:val="nl-NL"/>
              </w:rPr>
              <w:t>Uitleg raming</w:t>
            </w:r>
          </w:p>
          <w:p w:rsidRPr="003D5782" w:rsidR="006C1A9C" w:rsidP="003D5782" w:rsidRDefault="006C1A9C" w14:paraId="2F11C57B" w14:textId="639B26B8">
            <w:pPr>
              <w:spacing w:after="255" w:line="276" w:lineRule="auto"/>
              <w:cnfStyle w:val="000000100000" w:firstRow="0" w:lastRow="0" w:firstColumn="0" w:lastColumn="0" w:oddVBand="0" w:evenVBand="0" w:oddHBand="1" w:evenHBand="0" w:firstRowFirstColumn="0" w:firstRowLastColumn="0" w:lastRowFirstColumn="0" w:lastRowLastColumn="0"/>
              <w:rPr>
                <w:szCs w:val="18"/>
                <w:lang w:val="nl-NL"/>
              </w:rPr>
            </w:pPr>
            <w:r w:rsidRPr="003D5782">
              <w:rPr>
                <w:szCs w:val="18"/>
                <w:lang w:val="nl-NL"/>
              </w:rPr>
              <w:t xml:space="preserve">Deze raming heeft als doel om het tarief vast te stellen, en vast te stellen of loterijen meer of minder belasting gaan afdragen ten opzichte van 2023. Alle kansspelen zijn in deze raming belast op dezelfde grondslag: het </w:t>
            </w:r>
            <w:proofErr w:type="spellStart"/>
            <w:r w:rsidRPr="003D5782">
              <w:rPr>
                <w:szCs w:val="18"/>
                <w:lang w:val="nl-NL"/>
              </w:rPr>
              <w:t>brutospelresultaat</w:t>
            </w:r>
            <w:proofErr w:type="spellEnd"/>
            <w:r w:rsidRPr="003D5782">
              <w:rPr>
                <w:szCs w:val="18"/>
                <w:lang w:val="nl-NL"/>
              </w:rPr>
              <w:t xml:space="preserve"> minus verplichte minimum afdrachten (percentage van opbrengst of </w:t>
            </w:r>
            <w:r w:rsidR="00833886">
              <w:rPr>
                <w:szCs w:val="18"/>
                <w:lang w:val="nl-NL"/>
              </w:rPr>
              <w:t>BSR</w:t>
            </w:r>
            <w:r w:rsidRPr="003D5782">
              <w:rPr>
                <w:szCs w:val="18"/>
                <w:lang w:val="nl-NL"/>
              </w:rPr>
              <w:t xml:space="preserve">). Er is </w:t>
            </w:r>
            <w:r w:rsidR="00833886">
              <w:rPr>
                <w:szCs w:val="18"/>
                <w:lang w:val="nl-NL"/>
              </w:rPr>
              <w:t>één</w:t>
            </w:r>
            <w:r w:rsidRPr="003D5782">
              <w:rPr>
                <w:szCs w:val="18"/>
                <w:lang w:val="nl-NL"/>
              </w:rPr>
              <w:t xml:space="preserve"> tarief voor alle kansspelen. Vanwege uitvoerbaarheid is gekozen voor een raming voor het jaar 2030.</w:t>
            </w:r>
          </w:p>
          <w:p w:rsidRPr="003D5782" w:rsidR="00A736D0" w:rsidP="003D5782" w:rsidRDefault="002841B1" w14:paraId="247443A5" w14:textId="670ACD40">
            <w:pPr>
              <w:spacing w:line="276" w:lineRule="auto"/>
              <w:cnfStyle w:val="000000100000" w:firstRow="0" w:lastRow="0" w:firstColumn="0" w:lastColumn="0" w:oddVBand="0" w:evenVBand="0" w:oddHBand="1" w:evenHBand="0" w:firstRowFirstColumn="0" w:firstRowLastColumn="0" w:lastRowFirstColumn="0" w:lastRowLastColumn="0"/>
              <w:rPr>
                <w:i/>
                <w:iCs/>
                <w:szCs w:val="18"/>
                <w:lang w:val="nl-NL"/>
              </w:rPr>
            </w:pPr>
            <w:r w:rsidRPr="003D5782">
              <w:rPr>
                <w:i/>
                <w:iCs/>
                <w:szCs w:val="18"/>
                <w:lang w:val="nl-NL"/>
              </w:rPr>
              <w:t>Resultaat</w:t>
            </w:r>
          </w:p>
          <w:p w:rsidRPr="003D5782" w:rsidR="008F1576" w:rsidP="003D5782" w:rsidRDefault="00A736D0" w14:paraId="0BF2F07D" w14:textId="67D1A07A">
            <w:pPr>
              <w:spacing w:line="276" w:lineRule="auto"/>
              <w:cnfStyle w:val="000000100000" w:firstRow="0" w:lastRow="0" w:firstColumn="0" w:lastColumn="0" w:oddVBand="0" w:evenVBand="0" w:oddHBand="1" w:evenHBand="0" w:firstRowFirstColumn="0" w:firstRowLastColumn="0" w:lastRowFirstColumn="0" w:lastRowLastColumn="0"/>
              <w:rPr>
                <w:szCs w:val="18"/>
                <w:lang w:val="nl-NL"/>
              </w:rPr>
            </w:pPr>
            <w:r w:rsidRPr="003D5782">
              <w:rPr>
                <w:szCs w:val="18"/>
                <w:lang w:val="nl-NL"/>
              </w:rPr>
              <w:t xml:space="preserve">Bij budgetneutraliteit is er </w:t>
            </w:r>
            <w:r w:rsidRPr="003D5782" w:rsidR="002841B1">
              <w:rPr>
                <w:szCs w:val="18"/>
                <w:lang w:val="nl-NL"/>
              </w:rPr>
              <w:t xml:space="preserve">een tarief van </w:t>
            </w:r>
            <w:r w:rsidRPr="003D5782" w:rsidR="001158D1">
              <w:rPr>
                <w:color w:val="171616"/>
                <w:szCs w:val="18"/>
                <w:lang w:val="nl-NL"/>
              </w:rPr>
              <w:t>3</w:t>
            </w:r>
            <w:r w:rsidRPr="003D5782" w:rsidR="0055059F">
              <w:rPr>
                <w:color w:val="171616"/>
                <w:szCs w:val="18"/>
                <w:lang w:val="nl-NL"/>
              </w:rPr>
              <w:t>7</w:t>
            </w:r>
            <w:r w:rsidRPr="003D5782" w:rsidR="001158D1">
              <w:rPr>
                <w:color w:val="171616"/>
                <w:szCs w:val="18"/>
                <w:lang w:val="nl-NL"/>
              </w:rPr>
              <w:t>,</w:t>
            </w:r>
            <w:r w:rsidRPr="003D5782" w:rsidR="0055059F">
              <w:rPr>
                <w:color w:val="171616"/>
                <w:szCs w:val="18"/>
                <w:lang w:val="nl-NL"/>
              </w:rPr>
              <w:t>2</w:t>
            </w:r>
            <w:r w:rsidRPr="003D5782" w:rsidR="002841B1">
              <w:rPr>
                <w:szCs w:val="18"/>
                <w:lang w:val="nl-NL"/>
              </w:rPr>
              <w:t>% nodig</w:t>
            </w:r>
            <w:r w:rsidR="00103EF6">
              <w:rPr>
                <w:szCs w:val="18"/>
                <w:lang w:val="nl-NL"/>
              </w:rPr>
              <w:t xml:space="preserve"> (bij gelijkblijvende omstandigheden)</w:t>
            </w:r>
            <w:r w:rsidRPr="003D5782" w:rsidR="002841B1">
              <w:rPr>
                <w:szCs w:val="18"/>
                <w:lang w:val="nl-NL"/>
              </w:rPr>
              <w:t xml:space="preserve">. Loterijen zullen hierdoor </w:t>
            </w:r>
            <w:r w:rsidRPr="003D5782">
              <w:rPr>
                <w:szCs w:val="18"/>
                <w:lang w:val="nl-NL"/>
              </w:rPr>
              <w:t>same</w:t>
            </w:r>
            <w:r w:rsidRPr="003D5782" w:rsidR="00576134">
              <w:rPr>
                <w:szCs w:val="18"/>
                <w:lang w:val="nl-NL"/>
              </w:rPr>
              <w:t>n</w:t>
            </w:r>
            <w:r w:rsidRPr="003D5782">
              <w:rPr>
                <w:szCs w:val="18"/>
                <w:lang w:val="nl-NL"/>
              </w:rPr>
              <w:t xml:space="preserve"> </w:t>
            </w:r>
            <w:r w:rsidR="006D43E2">
              <w:rPr>
                <w:szCs w:val="18"/>
                <w:lang w:val="nl-NL"/>
              </w:rPr>
              <w:t xml:space="preserve">€ </w:t>
            </w:r>
            <w:r w:rsidRPr="003D5782" w:rsidR="006C1A9C">
              <w:rPr>
                <w:szCs w:val="18"/>
                <w:lang w:val="nl-NL"/>
              </w:rPr>
              <w:t xml:space="preserve">59 </w:t>
            </w:r>
            <w:r w:rsidRPr="003D5782" w:rsidR="002841B1">
              <w:rPr>
                <w:szCs w:val="18"/>
                <w:lang w:val="nl-NL"/>
              </w:rPr>
              <w:t>miljoen</w:t>
            </w:r>
            <w:r w:rsidR="00833886">
              <w:rPr>
                <w:szCs w:val="18"/>
                <w:lang w:val="nl-NL"/>
              </w:rPr>
              <w:t xml:space="preserve"> </w:t>
            </w:r>
            <w:r w:rsidRPr="003D5782">
              <w:rPr>
                <w:szCs w:val="18"/>
                <w:lang w:val="nl-NL"/>
              </w:rPr>
              <w:t>m</w:t>
            </w:r>
            <w:r w:rsidRPr="003D5782" w:rsidR="001158D1">
              <w:rPr>
                <w:szCs w:val="18"/>
                <w:lang w:val="nl-NL"/>
              </w:rPr>
              <w:t>eer</w:t>
            </w:r>
            <w:r w:rsidRPr="003D5782">
              <w:rPr>
                <w:szCs w:val="18"/>
                <w:lang w:val="nl-NL"/>
              </w:rPr>
              <w:t xml:space="preserve"> belasting afdragen.</w:t>
            </w:r>
            <w:r w:rsidRPr="003D5782" w:rsidR="006C1A9C">
              <w:rPr>
                <w:szCs w:val="18"/>
                <w:lang w:val="nl-NL"/>
              </w:rPr>
              <w:t xml:space="preserve"> Overige </w:t>
            </w:r>
            <w:r w:rsidRPr="003D5782" w:rsidR="00F90B73">
              <w:rPr>
                <w:szCs w:val="18"/>
                <w:lang w:val="nl-NL"/>
              </w:rPr>
              <w:t>kansspel</w:t>
            </w:r>
            <w:r w:rsidRPr="003D5782" w:rsidR="006C1A9C">
              <w:rPr>
                <w:szCs w:val="18"/>
                <w:lang w:val="nl-NL"/>
              </w:rPr>
              <w:t>aanbieders gaan iets minder belasting afdragen.</w:t>
            </w:r>
          </w:p>
          <w:p w:rsidRPr="003D5782" w:rsidR="00A736D0" w:rsidP="003D5782" w:rsidRDefault="00A736D0" w14:paraId="68C59CEC" w14:textId="77777777">
            <w:pPr>
              <w:spacing w:line="276" w:lineRule="auto"/>
              <w:cnfStyle w:val="000000100000" w:firstRow="0" w:lastRow="0" w:firstColumn="0" w:lastColumn="0" w:oddVBand="0" w:evenVBand="0" w:oddHBand="1" w:evenHBand="0" w:firstRowFirstColumn="0" w:firstRowLastColumn="0" w:lastRowFirstColumn="0" w:lastRowLastColumn="0"/>
              <w:rPr>
                <w:szCs w:val="18"/>
                <w:lang w:val="nl-NL"/>
              </w:rPr>
            </w:pPr>
          </w:p>
          <w:tbl>
            <w:tblPr>
              <w:tblW w:w="5506" w:type="dxa"/>
              <w:tblCellMar>
                <w:left w:w="70" w:type="dxa"/>
                <w:right w:w="70" w:type="dxa"/>
              </w:tblCellMar>
              <w:tblLook w:val="04A0" w:firstRow="1" w:lastRow="0" w:firstColumn="1" w:lastColumn="0" w:noHBand="0" w:noVBand="1"/>
            </w:tblPr>
            <w:tblGrid>
              <w:gridCol w:w="4420"/>
              <w:gridCol w:w="1086"/>
            </w:tblGrid>
            <w:tr w:rsidRPr="003D5782" w:rsidR="005C0F66" w:rsidTr="00301941" w14:paraId="6CCA0CB7" w14:textId="77777777">
              <w:trPr>
                <w:trHeight w:val="300"/>
              </w:trPr>
              <w:tc>
                <w:tcPr>
                  <w:tcW w:w="442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D5782" w:rsidR="005C0F66" w:rsidP="003D5782" w:rsidRDefault="00A736D0" w14:paraId="3A0D9B3B" w14:textId="4A37FEB8">
                  <w:pPr>
                    <w:spacing w:after="0" w:line="276" w:lineRule="auto"/>
                    <w:rPr>
                      <w:rFonts w:eastAsia="Times New Roman" w:cs="Times New Roman"/>
                      <w:b/>
                      <w:bCs/>
                      <w:color w:val="171616"/>
                      <w:szCs w:val="18"/>
                      <w:lang w:val="nl-NL" w:eastAsia="nl-NL"/>
                    </w:rPr>
                  </w:pPr>
                  <w:r w:rsidRPr="003D5782">
                    <w:rPr>
                      <w:b/>
                      <w:bCs/>
                      <w:szCs w:val="18"/>
                      <w:lang w:val="nl-NL"/>
                    </w:rPr>
                    <w:t>Uniforme belasting BSR met aftrek</w:t>
                  </w:r>
                </w:p>
              </w:tc>
              <w:tc>
                <w:tcPr>
                  <w:tcW w:w="1086" w:type="dxa"/>
                  <w:tcBorders>
                    <w:top w:val="single" w:color="auto" w:sz="4" w:space="0"/>
                    <w:left w:val="nil"/>
                    <w:bottom w:val="single" w:color="auto" w:sz="4" w:space="0"/>
                    <w:right w:val="single" w:color="auto" w:sz="4" w:space="0"/>
                  </w:tcBorders>
                  <w:shd w:val="clear" w:color="auto" w:fill="auto"/>
                  <w:noWrap/>
                  <w:vAlign w:val="bottom"/>
                  <w:hideMark/>
                </w:tcPr>
                <w:p w:rsidRPr="003D5782" w:rsidR="005C0F66" w:rsidP="003D5782" w:rsidRDefault="005C0F66" w14:paraId="3708EF1D" w14:textId="7E12BBB8">
                  <w:pPr>
                    <w:spacing w:after="0" w:line="276" w:lineRule="auto"/>
                    <w:jc w:val="right"/>
                    <w:rPr>
                      <w:rFonts w:eastAsia="Times New Roman" w:cs="Times New Roman"/>
                      <w:b/>
                      <w:bCs/>
                      <w:color w:val="171616"/>
                      <w:szCs w:val="18"/>
                      <w:lang w:val="nl-NL" w:eastAsia="nl-NL"/>
                    </w:rPr>
                  </w:pPr>
                  <w:r w:rsidRPr="003D5782">
                    <w:rPr>
                      <w:rFonts w:eastAsia="Times New Roman" w:cs="Times New Roman"/>
                      <w:b/>
                      <w:bCs/>
                      <w:color w:val="171616"/>
                      <w:szCs w:val="18"/>
                      <w:lang w:val="nl-NL" w:eastAsia="nl-NL"/>
                    </w:rPr>
                    <w:t>20</w:t>
                  </w:r>
                  <w:r w:rsidRPr="003D5782" w:rsidR="00542D25">
                    <w:rPr>
                      <w:rFonts w:eastAsia="Times New Roman" w:cs="Times New Roman"/>
                      <w:b/>
                      <w:bCs/>
                      <w:color w:val="171616"/>
                      <w:szCs w:val="18"/>
                      <w:lang w:val="nl-NL" w:eastAsia="nl-NL"/>
                    </w:rPr>
                    <w:t>30</w:t>
                  </w:r>
                </w:p>
              </w:tc>
            </w:tr>
            <w:tr w:rsidRPr="003D5782" w:rsidR="00EA65B9" w:rsidTr="0055059F" w14:paraId="7BA90A58" w14:textId="77777777">
              <w:trPr>
                <w:trHeight w:val="300"/>
              </w:trPr>
              <w:tc>
                <w:tcPr>
                  <w:tcW w:w="4420" w:type="dxa"/>
                  <w:tcBorders>
                    <w:top w:val="nil"/>
                    <w:left w:val="single" w:color="auto" w:sz="4" w:space="0"/>
                    <w:bottom w:val="single" w:color="auto" w:sz="4" w:space="0"/>
                    <w:right w:val="single" w:color="auto" w:sz="4" w:space="0"/>
                  </w:tcBorders>
                  <w:shd w:val="clear" w:color="auto" w:fill="auto"/>
                  <w:noWrap/>
                  <w:vAlign w:val="bottom"/>
                  <w:hideMark/>
                </w:tcPr>
                <w:p w:rsidRPr="003D5782" w:rsidR="006559D7" w:rsidP="003D5782" w:rsidRDefault="00A736D0" w14:paraId="1E56B8E0" w14:textId="190BF109">
                  <w:pPr>
                    <w:spacing w:after="0" w:line="276" w:lineRule="auto"/>
                    <w:rPr>
                      <w:rFonts w:eastAsia="Times New Roman" w:cs="Times New Roman"/>
                      <w:color w:val="171616"/>
                      <w:szCs w:val="18"/>
                      <w:lang w:val="nl-NL" w:eastAsia="nl-NL"/>
                    </w:rPr>
                  </w:pPr>
                  <w:r w:rsidRPr="003D5782">
                    <w:rPr>
                      <w:rFonts w:eastAsia="Times New Roman" w:cs="Times New Roman"/>
                      <w:color w:val="171616"/>
                      <w:szCs w:val="18"/>
                      <w:lang w:val="nl-NL" w:eastAsia="nl-NL"/>
                    </w:rPr>
                    <w:t>Tarief</w:t>
                  </w:r>
                </w:p>
              </w:tc>
              <w:tc>
                <w:tcPr>
                  <w:tcW w:w="1086" w:type="dxa"/>
                  <w:tcBorders>
                    <w:top w:val="nil"/>
                    <w:left w:val="nil"/>
                    <w:bottom w:val="single" w:color="auto" w:sz="4" w:space="0"/>
                    <w:right w:val="single" w:color="auto" w:sz="4" w:space="0"/>
                  </w:tcBorders>
                  <w:shd w:val="clear" w:color="auto" w:fill="auto"/>
                  <w:noWrap/>
                  <w:vAlign w:val="bottom"/>
                  <w:hideMark/>
                </w:tcPr>
                <w:p w:rsidRPr="003D5782" w:rsidR="006559D7" w:rsidP="003D5782" w:rsidRDefault="001158D1" w14:paraId="7FFF2E88" w14:textId="3CF26EB8">
                  <w:pPr>
                    <w:spacing w:after="0" w:line="276" w:lineRule="auto"/>
                    <w:jc w:val="right"/>
                    <w:rPr>
                      <w:rFonts w:eastAsia="Times New Roman" w:cs="Times New Roman"/>
                      <w:color w:val="171616"/>
                      <w:szCs w:val="18"/>
                      <w:lang w:val="nl-NL" w:eastAsia="nl-NL"/>
                    </w:rPr>
                  </w:pPr>
                  <w:r w:rsidRPr="003D5782">
                    <w:rPr>
                      <w:color w:val="171616"/>
                      <w:szCs w:val="18"/>
                    </w:rPr>
                    <w:t>3</w:t>
                  </w:r>
                  <w:r w:rsidRPr="003D5782" w:rsidR="0055059F">
                    <w:rPr>
                      <w:color w:val="171616"/>
                      <w:szCs w:val="18"/>
                    </w:rPr>
                    <w:t>7</w:t>
                  </w:r>
                  <w:r w:rsidRPr="003D5782" w:rsidR="006559D7">
                    <w:rPr>
                      <w:color w:val="171616"/>
                      <w:szCs w:val="18"/>
                    </w:rPr>
                    <w:t>,</w:t>
                  </w:r>
                  <w:r w:rsidRPr="003D5782" w:rsidR="0055059F">
                    <w:rPr>
                      <w:color w:val="171616"/>
                      <w:szCs w:val="18"/>
                    </w:rPr>
                    <w:t>2</w:t>
                  </w:r>
                  <w:r w:rsidRPr="003D5782" w:rsidR="006559D7">
                    <w:rPr>
                      <w:color w:val="171616"/>
                      <w:szCs w:val="18"/>
                    </w:rPr>
                    <w:t>%</w:t>
                  </w:r>
                </w:p>
              </w:tc>
            </w:tr>
            <w:tr w:rsidRPr="00E76289" w:rsidR="00EA65B9" w:rsidTr="0055059F" w14:paraId="34A59853" w14:textId="77777777">
              <w:trPr>
                <w:trHeight w:val="300"/>
              </w:trPr>
              <w:tc>
                <w:tcPr>
                  <w:tcW w:w="4420" w:type="dxa"/>
                  <w:tcBorders>
                    <w:top w:val="nil"/>
                    <w:left w:val="single" w:color="auto" w:sz="4" w:space="0"/>
                    <w:bottom w:val="single" w:color="auto" w:sz="4" w:space="0"/>
                    <w:right w:val="single" w:color="auto" w:sz="4" w:space="0"/>
                  </w:tcBorders>
                  <w:shd w:val="clear" w:color="auto" w:fill="auto"/>
                  <w:noWrap/>
                  <w:vAlign w:val="bottom"/>
                  <w:hideMark/>
                </w:tcPr>
                <w:p w:rsidRPr="003D5782" w:rsidR="006559D7" w:rsidP="003D5782" w:rsidRDefault="00301941" w14:paraId="5F0A7B0A" w14:textId="0B8C29C6">
                  <w:pPr>
                    <w:spacing w:after="0" w:line="276" w:lineRule="auto"/>
                    <w:rPr>
                      <w:rFonts w:eastAsia="Times New Roman" w:cs="Times New Roman"/>
                      <w:color w:val="171616"/>
                      <w:szCs w:val="18"/>
                      <w:lang w:val="nl-NL" w:eastAsia="nl-NL"/>
                    </w:rPr>
                  </w:pPr>
                  <w:r w:rsidRPr="003D5782">
                    <w:rPr>
                      <w:rFonts w:eastAsia="Times New Roman" w:cs="Times New Roman"/>
                      <w:color w:val="171616"/>
                      <w:szCs w:val="18"/>
                      <w:lang w:val="nl-NL" w:eastAsia="nl-NL"/>
                    </w:rPr>
                    <w:t>M</w:t>
                  </w:r>
                  <w:r w:rsidRPr="003D5782" w:rsidR="00A736D0">
                    <w:rPr>
                      <w:rFonts w:eastAsia="Times New Roman" w:cs="Times New Roman"/>
                      <w:color w:val="171616"/>
                      <w:szCs w:val="18"/>
                      <w:lang w:val="nl-NL" w:eastAsia="nl-NL"/>
                    </w:rPr>
                    <w:t>eer belasting door loterijen (mln.)</w:t>
                  </w:r>
                </w:p>
              </w:tc>
              <w:tc>
                <w:tcPr>
                  <w:tcW w:w="1086" w:type="dxa"/>
                  <w:tcBorders>
                    <w:top w:val="nil"/>
                    <w:left w:val="nil"/>
                    <w:bottom w:val="single" w:color="auto" w:sz="4" w:space="0"/>
                    <w:right w:val="single" w:color="auto" w:sz="4" w:space="0"/>
                  </w:tcBorders>
                  <w:shd w:val="clear" w:color="auto" w:fill="auto"/>
                  <w:noWrap/>
                  <w:vAlign w:val="bottom"/>
                  <w:hideMark/>
                </w:tcPr>
                <w:p w:rsidRPr="003D5782" w:rsidR="006559D7" w:rsidP="003D5782" w:rsidRDefault="006559D7" w14:paraId="301F1CEE" w14:textId="24F7D2E7">
                  <w:pPr>
                    <w:spacing w:after="0" w:line="276" w:lineRule="auto"/>
                    <w:jc w:val="right"/>
                    <w:rPr>
                      <w:rFonts w:eastAsia="Times New Roman" w:cs="Times New Roman"/>
                      <w:color w:val="171616"/>
                      <w:szCs w:val="18"/>
                      <w:lang w:val="nl-NL" w:eastAsia="nl-NL"/>
                    </w:rPr>
                  </w:pPr>
                  <w:r w:rsidRPr="003D5782">
                    <w:rPr>
                      <w:color w:val="171616"/>
                      <w:szCs w:val="18"/>
                      <w:lang w:val="nl-NL"/>
                    </w:rPr>
                    <w:t xml:space="preserve">    </w:t>
                  </w:r>
                  <w:r w:rsidRPr="003D5782" w:rsidR="001158D1">
                    <w:rPr>
                      <w:color w:val="171616"/>
                      <w:szCs w:val="18"/>
                      <w:lang w:val="nl-NL"/>
                    </w:rPr>
                    <w:t>+</w:t>
                  </w:r>
                  <w:r w:rsidRPr="003D5782" w:rsidR="00B62BB3">
                    <w:rPr>
                      <w:color w:val="171616"/>
                      <w:szCs w:val="18"/>
                      <w:lang w:val="nl-NL"/>
                    </w:rPr>
                    <w:t xml:space="preserve"> </w:t>
                  </w:r>
                  <w:r w:rsidRPr="003D5782" w:rsidR="006C1A9C">
                    <w:rPr>
                      <w:color w:val="171616"/>
                      <w:szCs w:val="18"/>
                      <w:lang w:val="nl-NL"/>
                    </w:rPr>
                    <w:t>59</w:t>
                  </w:r>
                  <w:r w:rsidRPr="003D5782">
                    <w:rPr>
                      <w:color w:val="171616"/>
                      <w:szCs w:val="18"/>
                      <w:lang w:val="nl-NL"/>
                    </w:rPr>
                    <w:t xml:space="preserve"> </w:t>
                  </w:r>
                </w:p>
              </w:tc>
            </w:tr>
          </w:tbl>
          <w:p w:rsidRPr="003D5782" w:rsidR="005C0F66" w:rsidP="003D5782" w:rsidRDefault="005C0F66" w14:paraId="7EDC58D8" w14:textId="77777777">
            <w:pPr>
              <w:spacing w:after="255" w:line="276" w:lineRule="auto"/>
              <w:contextualSpacing/>
              <w:cnfStyle w:val="000000100000" w:firstRow="0" w:lastRow="0" w:firstColumn="0" w:lastColumn="0" w:oddVBand="0" w:evenVBand="0" w:oddHBand="1" w:evenHBand="0" w:firstRowFirstColumn="0" w:firstRowLastColumn="0" w:lastRowFirstColumn="0" w:lastRowLastColumn="0"/>
              <w:rPr>
                <w:szCs w:val="18"/>
                <w:lang w:val="nl-NL"/>
              </w:rPr>
            </w:pPr>
          </w:p>
          <w:p w:rsidRPr="003D5782" w:rsidR="00E35129" w:rsidP="003D5782" w:rsidRDefault="00E35129" w14:paraId="19AF5DE5" w14:textId="4B4327B6">
            <w:pPr>
              <w:spacing w:line="276" w:lineRule="auto"/>
              <w:cnfStyle w:val="000000100000" w:firstRow="0" w:lastRow="0" w:firstColumn="0" w:lastColumn="0" w:oddVBand="0" w:evenVBand="0" w:oddHBand="1" w:evenHBand="0" w:firstRowFirstColumn="0" w:firstRowLastColumn="0" w:lastRowFirstColumn="0" w:lastRowLastColumn="0"/>
              <w:rPr>
                <w:i/>
                <w:iCs/>
                <w:szCs w:val="18"/>
                <w:lang w:val="nl-NL"/>
              </w:rPr>
            </w:pPr>
            <w:r w:rsidRPr="003D5782">
              <w:rPr>
                <w:i/>
                <w:iCs/>
                <w:szCs w:val="18"/>
                <w:lang w:val="nl-NL"/>
              </w:rPr>
              <w:t>Aannames en onderbouwing</w:t>
            </w:r>
          </w:p>
          <w:p w:rsidRPr="003D5782" w:rsidR="00261FDD" w:rsidP="003D5782" w:rsidRDefault="00A736D0" w14:paraId="7957B490" w14:textId="0A49F382">
            <w:pPr>
              <w:spacing w:after="255" w:line="276" w:lineRule="auto"/>
              <w:cnfStyle w:val="000000100000" w:firstRow="0" w:lastRow="0" w:firstColumn="0" w:lastColumn="0" w:oddVBand="0" w:evenVBand="0" w:oddHBand="1" w:evenHBand="0" w:firstRowFirstColumn="0" w:firstRowLastColumn="0" w:lastRowFirstColumn="0" w:lastRowLastColumn="0"/>
              <w:rPr>
                <w:szCs w:val="18"/>
                <w:lang w:val="nl-NL"/>
              </w:rPr>
            </w:pPr>
            <w:r w:rsidRPr="003D5782">
              <w:rPr>
                <w:szCs w:val="18"/>
                <w:lang w:val="nl-NL"/>
              </w:rPr>
              <w:t>Deze r</w:t>
            </w:r>
            <w:r w:rsidRPr="003D5782" w:rsidR="004754CE">
              <w:rPr>
                <w:szCs w:val="18"/>
                <w:lang w:val="nl-NL"/>
              </w:rPr>
              <w:t>aming</w:t>
            </w:r>
            <w:r w:rsidRPr="003D5782">
              <w:rPr>
                <w:szCs w:val="18"/>
                <w:lang w:val="nl-NL"/>
              </w:rPr>
              <w:t xml:space="preserve"> is</w:t>
            </w:r>
            <w:r w:rsidR="00833886">
              <w:rPr>
                <w:szCs w:val="18"/>
                <w:lang w:val="nl-NL"/>
              </w:rPr>
              <w:t xml:space="preserve"> </w:t>
            </w:r>
            <w:r w:rsidR="000B08A9">
              <w:rPr>
                <w:szCs w:val="18"/>
                <w:lang w:val="nl-NL"/>
              </w:rPr>
              <w:t>gemaakt</w:t>
            </w:r>
            <w:r w:rsidRPr="003D5782" w:rsidR="004754CE">
              <w:rPr>
                <w:szCs w:val="18"/>
                <w:lang w:val="nl-NL"/>
              </w:rPr>
              <w:t xml:space="preserve"> op basis van data uit 2023 en belastingopbrengsten van het CEP2025.</w:t>
            </w:r>
            <w:r w:rsidRPr="003D5782">
              <w:rPr>
                <w:szCs w:val="18"/>
                <w:lang w:val="nl-NL"/>
              </w:rPr>
              <w:t xml:space="preserve"> </w:t>
            </w:r>
            <w:r w:rsidRPr="003D5782" w:rsidR="004D0CF2">
              <w:rPr>
                <w:szCs w:val="18"/>
                <w:lang w:val="nl-NL"/>
              </w:rPr>
              <w:t xml:space="preserve">Bij aanname zijn er de volgende </w:t>
            </w:r>
            <w:proofErr w:type="spellStart"/>
            <w:r w:rsidRPr="003D5782" w:rsidR="004D0CF2">
              <w:rPr>
                <w:szCs w:val="18"/>
                <w:lang w:val="nl-NL"/>
              </w:rPr>
              <w:t>afdrachtpercentages</w:t>
            </w:r>
            <w:proofErr w:type="spellEnd"/>
            <w:r w:rsidRPr="003D5782" w:rsidR="004D0CF2">
              <w:rPr>
                <w:szCs w:val="18"/>
                <w:lang w:val="nl-NL"/>
              </w:rPr>
              <w:t xml:space="preserve"> gehanteerd</w:t>
            </w:r>
            <w:r w:rsidRPr="003D5782" w:rsidR="004017EB">
              <w:rPr>
                <w:szCs w:val="18"/>
                <w:lang w:val="nl-NL"/>
              </w:rPr>
              <w:t xml:space="preserve"> van de opbrengst (</w:t>
            </w:r>
            <w:r w:rsidRPr="003D5782" w:rsidR="003660A9">
              <w:rPr>
                <w:szCs w:val="18"/>
                <w:lang w:val="nl-NL"/>
              </w:rPr>
              <w:t>p</w:t>
            </w:r>
            <w:r w:rsidRPr="003D5782" w:rsidR="004017EB">
              <w:rPr>
                <w:szCs w:val="18"/>
                <w:lang w:val="nl-NL"/>
              </w:rPr>
              <w:t>rijs * aantal loten)</w:t>
            </w:r>
            <w:r w:rsidRPr="003D5782" w:rsidR="004D0CF2">
              <w:rPr>
                <w:szCs w:val="18"/>
                <w:lang w:val="nl-NL"/>
              </w:rPr>
              <w:t xml:space="preserve">: </w:t>
            </w:r>
          </w:p>
          <w:p w:rsidRPr="003D5782" w:rsidR="00261FDD" w:rsidP="003D5782" w:rsidRDefault="004D0CF2" w14:paraId="183B8C26" w14:textId="77777777">
            <w:pPr>
              <w:pStyle w:val="Lijstalinea"/>
              <w:numPr>
                <w:ilvl w:val="0"/>
                <w:numId w:val="25"/>
              </w:numPr>
              <w:spacing w:after="255"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3D5782">
              <w:rPr>
                <w:rFonts w:ascii="Verdana" w:hAnsi="Verdana"/>
                <w:sz w:val="18"/>
                <w:szCs w:val="18"/>
              </w:rPr>
              <w:t>Staatsloterij:</w:t>
            </w:r>
            <w:r w:rsidRPr="003D5782" w:rsidR="00A736D0">
              <w:rPr>
                <w:rFonts w:ascii="Verdana" w:hAnsi="Verdana"/>
                <w:sz w:val="18"/>
                <w:szCs w:val="18"/>
              </w:rPr>
              <w:t xml:space="preserve"> </w:t>
            </w:r>
            <w:r w:rsidRPr="003D5782">
              <w:rPr>
                <w:rFonts w:ascii="Verdana" w:hAnsi="Verdana"/>
                <w:sz w:val="18"/>
                <w:szCs w:val="18"/>
              </w:rPr>
              <w:t>15%;</w:t>
            </w:r>
            <w:r w:rsidRPr="003D5782" w:rsidR="00A736D0">
              <w:rPr>
                <w:rFonts w:ascii="Verdana" w:hAnsi="Verdana"/>
                <w:sz w:val="18"/>
                <w:szCs w:val="18"/>
              </w:rPr>
              <w:t xml:space="preserve"> </w:t>
            </w:r>
          </w:p>
          <w:p w:rsidRPr="003D5782" w:rsidR="00261FDD" w:rsidP="003D5782" w:rsidRDefault="004D0CF2" w14:paraId="1F83E9B8" w14:textId="77777777">
            <w:pPr>
              <w:pStyle w:val="Lijstalinea"/>
              <w:numPr>
                <w:ilvl w:val="0"/>
                <w:numId w:val="25"/>
              </w:numPr>
              <w:spacing w:after="255"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roofErr w:type="spellStart"/>
            <w:r w:rsidRPr="003D5782">
              <w:rPr>
                <w:rFonts w:ascii="Verdana" w:hAnsi="Verdana"/>
                <w:sz w:val="18"/>
                <w:szCs w:val="18"/>
              </w:rPr>
              <w:t>Goededoel</w:t>
            </w:r>
            <w:r w:rsidRPr="003D5782" w:rsidR="00261FDD">
              <w:rPr>
                <w:rFonts w:ascii="Verdana" w:hAnsi="Verdana"/>
                <w:sz w:val="18"/>
                <w:szCs w:val="18"/>
              </w:rPr>
              <w:t>en</w:t>
            </w:r>
            <w:r w:rsidRPr="003D5782">
              <w:rPr>
                <w:rFonts w:ascii="Verdana" w:hAnsi="Verdana"/>
                <w:sz w:val="18"/>
                <w:szCs w:val="18"/>
              </w:rPr>
              <w:t>loterijen</w:t>
            </w:r>
            <w:proofErr w:type="spellEnd"/>
            <w:r w:rsidRPr="003D5782">
              <w:rPr>
                <w:rFonts w:ascii="Verdana" w:hAnsi="Verdana"/>
                <w:sz w:val="18"/>
                <w:szCs w:val="18"/>
              </w:rPr>
              <w:t xml:space="preserve"> 40%; </w:t>
            </w:r>
          </w:p>
          <w:p w:rsidRPr="003D5782" w:rsidR="00261FDD" w:rsidP="003D5782" w:rsidRDefault="004D0CF2" w14:paraId="640D333B" w14:textId="77777777">
            <w:pPr>
              <w:pStyle w:val="Lijstalinea"/>
              <w:numPr>
                <w:ilvl w:val="0"/>
                <w:numId w:val="25"/>
              </w:numPr>
              <w:spacing w:after="255"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3D5782">
              <w:rPr>
                <w:rFonts w:ascii="Verdana" w:hAnsi="Verdana"/>
                <w:sz w:val="18"/>
                <w:szCs w:val="18"/>
              </w:rPr>
              <w:t>Instantloterijen 0%;</w:t>
            </w:r>
            <w:r w:rsidRPr="003D5782" w:rsidR="004D0526">
              <w:rPr>
                <w:rFonts w:ascii="Verdana" w:hAnsi="Verdana"/>
                <w:sz w:val="18"/>
                <w:szCs w:val="18"/>
              </w:rPr>
              <w:t xml:space="preserve"> </w:t>
            </w:r>
          </w:p>
          <w:p w:rsidRPr="003D5782" w:rsidR="00261FDD" w:rsidP="003D5782" w:rsidRDefault="004D0CF2" w14:paraId="3CA85E6B" w14:textId="77777777">
            <w:pPr>
              <w:pStyle w:val="Lijstalinea"/>
              <w:numPr>
                <w:ilvl w:val="0"/>
                <w:numId w:val="25"/>
              </w:numPr>
              <w:spacing w:after="255"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3D5782">
              <w:rPr>
                <w:rFonts w:ascii="Verdana" w:hAnsi="Verdana"/>
                <w:sz w:val="18"/>
                <w:szCs w:val="18"/>
              </w:rPr>
              <w:lastRenderedPageBreak/>
              <w:t>Sportweddenschappen 10% van BSR.</w:t>
            </w:r>
            <w:r w:rsidRPr="003D5782" w:rsidR="00822BD9">
              <w:rPr>
                <w:rFonts w:ascii="Verdana" w:hAnsi="Verdana"/>
                <w:sz w:val="18"/>
                <w:szCs w:val="18"/>
              </w:rPr>
              <w:t xml:space="preserve"> </w:t>
            </w:r>
          </w:p>
          <w:p w:rsidRPr="000605DC" w:rsidR="000954F7" w:rsidP="000605DC" w:rsidRDefault="00A736D0" w14:paraId="4CBE3A12" w14:textId="3A604DBA">
            <w:pPr>
              <w:spacing w:after="255" w:line="276" w:lineRule="auto"/>
              <w:cnfStyle w:val="000000100000" w:firstRow="0" w:lastRow="0" w:firstColumn="0" w:lastColumn="0" w:oddVBand="0" w:evenVBand="0" w:oddHBand="1" w:evenHBand="0" w:firstRowFirstColumn="0" w:firstRowLastColumn="0" w:lastRowFirstColumn="0" w:lastRowLastColumn="0"/>
              <w:rPr>
                <w:szCs w:val="18"/>
                <w:lang w:val="nl-NL"/>
              </w:rPr>
            </w:pPr>
            <w:r w:rsidRPr="003D5782">
              <w:rPr>
                <w:szCs w:val="18"/>
                <w:lang w:val="nl-NL"/>
              </w:rPr>
              <w:t>I</w:t>
            </w:r>
            <w:r w:rsidRPr="003D5782" w:rsidR="00466D99">
              <w:rPr>
                <w:szCs w:val="18"/>
                <w:lang w:val="nl-NL"/>
              </w:rPr>
              <w:t>nstantloterijen hebben ook</w:t>
            </w:r>
            <w:r w:rsidRPr="003D5782" w:rsidR="00822BD9">
              <w:rPr>
                <w:szCs w:val="18"/>
                <w:lang w:val="nl-NL"/>
              </w:rPr>
              <w:t xml:space="preserve"> </w:t>
            </w:r>
            <w:r w:rsidRPr="003D5782" w:rsidR="00466D99">
              <w:rPr>
                <w:szCs w:val="18"/>
                <w:lang w:val="nl-NL"/>
              </w:rPr>
              <w:t>afdrachten, deze konden niet worden meegenomen in het rekenkundig model.</w:t>
            </w:r>
            <w:r w:rsidRPr="003D5782">
              <w:rPr>
                <w:szCs w:val="18"/>
                <w:lang w:val="nl-NL"/>
              </w:rPr>
              <w:t xml:space="preserve"> </w:t>
            </w:r>
            <w:r w:rsidRPr="000605DC">
              <w:rPr>
                <w:szCs w:val="18"/>
                <w:lang w:val="nl-NL"/>
              </w:rPr>
              <w:t>E</w:t>
            </w:r>
            <w:r w:rsidRPr="000605DC" w:rsidR="00AE2EC5">
              <w:rPr>
                <w:szCs w:val="18"/>
                <w:lang w:val="nl-NL"/>
              </w:rPr>
              <w:t>r zijn gedragseffecten van 50% gehanteerd voor tarieven boven 37,8%.</w:t>
            </w:r>
            <w:r w:rsidRPr="000605DC" w:rsidR="00B3113D">
              <w:rPr>
                <w:szCs w:val="18"/>
                <w:lang w:val="nl-NL"/>
              </w:rPr>
              <w:t xml:space="preserve"> Overige gedragseffecten zijn 20%. Gedragseffecten zijn op basis van </w:t>
            </w:r>
            <w:r w:rsidRPr="000605DC" w:rsidR="00550683">
              <w:rPr>
                <w:szCs w:val="18"/>
                <w:lang w:val="nl-NL"/>
              </w:rPr>
              <w:t xml:space="preserve">een </w:t>
            </w:r>
            <w:r w:rsidRPr="000605DC" w:rsidR="00B3113D">
              <w:rPr>
                <w:szCs w:val="18"/>
                <w:lang w:val="nl-NL"/>
              </w:rPr>
              <w:t>KSB tarief van 37,8% in 20</w:t>
            </w:r>
            <w:r w:rsidRPr="000605DC" w:rsidR="000D10C6">
              <w:rPr>
                <w:szCs w:val="18"/>
                <w:lang w:val="nl-NL"/>
              </w:rPr>
              <w:t>30</w:t>
            </w:r>
            <w:r w:rsidRPr="000605DC">
              <w:rPr>
                <w:szCs w:val="18"/>
                <w:lang w:val="nl-NL"/>
              </w:rPr>
              <w:t xml:space="preserve">. Eventuele veranderingen in </w:t>
            </w:r>
            <w:r w:rsidRPr="000605DC" w:rsidR="000954F7">
              <w:rPr>
                <w:szCs w:val="18"/>
                <w:lang w:val="nl-NL"/>
              </w:rPr>
              <w:t>Inkomstenbelasting</w:t>
            </w:r>
            <w:r w:rsidRPr="000605DC">
              <w:rPr>
                <w:szCs w:val="18"/>
                <w:lang w:val="nl-NL"/>
              </w:rPr>
              <w:t>, vennootschapsbelasting en staatsdeelneming</w:t>
            </w:r>
            <w:r w:rsidRPr="000605DC" w:rsidR="000954F7">
              <w:rPr>
                <w:szCs w:val="18"/>
                <w:lang w:val="nl-NL"/>
              </w:rPr>
              <w:t xml:space="preserve"> zijn niet meegenomen.</w:t>
            </w:r>
            <w:r w:rsidR="00087F2C">
              <w:rPr>
                <w:szCs w:val="18"/>
                <w:lang w:val="nl-NL"/>
              </w:rPr>
              <w:t xml:space="preserve"> </w:t>
            </w:r>
          </w:p>
        </w:tc>
      </w:tr>
      <w:tr w:rsidRPr="00E76289" w:rsidR="00331329" w:rsidTr="00B70DBE" w14:paraId="098B04C1" w14:textId="77777777">
        <w:tc>
          <w:tcPr>
            <w:cnfStyle w:val="001000000000" w:firstRow="0" w:lastRow="0" w:firstColumn="1" w:lastColumn="0" w:oddVBand="0" w:evenVBand="0" w:oddHBand="0" w:evenHBand="0" w:firstRowFirstColumn="0" w:firstRowLastColumn="0" w:lastRowFirstColumn="0" w:lastRowLastColumn="0"/>
            <w:tcW w:w="2286"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hideMark/>
          </w:tcPr>
          <w:p w:rsidRPr="003D5782" w:rsidR="00331329" w:rsidP="003D5782" w:rsidRDefault="00331329" w14:paraId="35EAAA18" w14:textId="77777777">
            <w:pPr>
              <w:spacing w:after="255" w:line="276" w:lineRule="auto"/>
              <w:contextualSpacing/>
              <w:rPr>
                <w:szCs w:val="18"/>
                <w:lang w:val="nl-NL"/>
              </w:rPr>
            </w:pPr>
            <w:r w:rsidRPr="003D5782">
              <w:rPr>
                <w:szCs w:val="18"/>
                <w:lang w:val="nl-NL"/>
              </w:rPr>
              <w:lastRenderedPageBreak/>
              <w:t>Uitvoeringsaspecten</w:t>
            </w:r>
          </w:p>
        </w:tc>
        <w:tc>
          <w:tcPr>
            <w:tcW w:w="7416"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FFFFFF" w:themeFill="background1"/>
            <w:hideMark/>
          </w:tcPr>
          <w:p w:rsidRPr="003D5782" w:rsidR="00331329" w:rsidP="003D5782" w:rsidRDefault="00331329" w14:paraId="068C25CD" w14:textId="77777777">
            <w:pPr>
              <w:spacing w:line="276" w:lineRule="auto"/>
              <w:cnfStyle w:val="000000000000" w:firstRow="0" w:lastRow="0" w:firstColumn="0" w:lastColumn="0" w:oddVBand="0" w:evenVBand="0" w:oddHBand="0" w:evenHBand="0" w:firstRowFirstColumn="0" w:firstRowLastColumn="0" w:lastRowFirstColumn="0" w:lastRowLastColumn="0"/>
              <w:rPr>
                <w:rFonts w:eastAsia="SymbolMT" w:cs="Verdana"/>
                <w:i/>
                <w:iCs/>
                <w:szCs w:val="18"/>
                <w:lang w:val="nl-NL"/>
              </w:rPr>
            </w:pPr>
            <w:r w:rsidRPr="003D5782">
              <w:rPr>
                <w:rFonts w:eastAsia="SymbolMT" w:cs="Verdana"/>
                <w:i/>
                <w:iCs/>
                <w:szCs w:val="18"/>
                <w:lang w:val="nl-NL"/>
              </w:rPr>
              <w:t>Uitvoerbaarheid bedrijven</w:t>
            </w:r>
          </w:p>
          <w:p w:rsidRPr="003D5782" w:rsidR="00331329" w:rsidP="003D5782" w:rsidRDefault="0060708E" w14:paraId="4992DD19" w14:textId="4BF423A3">
            <w:pPr>
              <w:spacing w:line="276" w:lineRule="auto"/>
              <w:cnfStyle w:val="000000000000" w:firstRow="0" w:lastRow="0" w:firstColumn="0" w:lastColumn="0" w:oddVBand="0" w:evenVBand="0" w:oddHBand="0" w:evenHBand="0" w:firstRowFirstColumn="0" w:firstRowLastColumn="0" w:lastRowFirstColumn="0" w:lastRowLastColumn="0"/>
              <w:rPr>
                <w:rFonts w:eastAsia="SymbolMT" w:cs="Verdana"/>
                <w:szCs w:val="18"/>
                <w:lang w:val="nl-NL"/>
              </w:rPr>
            </w:pPr>
            <w:r>
              <w:rPr>
                <w:rFonts w:eastAsia="SymbolMT" w:cs="Verdana"/>
                <w:szCs w:val="18"/>
                <w:lang w:val="nl-NL"/>
              </w:rPr>
              <w:t>De kansspelaanbieders die nu al kansspelbelasting betalen over hun BSR hoeven geen aanpassingen te doen. Loterijen moeten daarentegen het BSR (de totale inleg en het uitgekeerde prijzengeld) gaan registreren.</w:t>
            </w:r>
          </w:p>
          <w:p w:rsidRPr="003D5782" w:rsidR="00331329" w:rsidP="003D5782" w:rsidRDefault="00331329" w14:paraId="2238E7B1" w14:textId="77777777">
            <w:pPr>
              <w:spacing w:line="276" w:lineRule="auto"/>
              <w:cnfStyle w:val="000000000000" w:firstRow="0" w:lastRow="0" w:firstColumn="0" w:lastColumn="0" w:oddVBand="0" w:evenVBand="0" w:oddHBand="0" w:evenHBand="0" w:firstRowFirstColumn="0" w:firstRowLastColumn="0" w:lastRowFirstColumn="0" w:lastRowLastColumn="0"/>
              <w:rPr>
                <w:rFonts w:eastAsia="SymbolMT" w:cs="Verdana"/>
                <w:szCs w:val="18"/>
                <w:lang w:val="nl-NL"/>
              </w:rPr>
            </w:pPr>
          </w:p>
          <w:p w:rsidRPr="003D5782" w:rsidR="00331329" w:rsidP="003D5782" w:rsidRDefault="00331329" w14:paraId="493EF83C" w14:textId="77777777">
            <w:pPr>
              <w:spacing w:line="276" w:lineRule="auto"/>
              <w:cnfStyle w:val="000000000000" w:firstRow="0" w:lastRow="0" w:firstColumn="0" w:lastColumn="0" w:oddVBand="0" w:evenVBand="0" w:oddHBand="0" w:evenHBand="0" w:firstRowFirstColumn="0" w:firstRowLastColumn="0" w:lastRowFirstColumn="0" w:lastRowLastColumn="0"/>
              <w:rPr>
                <w:rFonts w:eastAsia="SymbolMT" w:cs="Verdana"/>
                <w:i/>
                <w:iCs/>
                <w:szCs w:val="18"/>
                <w:lang w:val="nl-NL"/>
              </w:rPr>
            </w:pPr>
            <w:r w:rsidRPr="003D5782">
              <w:rPr>
                <w:rFonts w:eastAsia="SymbolMT" w:cs="Verdana"/>
                <w:i/>
                <w:iCs/>
                <w:szCs w:val="18"/>
                <w:lang w:val="nl-NL"/>
              </w:rPr>
              <w:t xml:space="preserve">Uitvoerbaarheid BD </w:t>
            </w:r>
          </w:p>
          <w:p w:rsidRPr="003D5782" w:rsidR="00B030C5" w:rsidP="003D5782" w:rsidRDefault="009F4987" w14:paraId="74A05CA3" w14:textId="4C1B1DBE">
            <w:pPr>
              <w:spacing w:line="276" w:lineRule="auto"/>
              <w:cnfStyle w:val="000000000000" w:firstRow="0" w:lastRow="0" w:firstColumn="0" w:lastColumn="0" w:oddVBand="0" w:evenVBand="0" w:oddHBand="0" w:evenHBand="0" w:firstRowFirstColumn="0" w:firstRowLastColumn="0" w:lastRowFirstColumn="0" w:lastRowLastColumn="0"/>
              <w:rPr>
                <w:rFonts w:eastAsia="SymbolMT" w:cs="Verdana"/>
                <w:szCs w:val="18"/>
                <w:lang w:val="nl-NL"/>
              </w:rPr>
            </w:pPr>
            <w:r w:rsidRPr="003D5782">
              <w:rPr>
                <w:rFonts w:eastAsia="SymbolMT" w:cs="Verdana"/>
                <w:szCs w:val="18"/>
                <w:lang w:val="nl-NL"/>
              </w:rPr>
              <w:t xml:space="preserve">De Belastingdienst verwacht een toename van het aantal bezwaarschriften en beroepsprocedures. Andere aanbieders van kansspelen (zoals bijvoorbeeld exploitanten van kansspelautomaten) zullen waarschijnlijk beroep doen op het gelijkheidsbeginsel, aangezien zij </w:t>
            </w:r>
            <w:r w:rsidR="0060708E">
              <w:rPr>
                <w:rFonts w:eastAsia="SymbolMT" w:cs="Verdana"/>
                <w:szCs w:val="18"/>
                <w:lang w:val="nl-NL"/>
              </w:rPr>
              <w:t>beperkt of geen</w:t>
            </w:r>
            <w:r w:rsidRPr="003D5782" w:rsidR="0060708E">
              <w:rPr>
                <w:rFonts w:eastAsia="SymbolMT" w:cs="Verdana"/>
                <w:szCs w:val="18"/>
                <w:lang w:val="nl-NL"/>
              </w:rPr>
              <w:t xml:space="preserve"> </w:t>
            </w:r>
            <w:r w:rsidRPr="003D5782">
              <w:rPr>
                <w:rFonts w:eastAsia="SymbolMT" w:cs="Verdana"/>
                <w:szCs w:val="18"/>
                <w:lang w:val="nl-NL"/>
              </w:rPr>
              <w:t xml:space="preserve">gebruik zouden </w:t>
            </w:r>
            <w:r w:rsidRPr="003D5782" w:rsidR="00991D4F">
              <w:rPr>
                <w:rFonts w:eastAsia="SymbolMT" w:cs="Verdana"/>
                <w:szCs w:val="18"/>
                <w:lang w:val="nl-NL"/>
              </w:rPr>
              <w:t>kunnen</w:t>
            </w:r>
            <w:r w:rsidRPr="003D5782">
              <w:rPr>
                <w:rFonts w:eastAsia="SymbolMT" w:cs="Verdana"/>
                <w:szCs w:val="18"/>
                <w:lang w:val="nl-NL"/>
              </w:rPr>
              <w:t xml:space="preserve"> maken van de aftrekmogelijkheid.</w:t>
            </w:r>
            <w:r w:rsidR="0060708E">
              <w:rPr>
                <w:rFonts w:eastAsia="SymbolMT" w:cs="Verdana"/>
                <w:szCs w:val="18"/>
                <w:lang w:val="nl-NL"/>
              </w:rPr>
              <w:t xml:space="preserve"> Deze aanbieders hebben namelijk geen verplichte afdracht aan goede doelen.</w:t>
            </w:r>
            <w:r w:rsidRPr="003D5782" w:rsidR="00991D4F">
              <w:rPr>
                <w:rFonts w:eastAsia="SymbolMT" w:cs="Verdana"/>
                <w:szCs w:val="18"/>
                <w:lang w:val="nl-NL"/>
              </w:rPr>
              <w:t xml:space="preserve"> </w:t>
            </w:r>
          </w:p>
          <w:p w:rsidRPr="003D5782" w:rsidR="003F3A96" w:rsidP="003D5782" w:rsidRDefault="003F3A96" w14:paraId="2488EC2A" w14:textId="77777777">
            <w:pPr>
              <w:spacing w:line="276" w:lineRule="auto"/>
              <w:cnfStyle w:val="000000000000" w:firstRow="0" w:lastRow="0" w:firstColumn="0" w:lastColumn="0" w:oddVBand="0" w:evenVBand="0" w:oddHBand="0" w:evenHBand="0" w:firstRowFirstColumn="0" w:firstRowLastColumn="0" w:lastRowFirstColumn="0" w:lastRowLastColumn="0"/>
              <w:rPr>
                <w:rFonts w:eastAsia="SymbolMT" w:cs="Verdana"/>
                <w:szCs w:val="18"/>
                <w:lang w:val="nl-NL"/>
              </w:rPr>
            </w:pPr>
          </w:p>
          <w:p w:rsidRPr="003D5782" w:rsidR="009700A7" w:rsidP="003D5782" w:rsidRDefault="006C1CC8" w14:paraId="7C1D4272" w14:textId="63FAE858">
            <w:pPr>
              <w:spacing w:line="276" w:lineRule="auto"/>
              <w:cnfStyle w:val="000000000000" w:firstRow="0" w:lastRow="0" w:firstColumn="0" w:lastColumn="0" w:oddVBand="0" w:evenVBand="0" w:oddHBand="0" w:evenHBand="0" w:firstRowFirstColumn="0" w:firstRowLastColumn="0" w:lastRowFirstColumn="0" w:lastRowLastColumn="0"/>
              <w:rPr>
                <w:rFonts w:eastAsia="SymbolMT" w:cs="Verdana"/>
                <w:i/>
                <w:iCs/>
                <w:szCs w:val="18"/>
                <w:lang w:val="nl-NL"/>
              </w:rPr>
            </w:pPr>
            <w:r w:rsidRPr="003D5782">
              <w:rPr>
                <w:rFonts w:eastAsia="SymbolMT" w:cs="Verdana"/>
                <w:szCs w:val="18"/>
                <w:lang w:val="nl-NL"/>
              </w:rPr>
              <w:t>Het aangifteformulier voor de kansspelbelasting wordt momenteel gemoderniseerd. Naar huidige inzichten zal deze modernisering op zijn vroegst rond medio 2025 zijn afgerond. Aanpassing van dit digitale formulier vergt in beginsel een structuuraanpassing in de IV-portfolio’s van de ketens Overige Middelen en Interactie.</w:t>
            </w:r>
            <w:r w:rsidRPr="003D5782" w:rsidR="009F4987">
              <w:rPr>
                <w:rFonts w:eastAsia="SymbolMT" w:cs="Verdana"/>
                <w:szCs w:val="18"/>
                <w:lang w:val="nl-NL"/>
              </w:rPr>
              <w:t xml:space="preserve"> Naar huidige inzichten biedt </w:t>
            </w:r>
            <w:r w:rsidRPr="003D5782">
              <w:rPr>
                <w:rFonts w:eastAsia="SymbolMT" w:cs="Verdana"/>
                <w:szCs w:val="18"/>
                <w:lang w:val="nl-NL"/>
              </w:rPr>
              <w:t>het</w:t>
            </w:r>
            <w:r w:rsidRPr="003D5782" w:rsidR="009F4987">
              <w:rPr>
                <w:rFonts w:eastAsia="SymbolMT" w:cs="Verdana"/>
                <w:szCs w:val="18"/>
                <w:lang w:val="nl-NL"/>
              </w:rPr>
              <w:t xml:space="preserve"> portfolio</w:t>
            </w:r>
            <w:r w:rsidRPr="003D5782">
              <w:rPr>
                <w:rFonts w:eastAsia="SymbolMT" w:cs="Verdana"/>
                <w:szCs w:val="18"/>
                <w:lang w:val="nl-NL"/>
              </w:rPr>
              <w:t xml:space="preserve"> van Overige Middelen</w:t>
            </w:r>
            <w:r w:rsidRPr="003D5782" w:rsidR="009F4987">
              <w:rPr>
                <w:rFonts w:eastAsia="SymbolMT" w:cs="Verdana"/>
                <w:szCs w:val="18"/>
                <w:lang w:val="nl-NL"/>
              </w:rPr>
              <w:t xml:space="preserve"> tot 2030 geen ruimte voor nieuwe beleidswensen, i</w:t>
            </w:r>
            <w:r w:rsidRPr="003D5782" w:rsidR="00C22D1F">
              <w:rPr>
                <w:rFonts w:eastAsia="SymbolMT" w:cs="Verdana"/>
                <w:szCs w:val="18"/>
                <w:lang w:val="nl-NL"/>
              </w:rPr>
              <w:t xml:space="preserve">n verband met </w:t>
            </w:r>
            <w:r w:rsidRPr="003D5782" w:rsidR="009F4987">
              <w:rPr>
                <w:rFonts w:eastAsia="SymbolMT" w:cs="Verdana"/>
                <w:szCs w:val="18"/>
                <w:lang w:val="nl-NL"/>
              </w:rPr>
              <w:t>de inpassing van diverse beleidswensen, moderniseringstrajecten en groot onderhoud.</w:t>
            </w:r>
          </w:p>
        </w:tc>
      </w:tr>
      <w:tr w:rsidRPr="003D5782" w:rsidR="00331329" w:rsidTr="00B70DBE" w14:paraId="6FA5601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6"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hideMark/>
          </w:tcPr>
          <w:p w:rsidRPr="003D5782" w:rsidR="00331329" w:rsidP="003D5782" w:rsidRDefault="00331329" w14:paraId="354224F9" w14:textId="0B57B136">
            <w:pPr>
              <w:spacing w:after="255" w:line="276" w:lineRule="auto"/>
              <w:contextualSpacing/>
              <w:rPr>
                <w:szCs w:val="18"/>
                <w:lang w:val="nl-NL"/>
              </w:rPr>
            </w:pPr>
            <w:proofErr w:type="spellStart"/>
            <w:r w:rsidRPr="003D5782">
              <w:rPr>
                <w:szCs w:val="18"/>
              </w:rPr>
              <w:t>Juridische</w:t>
            </w:r>
            <w:proofErr w:type="spellEnd"/>
            <w:r w:rsidRPr="003D5782" w:rsidR="009700A7">
              <w:rPr>
                <w:szCs w:val="18"/>
              </w:rPr>
              <w:t xml:space="preserve"> </w:t>
            </w:r>
            <w:proofErr w:type="spellStart"/>
            <w:r w:rsidRPr="003D5782" w:rsidR="009700A7">
              <w:rPr>
                <w:szCs w:val="18"/>
              </w:rPr>
              <w:t>en</w:t>
            </w:r>
            <w:proofErr w:type="spellEnd"/>
            <w:r w:rsidRPr="003D5782" w:rsidR="009700A7">
              <w:rPr>
                <w:szCs w:val="18"/>
              </w:rPr>
              <w:t xml:space="preserve"> </w:t>
            </w:r>
            <w:proofErr w:type="spellStart"/>
            <w:r w:rsidRPr="003D5782" w:rsidR="009700A7">
              <w:rPr>
                <w:szCs w:val="18"/>
              </w:rPr>
              <w:t>overige</w:t>
            </w:r>
            <w:proofErr w:type="spellEnd"/>
            <w:r w:rsidRPr="003D5782">
              <w:rPr>
                <w:szCs w:val="18"/>
              </w:rPr>
              <w:t xml:space="preserve"> </w:t>
            </w:r>
            <w:proofErr w:type="spellStart"/>
            <w:r w:rsidRPr="003D5782">
              <w:rPr>
                <w:szCs w:val="18"/>
              </w:rPr>
              <w:t>aspecten</w:t>
            </w:r>
            <w:proofErr w:type="spellEnd"/>
          </w:p>
        </w:tc>
        <w:tc>
          <w:tcPr>
            <w:tcW w:w="7416"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FFFFFF" w:themeFill="background1"/>
          </w:tcPr>
          <w:p w:rsidRPr="003D5782" w:rsidR="00DB2959" w:rsidP="00E253FE" w:rsidRDefault="00D07C8D" w14:paraId="45913B86" w14:textId="46CEC93B">
            <w:pPr>
              <w:spacing w:line="276" w:lineRule="auto"/>
              <w:cnfStyle w:val="000000100000" w:firstRow="0" w:lastRow="0" w:firstColumn="0" w:lastColumn="0" w:oddVBand="0" w:evenVBand="0" w:oddHBand="1" w:evenHBand="0" w:firstRowFirstColumn="0" w:firstRowLastColumn="0" w:lastRowFirstColumn="0" w:lastRowLastColumn="0"/>
              <w:rPr>
                <w:szCs w:val="18"/>
                <w:lang w:val="nl-NL"/>
              </w:rPr>
            </w:pPr>
            <w:r>
              <w:rPr>
                <w:szCs w:val="18"/>
                <w:lang w:val="nl-NL"/>
              </w:rPr>
              <w:t xml:space="preserve">Het spelen bij een niet vergunde aanbieder is verboden, maar een prijswinnende speler is wel belastingplichtig voor de kansspelbelasting. </w:t>
            </w:r>
            <w:r w:rsidRPr="003D5782" w:rsidR="009700A7">
              <w:rPr>
                <w:szCs w:val="18"/>
                <w:lang w:val="nl-NL"/>
              </w:rPr>
              <w:t xml:space="preserve">Op dit moment zijn de </w:t>
            </w:r>
            <w:r w:rsidRPr="003D5782" w:rsidR="00B779E8">
              <w:rPr>
                <w:szCs w:val="18"/>
                <w:lang w:val="nl-NL"/>
              </w:rPr>
              <w:t xml:space="preserve">winnende </w:t>
            </w:r>
            <w:r w:rsidRPr="003D5782" w:rsidR="009700A7">
              <w:rPr>
                <w:szCs w:val="18"/>
                <w:lang w:val="nl-NL"/>
              </w:rPr>
              <w:t>spelers en niet de aanbieders van buitenlandse (niet in Nederland vergunde) online kansspelen belastingplichtig.</w:t>
            </w:r>
            <w:r>
              <w:rPr>
                <w:szCs w:val="18"/>
                <w:lang w:val="nl-NL"/>
              </w:rPr>
              <w:t xml:space="preserve"> </w:t>
            </w:r>
            <w:r w:rsidRPr="003D5782" w:rsidR="009700A7">
              <w:rPr>
                <w:szCs w:val="18"/>
                <w:lang w:val="nl-NL"/>
              </w:rPr>
              <w:t xml:space="preserve">Deze aanbieders zullen zich </w:t>
            </w:r>
            <w:r w:rsidRPr="003D5782" w:rsidR="00B779E8">
              <w:rPr>
                <w:szCs w:val="18"/>
                <w:lang w:val="nl-NL"/>
              </w:rPr>
              <w:t xml:space="preserve">in deze variant </w:t>
            </w:r>
            <w:r w:rsidRPr="003D5782" w:rsidR="009700A7">
              <w:rPr>
                <w:szCs w:val="18"/>
                <w:lang w:val="nl-NL"/>
              </w:rPr>
              <w:t xml:space="preserve">ofwel in Nederland moeten registreren bij de Belastingdienst om belasting te betalen ofwel de speler </w:t>
            </w:r>
            <w:r w:rsidRPr="003D5782" w:rsidR="00B779E8">
              <w:rPr>
                <w:szCs w:val="18"/>
                <w:lang w:val="nl-NL"/>
              </w:rPr>
              <w:t>blijft</w:t>
            </w:r>
            <w:r w:rsidRPr="003D5782" w:rsidR="009700A7">
              <w:rPr>
                <w:szCs w:val="18"/>
                <w:lang w:val="nl-NL"/>
              </w:rPr>
              <w:t xml:space="preserve"> belastingplichtig</w:t>
            </w:r>
            <w:r w:rsidRPr="003D5782" w:rsidR="00B779E8">
              <w:rPr>
                <w:szCs w:val="18"/>
                <w:lang w:val="nl-NL"/>
              </w:rPr>
              <w:t>. Een speler die in deze variant belastingplichtig is</w:t>
            </w:r>
            <w:r w:rsidRPr="003D5782" w:rsidR="009700A7">
              <w:rPr>
                <w:szCs w:val="18"/>
                <w:lang w:val="nl-NL"/>
              </w:rPr>
              <w:t xml:space="preserve"> zou in strijd kunnen </w:t>
            </w:r>
            <w:r w:rsidRPr="003D5782" w:rsidR="00F60F30">
              <w:rPr>
                <w:szCs w:val="18"/>
                <w:lang w:val="nl-NL"/>
              </w:rPr>
              <w:t>handelen</w:t>
            </w:r>
            <w:r w:rsidRPr="003D5782" w:rsidR="009700A7">
              <w:rPr>
                <w:szCs w:val="18"/>
                <w:lang w:val="nl-NL"/>
              </w:rPr>
              <w:t xml:space="preserve"> met </w:t>
            </w:r>
            <w:r w:rsidRPr="003D5782" w:rsidR="00B779E8">
              <w:rPr>
                <w:szCs w:val="18"/>
                <w:lang w:val="nl-NL"/>
              </w:rPr>
              <w:t>het vrije verkeer</w:t>
            </w:r>
            <w:r w:rsidRPr="003D5782" w:rsidR="009700A7">
              <w:rPr>
                <w:szCs w:val="18"/>
                <w:lang w:val="nl-NL"/>
              </w:rPr>
              <w:t xml:space="preserve"> van diensten, omdat het spelen in een buitenlandse EU-situatie nadeliger is dan het spelen in een binnenlandse situatie. Dit aspect zou verder onderzocht moeten worden.</w:t>
            </w:r>
          </w:p>
        </w:tc>
      </w:tr>
    </w:tbl>
    <w:p w:rsidR="00B06701" w:rsidP="003D5782" w:rsidRDefault="00B06701" w14:paraId="7C340F41" w14:textId="77777777">
      <w:pPr>
        <w:spacing w:line="276" w:lineRule="auto"/>
        <w:rPr>
          <w:szCs w:val="18"/>
          <w:lang w:val="nl-NL"/>
        </w:rPr>
      </w:pPr>
    </w:p>
    <w:p w:rsidR="00434E5A" w:rsidP="003D5782" w:rsidRDefault="00434E5A" w14:paraId="5FCA15C3" w14:textId="77777777">
      <w:pPr>
        <w:spacing w:line="276" w:lineRule="auto"/>
        <w:rPr>
          <w:szCs w:val="18"/>
          <w:lang w:val="nl-NL"/>
        </w:rPr>
      </w:pPr>
    </w:p>
    <w:p w:rsidR="00434E5A" w:rsidP="003D5782" w:rsidRDefault="00434E5A" w14:paraId="4AB426F8" w14:textId="77777777">
      <w:pPr>
        <w:spacing w:line="276" w:lineRule="auto"/>
        <w:rPr>
          <w:szCs w:val="18"/>
          <w:lang w:val="nl-NL"/>
        </w:rPr>
      </w:pPr>
    </w:p>
    <w:p w:rsidR="00434E5A" w:rsidP="003D5782" w:rsidRDefault="00434E5A" w14:paraId="69C395B4" w14:textId="77777777">
      <w:pPr>
        <w:spacing w:line="276" w:lineRule="auto"/>
        <w:rPr>
          <w:szCs w:val="18"/>
          <w:lang w:val="nl-NL"/>
        </w:rPr>
      </w:pPr>
    </w:p>
    <w:p w:rsidR="00434E5A" w:rsidP="003D5782" w:rsidRDefault="00434E5A" w14:paraId="7D4AC346" w14:textId="77777777">
      <w:pPr>
        <w:spacing w:line="276" w:lineRule="auto"/>
        <w:rPr>
          <w:szCs w:val="18"/>
          <w:lang w:val="nl-NL"/>
        </w:rPr>
      </w:pPr>
    </w:p>
    <w:p w:rsidR="00434E5A" w:rsidP="003D5782" w:rsidRDefault="00434E5A" w14:paraId="7CE2E83C" w14:textId="77777777">
      <w:pPr>
        <w:spacing w:line="276" w:lineRule="auto"/>
        <w:rPr>
          <w:szCs w:val="18"/>
          <w:lang w:val="nl-NL"/>
        </w:rPr>
      </w:pPr>
    </w:p>
    <w:p w:rsidR="00434E5A" w:rsidP="003D5782" w:rsidRDefault="00434E5A" w14:paraId="603FAA67" w14:textId="77777777">
      <w:pPr>
        <w:spacing w:line="276" w:lineRule="auto"/>
        <w:rPr>
          <w:szCs w:val="18"/>
          <w:lang w:val="nl-NL"/>
        </w:rPr>
      </w:pPr>
    </w:p>
    <w:p w:rsidR="00434E5A" w:rsidP="003D5782" w:rsidRDefault="00434E5A" w14:paraId="14E498C6" w14:textId="77777777">
      <w:pPr>
        <w:spacing w:line="276" w:lineRule="auto"/>
        <w:rPr>
          <w:szCs w:val="18"/>
          <w:lang w:val="nl-NL"/>
        </w:rPr>
      </w:pPr>
    </w:p>
    <w:p w:rsidR="00434E5A" w:rsidP="003D5782" w:rsidRDefault="00434E5A" w14:paraId="58C111C5" w14:textId="77777777">
      <w:pPr>
        <w:spacing w:line="276" w:lineRule="auto"/>
        <w:rPr>
          <w:szCs w:val="18"/>
          <w:lang w:val="nl-NL"/>
        </w:rPr>
      </w:pPr>
    </w:p>
    <w:tbl>
      <w:tblPr>
        <w:tblStyle w:val="Rastertabel4-Accent1"/>
        <w:tblW w:w="9702" w:type="dxa"/>
        <w:tblInd w:w="0" w:type="dxa"/>
        <w:tblLook w:val="04A0" w:firstRow="1" w:lastRow="0" w:firstColumn="1" w:lastColumn="0" w:noHBand="0" w:noVBand="1"/>
      </w:tblPr>
      <w:tblGrid>
        <w:gridCol w:w="2286"/>
        <w:gridCol w:w="7416"/>
      </w:tblGrid>
      <w:tr w:rsidRPr="003D5782" w:rsidR="00E253FE" w:rsidTr="00915E50" w14:paraId="1D4D655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02" w:type="dxa"/>
            <w:gridSpan w:val="2"/>
            <w:hideMark/>
          </w:tcPr>
          <w:p w:rsidRPr="003D5782" w:rsidR="00E253FE" w:rsidP="00915E50" w:rsidRDefault="00E253FE" w14:paraId="43A49DFA" w14:textId="77777777">
            <w:pPr>
              <w:pStyle w:val="Kop2"/>
              <w:spacing w:before="0" w:line="276" w:lineRule="auto"/>
              <w:contextualSpacing/>
              <w:rPr>
                <w:color w:val="auto"/>
                <w:szCs w:val="18"/>
                <w:lang w:val="nl-NL"/>
              </w:rPr>
            </w:pPr>
            <w:r w:rsidRPr="003D5782">
              <w:rPr>
                <w:color w:val="auto"/>
                <w:szCs w:val="18"/>
                <w:lang w:val="nl-NL"/>
              </w:rPr>
              <w:lastRenderedPageBreak/>
              <w:t>Belasting op inleg</w:t>
            </w:r>
          </w:p>
        </w:tc>
      </w:tr>
      <w:tr w:rsidRPr="003D5782" w:rsidR="00E253FE" w:rsidTr="00915E50" w14:paraId="57C13E8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02" w:type="dxa"/>
            <w:gridSpan w:val="2"/>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hideMark/>
          </w:tcPr>
          <w:p w:rsidRPr="003D5782" w:rsidR="00E253FE" w:rsidP="00915E50" w:rsidRDefault="00E253FE" w14:paraId="3D35E5E4" w14:textId="77777777">
            <w:pPr>
              <w:tabs>
                <w:tab w:val="left" w:pos="8160"/>
              </w:tabs>
              <w:spacing w:after="255" w:line="276" w:lineRule="auto"/>
              <w:contextualSpacing/>
              <w:rPr>
                <w:szCs w:val="18"/>
              </w:rPr>
            </w:pPr>
            <w:proofErr w:type="spellStart"/>
            <w:r w:rsidRPr="003D5782">
              <w:rPr>
                <w:szCs w:val="18"/>
              </w:rPr>
              <w:t>Omschrijving</w:t>
            </w:r>
            <w:proofErr w:type="spellEnd"/>
            <w:r w:rsidRPr="003D5782">
              <w:rPr>
                <w:szCs w:val="18"/>
              </w:rPr>
              <w:t xml:space="preserve"> van de </w:t>
            </w:r>
            <w:proofErr w:type="spellStart"/>
            <w:r w:rsidRPr="003D5782">
              <w:rPr>
                <w:szCs w:val="18"/>
              </w:rPr>
              <w:t>maatregel</w:t>
            </w:r>
            <w:proofErr w:type="spellEnd"/>
            <w:r w:rsidRPr="003D5782">
              <w:rPr>
                <w:szCs w:val="18"/>
              </w:rPr>
              <w:tab/>
            </w:r>
          </w:p>
        </w:tc>
      </w:tr>
      <w:tr w:rsidRPr="00E76289" w:rsidR="00E253FE" w:rsidTr="00915E50" w14:paraId="22AC31D9" w14:textId="77777777">
        <w:tc>
          <w:tcPr>
            <w:cnfStyle w:val="001000000000" w:firstRow="0" w:lastRow="0" w:firstColumn="1" w:lastColumn="0" w:oddVBand="0" w:evenVBand="0" w:oddHBand="0" w:evenHBand="0" w:firstRowFirstColumn="0" w:firstRowLastColumn="0" w:lastRowFirstColumn="0" w:lastRowLastColumn="0"/>
            <w:tcW w:w="9702" w:type="dxa"/>
            <w:gridSpan w:val="2"/>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FFFFFF" w:themeFill="background1"/>
          </w:tcPr>
          <w:p w:rsidRPr="003D5782" w:rsidR="00E253FE" w:rsidP="00915E50" w:rsidRDefault="00E253FE" w14:paraId="2B87E389" w14:textId="060ABB26">
            <w:pPr>
              <w:pStyle w:val="Lijstalinea"/>
              <w:numPr>
                <w:ilvl w:val="0"/>
                <w:numId w:val="7"/>
              </w:numPr>
              <w:tabs>
                <w:tab w:val="left" w:pos="8160"/>
              </w:tabs>
              <w:spacing w:after="255" w:line="276" w:lineRule="auto"/>
              <w:rPr>
                <w:rFonts w:ascii="Verdana" w:hAnsi="Verdana"/>
                <w:b w:val="0"/>
                <w:bCs w:val="0"/>
                <w:sz w:val="18"/>
                <w:szCs w:val="18"/>
              </w:rPr>
            </w:pPr>
            <w:r w:rsidRPr="003D5782">
              <w:rPr>
                <w:rFonts w:ascii="Verdana" w:hAnsi="Verdana"/>
                <w:b w:val="0"/>
                <w:bCs w:val="0"/>
                <w:sz w:val="18"/>
                <w:szCs w:val="18"/>
              </w:rPr>
              <w:t xml:space="preserve">Met deze heffingssystematiek vindt een verschuiving plaats van de heffing </w:t>
            </w:r>
            <w:r w:rsidR="00103EF6">
              <w:rPr>
                <w:rFonts w:ascii="Verdana" w:hAnsi="Verdana"/>
                <w:b w:val="0"/>
                <w:bCs w:val="0"/>
                <w:sz w:val="18"/>
                <w:szCs w:val="18"/>
              </w:rPr>
              <w:t>bij</w:t>
            </w:r>
            <w:r w:rsidRPr="003D5782">
              <w:rPr>
                <w:rFonts w:ascii="Verdana" w:hAnsi="Verdana"/>
                <w:b w:val="0"/>
                <w:bCs w:val="0"/>
                <w:sz w:val="18"/>
                <w:szCs w:val="18"/>
              </w:rPr>
              <w:t xml:space="preserve"> de prijswinnaar naar heffing over gebruik. </w:t>
            </w:r>
          </w:p>
          <w:p w:rsidRPr="003D5782" w:rsidR="00E253FE" w:rsidP="00915E50" w:rsidRDefault="00E253FE" w14:paraId="1730BE3D" w14:textId="77777777">
            <w:pPr>
              <w:pStyle w:val="Lijstalinea"/>
              <w:numPr>
                <w:ilvl w:val="0"/>
                <w:numId w:val="7"/>
              </w:numPr>
              <w:tabs>
                <w:tab w:val="left" w:pos="8160"/>
              </w:tabs>
              <w:spacing w:after="255" w:line="276" w:lineRule="auto"/>
              <w:rPr>
                <w:rFonts w:ascii="Verdana" w:hAnsi="Verdana"/>
                <w:b w:val="0"/>
                <w:bCs w:val="0"/>
                <w:sz w:val="18"/>
                <w:szCs w:val="18"/>
              </w:rPr>
            </w:pPr>
            <w:r w:rsidRPr="003D5782">
              <w:rPr>
                <w:rFonts w:ascii="Verdana" w:hAnsi="Verdana"/>
                <w:b w:val="0"/>
                <w:bCs w:val="0"/>
                <w:sz w:val="18"/>
                <w:szCs w:val="18"/>
              </w:rPr>
              <w:t xml:space="preserve">Verbreding van de belastinggrondslag (van </w:t>
            </w:r>
            <w:proofErr w:type="spellStart"/>
            <w:r w:rsidRPr="003D5782">
              <w:rPr>
                <w:rFonts w:ascii="Verdana" w:hAnsi="Verdana"/>
                <w:b w:val="0"/>
                <w:bCs w:val="0"/>
                <w:sz w:val="18"/>
                <w:szCs w:val="18"/>
              </w:rPr>
              <w:t>brutospelresultaat</w:t>
            </w:r>
            <w:proofErr w:type="spellEnd"/>
            <w:r w:rsidRPr="003D5782">
              <w:rPr>
                <w:rFonts w:ascii="Verdana" w:hAnsi="Verdana"/>
                <w:b w:val="0"/>
                <w:bCs w:val="0"/>
                <w:sz w:val="18"/>
                <w:szCs w:val="18"/>
              </w:rPr>
              <w:t xml:space="preserve"> </w:t>
            </w:r>
            <w:r>
              <w:rPr>
                <w:rFonts w:ascii="Verdana" w:hAnsi="Verdana"/>
                <w:b w:val="0"/>
                <w:bCs w:val="0"/>
                <w:sz w:val="18"/>
                <w:szCs w:val="18"/>
              </w:rPr>
              <w:t xml:space="preserve">(BSR) </w:t>
            </w:r>
            <w:r w:rsidRPr="003D5782">
              <w:rPr>
                <w:rFonts w:ascii="Verdana" w:hAnsi="Verdana"/>
                <w:b w:val="0"/>
                <w:bCs w:val="0"/>
                <w:sz w:val="18"/>
                <w:szCs w:val="18"/>
              </w:rPr>
              <w:t xml:space="preserve">naar alleen de inleg belasten) met een uniform tarief. Deze inlegbelasting wordt geheven bij de aanbieder over de totale inleg per </w:t>
            </w:r>
            <w:proofErr w:type="spellStart"/>
            <w:r w:rsidRPr="003D5782">
              <w:rPr>
                <w:rFonts w:ascii="Verdana" w:hAnsi="Verdana"/>
                <w:b w:val="0"/>
                <w:bCs w:val="0"/>
                <w:sz w:val="18"/>
                <w:szCs w:val="18"/>
              </w:rPr>
              <w:t>tijdsvak</w:t>
            </w:r>
            <w:proofErr w:type="spellEnd"/>
            <w:r w:rsidRPr="003D5782">
              <w:rPr>
                <w:rFonts w:ascii="Verdana" w:hAnsi="Verdana"/>
                <w:b w:val="0"/>
                <w:bCs w:val="0"/>
                <w:sz w:val="18"/>
                <w:szCs w:val="18"/>
              </w:rPr>
              <w:t xml:space="preserve">.  </w:t>
            </w:r>
          </w:p>
          <w:p w:rsidRPr="003D5782" w:rsidR="00E253FE" w:rsidP="00915E50" w:rsidRDefault="00E253FE" w14:paraId="43FED7DE" w14:textId="77777777">
            <w:pPr>
              <w:pStyle w:val="Lijstalinea"/>
              <w:numPr>
                <w:ilvl w:val="0"/>
                <w:numId w:val="7"/>
              </w:numPr>
              <w:tabs>
                <w:tab w:val="left" w:pos="8160"/>
              </w:tabs>
              <w:spacing w:after="255" w:line="276" w:lineRule="auto"/>
              <w:rPr>
                <w:rFonts w:ascii="Verdana" w:hAnsi="Verdana"/>
                <w:sz w:val="18"/>
                <w:szCs w:val="18"/>
              </w:rPr>
            </w:pPr>
            <w:r w:rsidRPr="003D5782">
              <w:rPr>
                <w:rFonts w:ascii="Verdana" w:hAnsi="Verdana"/>
                <w:b w:val="0"/>
                <w:bCs w:val="0"/>
                <w:sz w:val="18"/>
                <w:szCs w:val="18"/>
              </w:rPr>
              <w:t>Prijzen worden niet belast, waardoor de prijzenvrijstelling afgeschaft kan worden. Loterijen gaan minder belasting betalen. Hierdoor ontstaat ruimte om meer afdrachten te doen.</w:t>
            </w:r>
          </w:p>
        </w:tc>
      </w:tr>
      <w:tr w:rsidRPr="003D5782" w:rsidR="00E253FE" w:rsidTr="00915E50" w14:paraId="1AB3C82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02" w:type="dxa"/>
            <w:gridSpan w:val="2"/>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tcPr>
          <w:p w:rsidRPr="003D5782" w:rsidR="00E253FE" w:rsidP="00915E50" w:rsidRDefault="00E253FE" w14:paraId="43010F46" w14:textId="77777777">
            <w:pPr>
              <w:autoSpaceDE w:val="0"/>
              <w:autoSpaceDN w:val="0"/>
              <w:adjustRightInd w:val="0"/>
              <w:spacing w:line="276" w:lineRule="auto"/>
              <w:rPr>
                <w:rFonts w:cs="Verdana"/>
                <w:szCs w:val="18"/>
              </w:rPr>
            </w:pPr>
            <w:proofErr w:type="spellStart"/>
            <w:r w:rsidRPr="003D5782">
              <w:rPr>
                <w:rFonts w:cs="Verdana"/>
                <w:szCs w:val="18"/>
              </w:rPr>
              <w:t>Achtergrond</w:t>
            </w:r>
            <w:proofErr w:type="spellEnd"/>
            <w:r w:rsidRPr="003D5782">
              <w:rPr>
                <w:rFonts w:cs="Verdana"/>
                <w:szCs w:val="18"/>
              </w:rPr>
              <w:t>/rationale</w:t>
            </w:r>
          </w:p>
        </w:tc>
      </w:tr>
      <w:tr w:rsidRPr="00E76289" w:rsidR="00E253FE" w:rsidTr="00915E50" w14:paraId="6D098591" w14:textId="77777777">
        <w:tc>
          <w:tcPr>
            <w:cnfStyle w:val="001000000000" w:firstRow="0" w:lastRow="0" w:firstColumn="1" w:lastColumn="0" w:oddVBand="0" w:evenVBand="0" w:oddHBand="0" w:evenHBand="0" w:firstRowFirstColumn="0" w:firstRowLastColumn="0" w:lastRowFirstColumn="0" w:lastRowLastColumn="0"/>
            <w:tcW w:w="9702" w:type="dxa"/>
            <w:gridSpan w:val="2"/>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FFFFFF" w:themeFill="background1"/>
          </w:tcPr>
          <w:p w:rsidRPr="003D5782" w:rsidR="00E253FE" w:rsidP="00915E50" w:rsidRDefault="00E253FE" w14:paraId="7E130E5B" w14:textId="77777777">
            <w:pPr>
              <w:spacing w:line="276" w:lineRule="auto"/>
              <w:rPr>
                <w:rFonts w:cs="Calibri"/>
                <w:szCs w:val="18"/>
                <w:lang w:val="nl-NL"/>
              </w:rPr>
            </w:pPr>
            <w:r w:rsidRPr="003D5782">
              <w:rPr>
                <w:rFonts w:cs="Verdana"/>
                <w:b w:val="0"/>
                <w:bCs w:val="0"/>
                <w:szCs w:val="18"/>
                <w:lang w:val="nl-NL"/>
              </w:rPr>
              <w:t>Een belasting over de inleg is genoemd bij de behandeling van het Belastingplan 2025.</w:t>
            </w:r>
            <w:r w:rsidRPr="003D5782">
              <w:rPr>
                <w:rStyle w:val="Voetnootmarkering"/>
                <w:rFonts w:ascii="Verdana" w:hAnsi="Verdana"/>
                <w:szCs w:val="18"/>
                <w:lang w:val="nl-NL"/>
              </w:rPr>
              <w:footnoteReference w:id="5"/>
            </w:r>
            <w:r w:rsidRPr="003D5782">
              <w:rPr>
                <w:rFonts w:cs="Verdana"/>
                <w:b w:val="0"/>
                <w:bCs w:val="0"/>
                <w:szCs w:val="18"/>
                <w:lang w:val="nl-NL"/>
              </w:rPr>
              <w:t xml:space="preserve"> De heffing hiervan bij de speler is lastig vorm te geven, omdat bij elke inleg belasting geheven zou moeten worden. Dit is moeilijk uitvoerbaar voor de aanbieders van kansspelen. De heffing over de inleg bij de aanbieder per tijdvak is eenvoudiger vorm te geven.</w:t>
            </w:r>
            <w:r w:rsidRPr="003D5782">
              <w:rPr>
                <w:rFonts w:cs="Calibri"/>
                <w:b w:val="0"/>
                <w:bCs w:val="0"/>
                <w:szCs w:val="18"/>
                <w:lang w:val="nl-NL"/>
              </w:rPr>
              <w:t xml:space="preserve">  </w:t>
            </w:r>
          </w:p>
          <w:p w:rsidRPr="003D5782" w:rsidR="00E253FE" w:rsidP="00915E50" w:rsidRDefault="00E253FE" w14:paraId="3C1AB91D" w14:textId="77777777">
            <w:pPr>
              <w:spacing w:line="276" w:lineRule="auto"/>
              <w:rPr>
                <w:rFonts w:cs="Calibri"/>
                <w:b w:val="0"/>
                <w:bCs w:val="0"/>
                <w:szCs w:val="18"/>
                <w:lang w:val="nl-NL"/>
              </w:rPr>
            </w:pPr>
            <w:r w:rsidRPr="003D5782">
              <w:rPr>
                <w:b w:val="0"/>
                <w:szCs w:val="18"/>
                <w:lang w:val="nl-NL"/>
              </w:rPr>
              <w:t>Loterijen gaan minder belasting afdragen, omdat hun inleg (prijs * verkochte loten) relatief laag is in vergelijking met andere kansspelaanbieders (bv. kansspelen op afstand).</w:t>
            </w:r>
            <w:r w:rsidRPr="003D5782">
              <w:rPr>
                <w:rFonts w:cs="Calibri"/>
                <w:b w:val="0"/>
                <w:bCs w:val="0"/>
                <w:szCs w:val="18"/>
                <w:lang w:val="nl-NL"/>
              </w:rPr>
              <w:t xml:space="preserve"> </w:t>
            </w:r>
          </w:p>
          <w:p w:rsidRPr="003D5782" w:rsidR="00E253FE" w:rsidP="00915E50" w:rsidRDefault="00E253FE" w14:paraId="683C5158" w14:textId="77777777">
            <w:pPr>
              <w:spacing w:line="276" w:lineRule="auto"/>
              <w:rPr>
                <w:szCs w:val="18"/>
                <w:lang w:val="nl-NL"/>
              </w:rPr>
            </w:pPr>
          </w:p>
        </w:tc>
      </w:tr>
      <w:tr w:rsidRPr="003D5782" w:rsidR="00E253FE" w:rsidTr="00915E50" w14:paraId="7A9A24E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02" w:type="dxa"/>
            <w:gridSpan w:val="2"/>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hideMark/>
          </w:tcPr>
          <w:p w:rsidRPr="003D5782" w:rsidR="00E253FE" w:rsidP="00915E50" w:rsidRDefault="00E253FE" w14:paraId="2155FB65" w14:textId="77777777">
            <w:pPr>
              <w:spacing w:after="255" w:line="276" w:lineRule="auto"/>
              <w:contextualSpacing/>
              <w:rPr>
                <w:szCs w:val="18"/>
                <w:lang w:val="nl-NL"/>
              </w:rPr>
            </w:pPr>
            <w:r w:rsidRPr="003D5782">
              <w:rPr>
                <w:szCs w:val="18"/>
                <w:lang w:val="nl-NL"/>
              </w:rPr>
              <w:t>Effecten</w:t>
            </w:r>
          </w:p>
        </w:tc>
      </w:tr>
      <w:tr w:rsidRPr="00E76289" w:rsidR="00E253FE" w:rsidTr="00915E50" w14:paraId="2405ADCA" w14:textId="77777777">
        <w:tc>
          <w:tcPr>
            <w:cnfStyle w:val="001000000000" w:firstRow="0" w:lastRow="0" w:firstColumn="1" w:lastColumn="0" w:oddVBand="0" w:evenVBand="0" w:oddHBand="0" w:evenHBand="0" w:firstRowFirstColumn="0" w:firstRowLastColumn="0" w:lastRowFirstColumn="0" w:lastRowLastColumn="0"/>
            <w:tcW w:w="2286"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hideMark/>
          </w:tcPr>
          <w:p w:rsidRPr="003D5782" w:rsidR="00E253FE" w:rsidP="00915E50" w:rsidRDefault="00E253FE" w14:paraId="0687DD76" w14:textId="77777777">
            <w:pPr>
              <w:spacing w:after="255" w:line="276" w:lineRule="auto"/>
              <w:contextualSpacing/>
              <w:rPr>
                <w:szCs w:val="18"/>
                <w:lang w:val="nl-NL"/>
              </w:rPr>
            </w:pPr>
            <w:r w:rsidRPr="003D5782">
              <w:rPr>
                <w:szCs w:val="18"/>
                <w:lang w:val="nl-NL"/>
              </w:rPr>
              <w:t>Gevolgen burgers, bedrijven en kansspelbeleid</w:t>
            </w:r>
          </w:p>
        </w:tc>
        <w:tc>
          <w:tcPr>
            <w:tcW w:w="7416"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FFFFFF" w:themeFill="background1"/>
            <w:hideMark/>
          </w:tcPr>
          <w:p w:rsidRPr="003D5782" w:rsidR="00E253FE" w:rsidP="00915E50" w:rsidRDefault="00E253FE" w14:paraId="2547BC6E" w14:textId="77777777">
            <w:pPr>
              <w:spacing w:line="276" w:lineRule="auto"/>
              <w:cnfStyle w:val="000000000000" w:firstRow="0" w:lastRow="0" w:firstColumn="0" w:lastColumn="0" w:oddVBand="0" w:evenVBand="0" w:oddHBand="0" w:evenHBand="0" w:firstRowFirstColumn="0" w:firstRowLastColumn="0" w:lastRowFirstColumn="0" w:lastRowLastColumn="0"/>
              <w:rPr>
                <w:rFonts w:cs="Verdana"/>
                <w:i/>
                <w:iCs/>
                <w:szCs w:val="18"/>
                <w:lang w:val="nl-NL"/>
              </w:rPr>
            </w:pPr>
            <w:r w:rsidRPr="003D5782">
              <w:rPr>
                <w:rFonts w:cs="Verdana"/>
                <w:i/>
                <w:iCs/>
                <w:szCs w:val="18"/>
                <w:lang w:val="nl-NL"/>
              </w:rPr>
              <w:t>Gevolgen voor afdrachten</w:t>
            </w:r>
          </w:p>
          <w:p w:rsidRPr="003D5782" w:rsidR="00E253FE" w:rsidP="00915E50" w:rsidRDefault="00E253FE" w14:paraId="4C148327" w14:textId="77777777">
            <w:pPr>
              <w:pStyle w:val="Lijstalinea"/>
              <w:numPr>
                <w:ilvl w:val="0"/>
                <w:numId w:val="22"/>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s="Verdana"/>
                <w:sz w:val="18"/>
                <w:szCs w:val="18"/>
              </w:rPr>
            </w:pPr>
            <w:r w:rsidRPr="003D5782">
              <w:rPr>
                <w:rFonts w:ascii="Verdana" w:hAnsi="Verdana" w:cs="Verdana"/>
                <w:sz w:val="18"/>
                <w:szCs w:val="18"/>
              </w:rPr>
              <w:t>De loterijsector gaat in deze variant minder belasting afdragen. Hierdoor ontstaat ruimte om meer afdrachten te doen. Het is echter niet gegarandeerd dat de afdrachten daarmee stijgen.</w:t>
            </w:r>
          </w:p>
          <w:p w:rsidRPr="003D5782" w:rsidR="00E253FE" w:rsidP="00915E50" w:rsidRDefault="00E253FE" w14:paraId="49F85C0A" w14:textId="77777777">
            <w:pPr>
              <w:pStyle w:val="Lijstalinea"/>
              <w:numPr>
                <w:ilvl w:val="0"/>
                <w:numId w:val="22"/>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s="Verdana"/>
                <w:sz w:val="18"/>
                <w:szCs w:val="18"/>
              </w:rPr>
            </w:pPr>
            <w:r w:rsidRPr="003D5782">
              <w:rPr>
                <w:rFonts w:ascii="Verdana" w:hAnsi="Verdana" w:cs="Verdana"/>
                <w:sz w:val="18"/>
                <w:szCs w:val="18"/>
              </w:rPr>
              <w:t xml:space="preserve">Kleine </w:t>
            </w:r>
            <w:proofErr w:type="spellStart"/>
            <w:r w:rsidRPr="003D5782">
              <w:rPr>
                <w:rFonts w:ascii="Verdana" w:hAnsi="Verdana" w:cs="Verdana"/>
                <w:sz w:val="18"/>
                <w:szCs w:val="18"/>
              </w:rPr>
              <w:t>goededoelenloterijen</w:t>
            </w:r>
            <w:proofErr w:type="spellEnd"/>
            <w:r w:rsidRPr="003D5782">
              <w:rPr>
                <w:rFonts w:ascii="Verdana" w:hAnsi="Verdana" w:cs="Verdana"/>
                <w:sz w:val="18"/>
                <w:szCs w:val="18"/>
              </w:rPr>
              <w:t xml:space="preserve"> betalen in de huidige situatie nauwelijks belasting, mede vanwege de prijzenvrijstelling. Door de afschaffing van de prijzenvrijstelling en de belasting over de inleg zal er meer belastingheffing gaan plaatsvinden. </w:t>
            </w:r>
          </w:p>
          <w:p w:rsidRPr="003D5782" w:rsidR="00E253FE" w:rsidP="00915E50" w:rsidRDefault="00E253FE" w14:paraId="57EFC28C" w14:textId="77777777">
            <w:pPr>
              <w:pStyle w:val="Lijstalinea"/>
              <w:numPr>
                <w:ilvl w:val="0"/>
                <w:numId w:val="22"/>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s="Verdana"/>
                <w:sz w:val="18"/>
                <w:szCs w:val="18"/>
              </w:rPr>
            </w:pPr>
            <w:r w:rsidRPr="003D5782">
              <w:rPr>
                <w:rFonts w:ascii="Verdana" w:hAnsi="Verdana" w:cs="Verdana"/>
                <w:sz w:val="18"/>
                <w:szCs w:val="18"/>
              </w:rPr>
              <w:t>Uit doelmatigheidsoverwegingen kan voor deze loterijen een belastingvrije som worden geïntroduceerd. Dit leidt wel tot een hoger algemeen tarief.</w:t>
            </w:r>
          </w:p>
          <w:p w:rsidRPr="003D5782" w:rsidR="00E253FE" w:rsidP="00915E50" w:rsidRDefault="00E253FE" w14:paraId="240769AD" w14:textId="77777777">
            <w:pPr>
              <w:spacing w:line="276" w:lineRule="auto"/>
              <w:ind w:left="360"/>
              <w:cnfStyle w:val="000000000000" w:firstRow="0" w:lastRow="0" w:firstColumn="0" w:lastColumn="0" w:oddVBand="0" w:evenVBand="0" w:oddHBand="0" w:evenHBand="0" w:firstRowFirstColumn="0" w:firstRowLastColumn="0" w:lastRowFirstColumn="0" w:lastRowLastColumn="0"/>
              <w:rPr>
                <w:rFonts w:cs="Verdana"/>
                <w:szCs w:val="18"/>
                <w:lang w:val="nl-NL"/>
              </w:rPr>
            </w:pPr>
          </w:p>
          <w:p w:rsidRPr="003D5782" w:rsidR="00E253FE" w:rsidP="00915E50" w:rsidRDefault="00E253FE" w14:paraId="4B6DCC24" w14:textId="77777777">
            <w:pPr>
              <w:spacing w:line="276" w:lineRule="auto"/>
              <w:cnfStyle w:val="000000000000" w:firstRow="0" w:lastRow="0" w:firstColumn="0" w:lastColumn="0" w:oddVBand="0" w:evenVBand="0" w:oddHBand="0" w:evenHBand="0" w:firstRowFirstColumn="0" w:firstRowLastColumn="0" w:lastRowFirstColumn="0" w:lastRowLastColumn="0"/>
              <w:rPr>
                <w:rFonts w:cs="Verdana"/>
                <w:szCs w:val="18"/>
                <w:lang w:val="nl-NL"/>
              </w:rPr>
            </w:pPr>
          </w:p>
          <w:p w:rsidRPr="003D5782" w:rsidR="00E253FE" w:rsidP="00915E50" w:rsidRDefault="00E253FE" w14:paraId="4E3D670E" w14:textId="64BA44B2">
            <w:pPr>
              <w:spacing w:line="276" w:lineRule="auto"/>
              <w:cnfStyle w:val="000000000000" w:firstRow="0" w:lastRow="0" w:firstColumn="0" w:lastColumn="0" w:oddVBand="0" w:evenVBand="0" w:oddHBand="0" w:evenHBand="0" w:firstRowFirstColumn="0" w:firstRowLastColumn="0" w:lastRowFirstColumn="0" w:lastRowLastColumn="0"/>
              <w:rPr>
                <w:i/>
                <w:szCs w:val="18"/>
                <w:lang w:val="nl-NL"/>
              </w:rPr>
            </w:pPr>
            <w:r w:rsidRPr="003D5782">
              <w:rPr>
                <w:i/>
                <w:szCs w:val="18"/>
                <w:lang w:val="nl-NL"/>
              </w:rPr>
              <w:t>Gevolgen kansspelbeleid</w:t>
            </w:r>
            <w:r w:rsidR="00103EF6">
              <w:rPr>
                <w:i/>
                <w:szCs w:val="18"/>
                <w:lang w:val="nl-NL"/>
              </w:rPr>
              <w:t xml:space="preserve"> bescherming van burgers tegen </w:t>
            </w:r>
            <w:proofErr w:type="spellStart"/>
            <w:r w:rsidR="00103EF6">
              <w:rPr>
                <w:i/>
                <w:szCs w:val="18"/>
                <w:lang w:val="nl-NL"/>
              </w:rPr>
              <w:t>kansspelgerelateerde</w:t>
            </w:r>
            <w:proofErr w:type="spellEnd"/>
            <w:r w:rsidR="00103EF6">
              <w:rPr>
                <w:i/>
                <w:szCs w:val="18"/>
                <w:lang w:val="nl-NL"/>
              </w:rPr>
              <w:t xml:space="preserve"> schade en bestrijding illegaal aanbod</w:t>
            </w:r>
            <w:r w:rsidRPr="003D5782">
              <w:rPr>
                <w:i/>
                <w:szCs w:val="18"/>
                <w:lang w:val="nl-NL"/>
              </w:rPr>
              <w:t xml:space="preserve"> </w:t>
            </w:r>
          </w:p>
          <w:p w:rsidRPr="003D5782" w:rsidR="00E253FE" w:rsidP="00915E50" w:rsidRDefault="00E253FE" w14:paraId="24A76618" w14:textId="77777777">
            <w:pPr>
              <w:spacing w:line="276" w:lineRule="auto"/>
              <w:cnfStyle w:val="000000000000" w:firstRow="0" w:lastRow="0" w:firstColumn="0" w:lastColumn="0" w:oddVBand="0" w:evenVBand="0" w:oddHBand="0" w:evenHBand="0" w:firstRowFirstColumn="0" w:firstRowLastColumn="0" w:lastRowFirstColumn="0" w:lastRowLastColumn="0"/>
              <w:rPr>
                <w:szCs w:val="18"/>
                <w:lang w:val="nl-NL"/>
              </w:rPr>
            </w:pPr>
          </w:p>
          <w:p w:rsidRPr="003D5782" w:rsidR="00E253FE" w:rsidP="00915E50" w:rsidRDefault="00E253FE" w14:paraId="450470AC" w14:textId="77777777">
            <w:pPr>
              <w:pStyle w:val="Lijstalinea"/>
              <w:numPr>
                <w:ilvl w:val="0"/>
                <w:numId w:val="17"/>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b/>
                <w:bCs/>
                <w:sz w:val="18"/>
                <w:szCs w:val="18"/>
              </w:rPr>
            </w:pPr>
            <w:r w:rsidRPr="003D5782">
              <w:rPr>
                <w:rFonts w:ascii="Verdana" w:hAnsi="Verdana"/>
                <w:sz w:val="18"/>
                <w:szCs w:val="18"/>
              </w:rPr>
              <w:t xml:space="preserve">De effectieve belastingdruk bij </w:t>
            </w:r>
            <w:proofErr w:type="spellStart"/>
            <w:r w:rsidRPr="003D5782">
              <w:rPr>
                <w:rFonts w:ascii="Verdana" w:hAnsi="Verdana"/>
                <w:sz w:val="18"/>
                <w:szCs w:val="18"/>
              </w:rPr>
              <w:t>hoogrisicospelen</w:t>
            </w:r>
            <w:proofErr w:type="spellEnd"/>
            <w:r w:rsidRPr="003D5782">
              <w:rPr>
                <w:rFonts w:ascii="Verdana" w:hAnsi="Verdana"/>
                <w:sz w:val="18"/>
                <w:szCs w:val="18"/>
              </w:rPr>
              <w:t xml:space="preserve">, waar herhaaldelijk wordt ingezet (online, casino, speelautomaten) neemt sterk toe. Dit geeft met name risicospelers, die een grotere mobiliteit naar illegaal aanbod hebben een prikkel om illegaal te spelen. </w:t>
            </w:r>
          </w:p>
          <w:p w:rsidRPr="003D5782" w:rsidR="00E253FE" w:rsidP="00915E50" w:rsidRDefault="00E253FE" w14:paraId="56635B09" w14:textId="77777777">
            <w:pPr>
              <w:pStyle w:val="Lijstalinea"/>
              <w:numPr>
                <w:ilvl w:val="0"/>
                <w:numId w:val="17"/>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b/>
                <w:bCs/>
                <w:sz w:val="18"/>
                <w:szCs w:val="18"/>
              </w:rPr>
            </w:pPr>
            <w:r w:rsidRPr="003D5782">
              <w:rPr>
                <w:rFonts w:ascii="Verdana" w:hAnsi="Verdana"/>
                <w:sz w:val="18"/>
                <w:szCs w:val="18"/>
              </w:rPr>
              <w:t>Deze verhoogde belastingdruk verslechtert de concurrentiepositie van legale aanbieders ten opzichte van illegale aanbieders, omdat er minder investeringen gedaan kunnen worden in het spelaanbod en bedrijfsmatige aanpassingen.</w:t>
            </w:r>
          </w:p>
          <w:p w:rsidR="00E253FE" w:rsidP="00915E50" w:rsidRDefault="00E253FE" w14:paraId="3CA85F55" w14:textId="58EA3ABA">
            <w:pPr>
              <w:pStyle w:val="Lijstalinea"/>
              <w:numPr>
                <w:ilvl w:val="0"/>
                <w:numId w:val="17"/>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3D5782">
              <w:rPr>
                <w:rFonts w:ascii="Verdana" w:hAnsi="Verdana"/>
                <w:sz w:val="18"/>
                <w:szCs w:val="18"/>
              </w:rPr>
              <w:t xml:space="preserve">Omzetverlaging bij legale aanbieders kan tot gevolg hebben dat aanbieders hun product aantrekkelijker willen maken. </w:t>
            </w:r>
            <w:r w:rsidRPr="00444EE3">
              <w:rPr>
                <w:rFonts w:ascii="Verdana" w:hAnsi="Verdana"/>
                <w:sz w:val="18"/>
                <w:szCs w:val="18"/>
              </w:rPr>
              <w:t xml:space="preserve">Ook als dit binnen de grenzen van de wet gebeurt, is dat </w:t>
            </w:r>
            <w:r w:rsidR="00D07C8D">
              <w:rPr>
                <w:rFonts w:ascii="Verdana" w:hAnsi="Verdana"/>
                <w:sz w:val="18"/>
                <w:szCs w:val="18"/>
              </w:rPr>
              <w:t xml:space="preserve">onwenselijk, </w:t>
            </w:r>
            <w:r w:rsidRPr="00444EE3">
              <w:rPr>
                <w:rFonts w:ascii="Verdana" w:hAnsi="Verdana"/>
                <w:sz w:val="18"/>
                <w:szCs w:val="18"/>
              </w:rPr>
              <w:t xml:space="preserve">omdat aanzuigende effecten op deelname aan kansspelen onwenselijk zijn en er in het geval van de meest risicovolle kansspelen zelfs een ontmoedigingsbeleid past. </w:t>
            </w:r>
          </w:p>
          <w:p w:rsidRPr="003D5782" w:rsidR="00D07C8D" w:rsidP="00915E50" w:rsidRDefault="00D07C8D" w14:paraId="07C40C14" w14:textId="0C349447">
            <w:pPr>
              <w:pStyle w:val="Lijstalinea"/>
              <w:numPr>
                <w:ilvl w:val="0"/>
                <w:numId w:val="17"/>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Vergunde aanbieders zullen besparen op innovaties en maatregelen die extra bescherming tegen schade door kansspelen kunnen bieden.</w:t>
            </w:r>
          </w:p>
          <w:p w:rsidRPr="003D5782" w:rsidR="00E253FE" w:rsidP="00915E50" w:rsidRDefault="00E253FE" w14:paraId="225E0B69" w14:textId="77777777">
            <w:pPr>
              <w:pStyle w:val="Lijstalinea"/>
              <w:numPr>
                <w:ilvl w:val="0"/>
                <w:numId w:val="17"/>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b/>
                <w:bCs/>
                <w:sz w:val="18"/>
                <w:szCs w:val="18"/>
              </w:rPr>
            </w:pPr>
            <w:r w:rsidRPr="003D5782">
              <w:rPr>
                <w:rFonts w:ascii="Verdana" w:hAnsi="Verdana"/>
                <w:sz w:val="18"/>
                <w:szCs w:val="18"/>
              </w:rPr>
              <w:t>Welke effecten een verschuiving van het heffen van belasting over prijzen naar belasting over inleg precies zal hebben, moet verder</w:t>
            </w:r>
            <w:r w:rsidRPr="003D5782">
              <w:rPr>
                <w:rFonts w:ascii="Verdana" w:hAnsi="Verdana"/>
                <w:b/>
                <w:bCs/>
                <w:sz w:val="18"/>
                <w:szCs w:val="18"/>
              </w:rPr>
              <w:t xml:space="preserve"> </w:t>
            </w:r>
            <w:r w:rsidRPr="003D5782">
              <w:rPr>
                <w:rFonts w:ascii="Verdana" w:hAnsi="Verdana"/>
                <w:sz w:val="18"/>
                <w:szCs w:val="18"/>
              </w:rPr>
              <w:t xml:space="preserve">onderzocht worden. </w:t>
            </w:r>
          </w:p>
          <w:p w:rsidRPr="003D5782" w:rsidR="00E253FE" w:rsidP="00915E50" w:rsidRDefault="00E253FE" w14:paraId="4C72953A" w14:textId="77777777">
            <w:pPr>
              <w:spacing w:line="276" w:lineRule="auto"/>
              <w:cnfStyle w:val="000000000000" w:firstRow="0" w:lastRow="0" w:firstColumn="0" w:lastColumn="0" w:oddVBand="0" w:evenVBand="0" w:oddHBand="0" w:evenHBand="0" w:firstRowFirstColumn="0" w:firstRowLastColumn="0" w:lastRowFirstColumn="0" w:lastRowLastColumn="0"/>
              <w:rPr>
                <w:szCs w:val="18"/>
                <w:lang w:val="nl-NL"/>
              </w:rPr>
            </w:pPr>
          </w:p>
          <w:p w:rsidRPr="003D5782" w:rsidR="00E253FE" w:rsidP="00915E50" w:rsidRDefault="00E253FE" w14:paraId="62D3A577" w14:textId="77777777">
            <w:pPr>
              <w:spacing w:line="276" w:lineRule="auto"/>
              <w:cnfStyle w:val="000000000000" w:firstRow="0" w:lastRow="0" w:firstColumn="0" w:lastColumn="0" w:oddVBand="0" w:evenVBand="0" w:oddHBand="0" w:evenHBand="0" w:firstRowFirstColumn="0" w:firstRowLastColumn="0" w:lastRowFirstColumn="0" w:lastRowLastColumn="0"/>
              <w:rPr>
                <w:rFonts w:cs="Verdana"/>
                <w:i/>
                <w:iCs/>
                <w:szCs w:val="18"/>
                <w:lang w:val="nl-NL"/>
              </w:rPr>
            </w:pPr>
            <w:r w:rsidRPr="003D5782">
              <w:rPr>
                <w:rFonts w:cs="Verdana"/>
                <w:i/>
                <w:iCs/>
                <w:szCs w:val="18"/>
                <w:lang w:val="nl-NL"/>
              </w:rPr>
              <w:t>Gevolgen voor de kansspelaanbieders</w:t>
            </w:r>
          </w:p>
          <w:p w:rsidRPr="003D5782" w:rsidR="00E253FE" w:rsidP="00915E50" w:rsidRDefault="00E253FE" w14:paraId="6C7FA670" w14:textId="77777777">
            <w:pPr>
              <w:pStyle w:val="Lijstalinea"/>
              <w:numPr>
                <w:ilvl w:val="0"/>
                <w:numId w:val="29"/>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s="Verdana"/>
                <w:b/>
                <w:bCs/>
                <w:sz w:val="18"/>
                <w:szCs w:val="18"/>
              </w:rPr>
            </w:pPr>
            <w:r w:rsidRPr="003D5782">
              <w:rPr>
                <w:rFonts w:ascii="Verdana" w:hAnsi="Verdana" w:cs="Verdana"/>
                <w:sz w:val="18"/>
                <w:szCs w:val="18"/>
              </w:rPr>
              <w:t>Belastingheffing op inleg zal voor legale aanbieders veranderingen vragen in de wijze waarop de spellen aangeboden worden. Dit zal een grote kostenpost meebrengen voor aanbieders die vanwege de tariefverhoging al in financieel zwaar weer verkeren, en reorganisaties nog verder in de hand werken. Dit zal gevolgen hebben voor het legale kansspelaanbod in Nederland en mogelijk illegaliteit in de hand werken.</w:t>
            </w:r>
          </w:p>
          <w:p w:rsidRPr="00D97C5F" w:rsidR="00E253FE" w:rsidP="00915E50" w:rsidRDefault="00E253FE" w14:paraId="7820F937" w14:textId="77777777">
            <w:pPr>
              <w:spacing w:line="276" w:lineRule="auto"/>
              <w:cnfStyle w:val="000000000000" w:firstRow="0" w:lastRow="0" w:firstColumn="0" w:lastColumn="0" w:oddVBand="0" w:evenVBand="0" w:oddHBand="0" w:evenHBand="0" w:firstRowFirstColumn="0" w:firstRowLastColumn="0" w:lastRowFirstColumn="0" w:lastRowLastColumn="0"/>
              <w:rPr>
                <w:szCs w:val="18"/>
                <w:lang w:val="nl-NL"/>
              </w:rPr>
            </w:pPr>
          </w:p>
        </w:tc>
      </w:tr>
      <w:tr w:rsidRPr="00E76289" w:rsidR="00E253FE" w:rsidTr="00915E50" w14:paraId="1F9320B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6"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hideMark/>
          </w:tcPr>
          <w:p w:rsidRPr="003D5782" w:rsidR="00E253FE" w:rsidP="00915E50" w:rsidRDefault="00E253FE" w14:paraId="08E8ED23" w14:textId="77777777">
            <w:pPr>
              <w:spacing w:after="255" w:line="276" w:lineRule="auto"/>
              <w:contextualSpacing/>
              <w:rPr>
                <w:szCs w:val="18"/>
              </w:rPr>
            </w:pPr>
            <w:r w:rsidRPr="003D5782">
              <w:rPr>
                <w:szCs w:val="18"/>
                <w:lang w:val="nl-NL"/>
              </w:rPr>
              <w:t xml:space="preserve">Budgettair </w:t>
            </w:r>
          </w:p>
        </w:tc>
        <w:tc>
          <w:tcPr>
            <w:tcW w:w="7416"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FFFFFF" w:themeFill="background1"/>
          </w:tcPr>
          <w:p w:rsidRPr="003D5782" w:rsidR="00E253FE" w:rsidP="00915E50" w:rsidRDefault="00E253FE" w14:paraId="6ADE0784" w14:textId="77777777">
            <w:pPr>
              <w:spacing w:line="276" w:lineRule="auto"/>
              <w:cnfStyle w:val="000000100000" w:firstRow="0" w:lastRow="0" w:firstColumn="0" w:lastColumn="0" w:oddVBand="0" w:evenVBand="0" w:oddHBand="1" w:evenHBand="0" w:firstRowFirstColumn="0" w:firstRowLastColumn="0" w:lastRowFirstColumn="0" w:lastRowLastColumn="0"/>
              <w:rPr>
                <w:i/>
                <w:iCs/>
                <w:szCs w:val="18"/>
                <w:lang w:val="nl-NL"/>
              </w:rPr>
            </w:pPr>
            <w:r w:rsidRPr="003D5782">
              <w:rPr>
                <w:i/>
                <w:iCs/>
                <w:szCs w:val="18"/>
                <w:lang w:val="nl-NL"/>
              </w:rPr>
              <w:t>Uitleg raming</w:t>
            </w:r>
          </w:p>
          <w:p w:rsidRPr="003D5782" w:rsidR="00E253FE" w:rsidP="00915E50" w:rsidRDefault="00E253FE" w14:paraId="62D34ECF" w14:textId="77777777">
            <w:pPr>
              <w:spacing w:line="276" w:lineRule="auto"/>
              <w:cnfStyle w:val="000000100000" w:firstRow="0" w:lastRow="0" w:firstColumn="0" w:lastColumn="0" w:oddVBand="0" w:evenVBand="0" w:oddHBand="1" w:evenHBand="0" w:firstRowFirstColumn="0" w:firstRowLastColumn="0" w:lastRowFirstColumn="0" w:lastRowLastColumn="0"/>
              <w:rPr>
                <w:szCs w:val="18"/>
                <w:lang w:val="nl-NL"/>
              </w:rPr>
            </w:pPr>
            <w:r w:rsidRPr="003D5782">
              <w:rPr>
                <w:szCs w:val="18"/>
                <w:lang w:val="nl-NL"/>
              </w:rPr>
              <w:t xml:space="preserve">Deze raming heeft als doel om het tarief vast te stellen bij een belasting op basis van inleg. Er is daarbij nader geanalyseerd of loterijen meer of minder belasting gaan afdragen in vergelijking met het toen geldende KSB tarief in 2023 (29,5%). </w:t>
            </w:r>
            <w:r>
              <w:rPr>
                <w:szCs w:val="18"/>
                <w:lang w:val="nl-NL"/>
              </w:rPr>
              <w:t>In de raming is één</w:t>
            </w:r>
            <w:r w:rsidRPr="003D5782">
              <w:rPr>
                <w:szCs w:val="18"/>
                <w:lang w:val="nl-NL"/>
              </w:rPr>
              <w:t xml:space="preserve"> tarief </w:t>
            </w:r>
            <w:r>
              <w:rPr>
                <w:szCs w:val="18"/>
                <w:lang w:val="nl-NL"/>
              </w:rPr>
              <w:t xml:space="preserve">gebruikt </w:t>
            </w:r>
            <w:r w:rsidRPr="003D5782">
              <w:rPr>
                <w:szCs w:val="18"/>
                <w:lang w:val="nl-NL"/>
              </w:rPr>
              <w:t xml:space="preserve">voor alle kansspelen. De heffing </w:t>
            </w:r>
            <w:r>
              <w:rPr>
                <w:szCs w:val="18"/>
                <w:lang w:val="nl-NL"/>
              </w:rPr>
              <w:t xml:space="preserve">wordt in dit scenario </w:t>
            </w:r>
            <w:r w:rsidRPr="003D5782">
              <w:rPr>
                <w:szCs w:val="18"/>
                <w:lang w:val="nl-NL"/>
              </w:rPr>
              <w:t xml:space="preserve">afgedragen door </w:t>
            </w:r>
            <w:r>
              <w:rPr>
                <w:szCs w:val="18"/>
                <w:lang w:val="nl-NL"/>
              </w:rPr>
              <w:t xml:space="preserve">alle </w:t>
            </w:r>
            <w:r w:rsidRPr="003D5782">
              <w:rPr>
                <w:szCs w:val="18"/>
                <w:lang w:val="nl-NL"/>
              </w:rPr>
              <w:t>kansspelaanbieders en er is geen directe verdere doorberekening aan spelers. In deze raming zijn geen gedragseffecten meegenomen. Vanwege uitvoerbaarheid is gekozen om een raming te maken voor het jaar 2030.</w:t>
            </w:r>
          </w:p>
          <w:p w:rsidRPr="003D5782" w:rsidR="00E253FE" w:rsidP="00915E50" w:rsidRDefault="00E253FE" w14:paraId="5F833EC7" w14:textId="77777777">
            <w:pPr>
              <w:spacing w:line="276" w:lineRule="auto"/>
              <w:cnfStyle w:val="000000100000" w:firstRow="0" w:lastRow="0" w:firstColumn="0" w:lastColumn="0" w:oddVBand="0" w:evenVBand="0" w:oddHBand="1" w:evenHBand="0" w:firstRowFirstColumn="0" w:firstRowLastColumn="0" w:lastRowFirstColumn="0" w:lastRowLastColumn="0"/>
              <w:rPr>
                <w:szCs w:val="18"/>
                <w:lang w:val="nl-NL"/>
              </w:rPr>
            </w:pPr>
            <w:r w:rsidRPr="003D5782">
              <w:rPr>
                <w:szCs w:val="18"/>
                <w:lang w:val="nl-NL"/>
              </w:rPr>
              <w:t xml:space="preserve"> </w:t>
            </w:r>
          </w:p>
          <w:p w:rsidRPr="003D5782" w:rsidR="00E253FE" w:rsidP="00915E50" w:rsidRDefault="00E253FE" w14:paraId="490C417E" w14:textId="77777777">
            <w:pPr>
              <w:spacing w:line="276" w:lineRule="auto"/>
              <w:cnfStyle w:val="000000100000" w:firstRow="0" w:lastRow="0" w:firstColumn="0" w:lastColumn="0" w:oddVBand="0" w:evenVBand="0" w:oddHBand="1" w:evenHBand="0" w:firstRowFirstColumn="0" w:firstRowLastColumn="0" w:lastRowFirstColumn="0" w:lastRowLastColumn="0"/>
              <w:rPr>
                <w:i/>
                <w:iCs/>
                <w:szCs w:val="18"/>
                <w:lang w:val="nl-NL"/>
              </w:rPr>
            </w:pPr>
            <w:r w:rsidRPr="003D5782">
              <w:rPr>
                <w:i/>
                <w:iCs/>
                <w:szCs w:val="18"/>
                <w:lang w:val="nl-NL"/>
              </w:rPr>
              <w:t>Resultaat</w:t>
            </w:r>
          </w:p>
          <w:p w:rsidRPr="000605DC" w:rsidR="00E253FE" w:rsidP="00915E50" w:rsidRDefault="00E253FE" w14:paraId="76395982" w14:textId="17648D6F">
            <w:pPr>
              <w:spacing w:after="255" w:line="276" w:lineRule="auto"/>
              <w:cnfStyle w:val="000000100000" w:firstRow="0" w:lastRow="0" w:firstColumn="0" w:lastColumn="0" w:oddVBand="0" w:evenVBand="0" w:oddHBand="1" w:evenHBand="0" w:firstRowFirstColumn="0" w:firstRowLastColumn="0" w:lastRowFirstColumn="0" w:lastRowLastColumn="0"/>
              <w:rPr>
                <w:szCs w:val="18"/>
                <w:lang w:val="nl-NL"/>
              </w:rPr>
            </w:pPr>
            <w:r w:rsidRPr="003D5782">
              <w:rPr>
                <w:szCs w:val="18"/>
                <w:lang w:val="nl-NL"/>
              </w:rPr>
              <w:t xml:space="preserve">De belastingmaatregel is budgettair neutraal bij een tarief van </w:t>
            </w:r>
            <w:r>
              <w:rPr>
                <w:szCs w:val="18"/>
                <w:lang w:val="nl-NL"/>
              </w:rPr>
              <w:t>3</w:t>
            </w:r>
            <w:r w:rsidRPr="003D5782">
              <w:rPr>
                <w:szCs w:val="18"/>
                <w:lang w:val="nl-NL"/>
              </w:rPr>
              <w:t>,</w:t>
            </w:r>
            <w:r>
              <w:rPr>
                <w:szCs w:val="18"/>
                <w:lang w:val="nl-NL"/>
              </w:rPr>
              <w:t>9</w:t>
            </w:r>
            <w:r w:rsidRPr="003D5782">
              <w:rPr>
                <w:szCs w:val="18"/>
                <w:lang w:val="nl-NL"/>
              </w:rPr>
              <w:t xml:space="preserve">%. Loterijen dragen </w:t>
            </w:r>
            <w:r>
              <w:rPr>
                <w:szCs w:val="18"/>
                <w:lang w:val="nl-NL"/>
              </w:rPr>
              <w:t>4</w:t>
            </w:r>
            <w:r w:rsidRPr="003D5782">
              <w:rPr>
                <w:szCs w:val="18"/>
                <w:lang w:val="nl-NL"/>
              </w:rPr>
              <w:t xml:space="preserve">5 miljoen minder belasting af ten opzichte van het niveau van de situatie in 2023. </w:t>
            </w:r>
          </w:p>
          <w:p w:rsidRPr="003D5782" w:rsidR="00E253FE" w:rsidP="00915E50" w:rsidRDefault="00E253FE" w14:paraId="112BCF29" w14:textId="07928D3B">
            <w:pPr>
              <w:spacing w:after="255" w:line="276" w:lineRule="auto"/>
              <w:cnfStyle w:val="000000100000" w:firstRow="0" w:lastRow="0" w:firstColumn="0" w:lastColumn="0" w:oddVBand="0" w:evenVBand="0" w:oddHBand="1" w:evenHBand="0" w:firstRowFirstColumn="0" w:firstRowLastColumn="0" w:lastRowFirstColumn="0" w:lastRowLastColumn="0"/>
              <w:rPr>
                <w:szCs w:val="18"/>
                <w:lang w:val="nl-NL"/>
              </w:rPr>
            </w:pPr>
            <w:r w:rsidRPr="000605DC">
              <w:rPr>
                <w:szCs w:val="18"/>
                <w:lang w:val="nl-NL"/>
              </w:rPr>
              <w:t>Daarentegen gaan kansspelen op afstand meer belasting afdragen dan in 2023</w:t>
            </w:r>
            <w:r w:rsidRPr="003D5782">
              <w:rPr>
                <w:szCs w:val="18"/>
                <w:lang w:val="nl-NL"/>
              </w:rPr>
              <w:t xml:space="preserve"> </w:t>
            </w:r>
            <w:r>
              <w:rPr>
                <w:szCs w:val="18"/>
                <w:lang w:val="nl-NL"/>
              </w:rPr>
              <w:t>Dit type</w:t>
            </w:r>
            <w:r w:rsidRPr="003D5782">
              <w:rPr>
                <w:szCs w:val="18"/>
                <w:lang w:val="nl-NL"/>
              </w:rPr>
              <w:t xml:space="preserve"> kansspelen </w:t>
            </w:r>
            <w:r>
              <w:rPr>
                <w:szCs w:val="18"/>
                <w:lang w:val="nl-NL"/>
              </w:rPr>
              <w:t>heeft</w:t>
            </w:r>
            <w:r w:rsidRPr="003D5782">
              <w:rPr>
                <w:szCs w:val="18"/>
                <w:lang w:val="nl-NL"/>
              </w:rPr>
              <w:t xml:space="preserve"> een relatief hoog uitkeringspercentage en een hoge inleg samen met een relatief laag </w:t>
            </w:r>
            <w:r>
              <w:rPr>
                <w:szCs w:val="18"/>
                <w:lang w:val="nl-NL"/>
              </w:rPr>
              <w:t>BSR.</w:t>
            </w:r>
            <w:r w:rsidRPr="003D5782">
              <w:rPr>
                <w:szCs w:val="18"/>
                <w:lang w:val="nl-NL"/>
              </w:rPr>
              <w:t xml:space="preserve"> Op dit moment is het relatief lage BSR belast. Door de gewijzigde grondslag gaan kansspelen op afstand dus meer belasting afdragen.</w:t>
            </w:r>
          </w:p>
          <w:p w:rsidRPr="003D5782" w:rsidR="00E253FE" w:rsidP="00915E50" w:rsidRDefault="00E253FE" w14:paraId="58B6FFFB" w14:textId="498A480A">
            <w:pPr>
              <w:spacing w:after="255" w:line="276" w:lineRule="auto"/>
              <w:cnfStyle w:val="000000100000" w:firstRow="0" w:lastRow="0" w:firstColumn="0" w:lastColumn="0" w:oddVBand="0" w:evenVBand="0" w:oddHBand="1" w:evenHBand="0" w:firstRowFirstColumn="0" w:firstRowLastColumn="0" w:lastRowFirstColumn="0" w:lastRowLastColumn="0"/>
              <w:rPr>
                <w:szCs w:val="18"/>
                <w:lang w:val="nl-NL"/>
              </w:rPr>
            </w:pPr>
          </w:p>
          <w:tbl>
            <w:tblPr>
              <w:tblW w:w="5500" w:type="dxa"/>
              <w:tblCellMar>
                <w:left w:w="70" w:type="dxa"/>
                <w:right w:w="70" w:type="dxa"/>
              </w:tblCellMar>
              <w:tblLook w:val="04A0" w:firstRow="1" w:lastRow="0" w:firstColumn="1" w:lastColumn="0" w:noHBand="0" w:noVBand="1"/>
            </w:tblPr>
            <w:tblGrid>
              <w:gridCol w:w="4420"/>
              <w:gridCol w:w="1080"/>
            </w:tblGrid>
            <w:tr w:rsidRPr="003D5782" w:rsidR="00E253FE" w:rsidTr="00915E50" w14:paraId="70A00DB5" w14:textId="77777777">
              <w:trPr>
                <w:trHeight w:val="300"/>
              </w:trPr>
              <w:tc>
                <w:tcPr>
                  <w:tcW w:w="442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D5782" w:rsidR="00E253FE" w:rsidP="00915E50" w:rsidRDefault="00E253FE" w14:paraId="7F8720D6" w14:textId="77777777">
                  <w:pPr>
                    <w:spacing w:after="0" w:line="276" w:lineRule="auto"/>
                    <w:rPr>
                      <w:rFonts w:eastAsia="Times New Roman" w:cs="Times New Roman"/>
                      <w:b/>
                      <w:bCs/>
                      <w:color w:val="171616"/>
                      <w:szCs w:val="18"/>
                      <w:lang w:val="nl-NL" w:eastAsia="nl-NL"/>
                    </w:rPr>
                  </w:pPr>
                  <w:r w:rsidRPr="003D5782">
                    <w:rPr>
                      <w:rFonts w:eastAsia="Times New Roman" w:cs="Times New Roman"/>
                      <w:b/>
                      <w:bCs/>
                      <w:color w:val="171616"/>
                      <w:szCs w:val="18"/>
                      <w:lang w:val="nl-NL" w:eastAsia="nl-NL"/>
                    </w:rPr>
                    <w:t>Belasting op inleg</w:t>
                  </w:r>
                </w:p>
              </w:tc>
              <w:tc>
                <w:tcPr>
                  <w:tcW w:w="1080" w:type="dxa"/>
                  <w:tcBorders>
                    <w:top w:val="single" w:color="auto" w:sz="4" w:space="0"/>
                    <w:left w:val="nil"/>
                    <w:bottom w:val="single" w:color="auto" w:sz="4" w:space="0"/>
                    <w:right w:val="single" w:color="auto" w:sz="4" w:space="0"/>
                  </w:tcBorders>
                  <w:shd w:val="clear" w:color="auto" w:fill="auto"/>
                  <w:noWrap/>
                  <w:vAlign w:val="bottom"/>
                  <w:hideMark/>
                </w:tcPr>
                <w:p w:rsidRPr="003D5782" w:rsidR="00E253FE" w:rsidP="00915E50" w:rsidRDefault="00E253FE" w14:paraId="7E03BE14" w14:textId="77777777">
                  <w:pPr>
                    <w:spacing w:after="0" w:line="276" w:lineRule="auto"/>
                    <w:jc w:val="right"/>
                    <w:rPr>
                      <w:rFonts w:eastAsia="Times New Roman" w:cs="Times New Roman"/>
                      <w:b/>
                      <w:bCs/>
                      <w:color w:val="171616"/>
                      <w:szCs w:val="18"/>
                      <w:lang w:val="nl-NL" w:eastAsia="nl-NL"/>
                    </w:rPr>
                  </w:pPr>
                  <w:r w:rsidRPr="003D5782">
                    <w:rPr>
                      <w:rFonts w:eastAsia="Times New Roman" w:cs="Times New Roman"/>
                      <w:b/>
                      <w:bCs/>
                      <w:color w:val="171616"/>
                      <w:szCs w:val="18"/>
                      <w:lang w:val="nl-NL" w:eastAsia="nl-NL"/>
                    </w:rPr>
                    <w:t>2030</w:t>
                  </w:r>
                </w:p>
              </w:tc>
            </w:tr>
            <w:tr w:rsidRPr="003D5782" w:rsidR="00E253FE" w:rsidTr="00915E50" w14:paraId="088ED703" w14:textId="77777777">
              <w:trPr>
                <w:trHeight w:val="300"/>
              </w:trPr>
              <w:tc>
                <w:tcPr>
                  <w:tcW w:w="4420" w:type="dxa"/>
                  <w:tcBorders>
                    <w:top w:val="nil"/>
                    <w:left w:val="single" w:color="auto" w:sz="4" w:space="0"/>
                    <w:bottom w:val="single" w:color="auto" w:sz="4" w:space="0"/>
                    <w:right w:val="single" w:color="auto" w:sz="4" w:space="0"/>
                  </w:tcBorders>
                  <w:shd w:val="clear" w:color="auto" w:fill="auto"/>
                  <w:noWrap/>
                  <w:vAlign w:val="bottom"/>
                  <w:hideMark/>
                </w:tcPr>
                <w:p w:rsidRPr="003D5782" w:rsidR="00E253FE" w:rsidP="00915E50" w:rsidRDefault="00E253FE" w14:paraId="473AD01D" w14:textId="77777777">
                  <w:pPr>
                    <w:spacing w:after="0" w:line="276" w:lineRule="auto"/>
                    <w:rPr>
                      <w:rFonts w:eastAsia="Times New Roman" w:cs="Times New Roman"/>
                      <w:color w:val="171616"/>
                      <w:szCs w:val="18"/>
                      <w:lang w:val="nl-NL" w:eastAsia="nl-NL"/>
                    </w:rPr>
                  </w:pPr>
                  <w:r w:rsidRPr="003D5782">
                    <w:rPr>
                      <w:rFonts w:eastAsia="Times New Roman" w:cs="Times New Roman"/>
                      <w:color w:val="171616"/>
                      <w:szCs w:val="18"/>
                      <w:lang w:val="nl-NL" w:eastAsia="nl-NL"/>
                    </w:rPr>
                    <w:t xml:space="preserve">Tarief </w:t>
                  </w:r>
                </w:p>
              </w:tc>
              <w:tc>
                <w:tcPr>
                  <w:tcW w:w="1080" w:type="dxa"/>
                  <w:tcBorders>
                    <w:top w:val="nil"/>
                    <w:left w:val="nil"/>
                    <w:bottom w:val="single" w:color="auto" w:sz="4" w:space="0"/>
                    <w:right w:val="single" w:color="auto" w:sz="4" w:space="0"/>
                  </w:tcBorders>
                  <w:shd w:val="clear" w:color="auto" w:fill="auto"/>
                  <w:noWrap/>
                  <w:vAlign w:val="bottom"/>
                  <w:hideMark/>
                </w:tcPr>
                <w:p w:rsidRPr="003D5782" w:rsidR="00E253FE" w:rsidP="00915E50" w:rsidRDefault="00E253FE" w14:paraId="364ED003" w14:textId="1E6543B3">
                  <w:pPr>
                    <w:spacing w:after="0" w:line="276" w:lineRule="auto"/>
                    <w:jc w:val="right"/>
                    <w:rPr>
                      <w:rFonts w:eastAsia="Times New Roman" w:cs="Times New Roman"/>
                      <w:color w:val="171616"/>
                      <w:szCs w:val="18"/>
                      <w:lang w:val="nl-NL" w:eastAsia="nl-NL"/>
                    </w:rPr>
                  </w:pPr>
                  <w:r>
                    <w:rPr>
                      <w:rFonts w:eastAsia="Times New Roman" w:cs="Times New Roman"/>
                      <w:color w:val="171616"/>
                      <w:szCs w:val="18"/>
                      <w:lang w:val="nl-NL" w:eastAsia="nl-NL"/>
                    </w:rPr>
                    <w:t>3</w:t>
                  </w:r>
                  <w:r w:rsidRPr="003D5782">
                    <w:rPr>
                      <w:rFonts w:eastAsia="Times New Roman" w:cs="Times New Roman"/>
                      <w:color w:val="171616"/>
                      <w:szCs w:val="18"/>
                      <w:lang w:val="nl-NL" w:eastAsia="nl-NL"/>
                    </w:rPr>
                    <w:t>,</w:t>
                  </w:r>
                  <w:r>
                    <w:rPr>
                      <w:rFonts w:eastAsia="Times New Roman" w:cs="Times New Roman"/>
                      <w:color w:val="171616"/>
                      <w:szCs w:val="18"/>
                      <w:lang w:val="nl-NL" w:eastAsia="nl-NL"/>
                    </w:rPr>
                    <w:t>9</w:t>
                  </w:r>
                  <w:r w:rsidRPr="003D5782">
                    <w:rPr>
                      <w:rFonts w:eastAsia="Times New Roman" w:cs="Times New Roman"/>
                      <w:color w:val="171616"/>
                      <w:szCs w:val="18"/>
                      <w:lang w:val="nl-NL" w:eastAsia="nl-NL"/>
                    </w:rPr>
                    <w:t>%</w:t>
                  </w:r>
                </w:p>
              </w:tc>
            </w:tr>
            <w:tr w:rsidRPr="00E76289" w:rsidR="00E253FE" w:rsidTr="00915E50" w14:paraId="592EBC61" w14:textId="77777777">
              <w:trPr>
                <w:trHeight w:val="300"/>
              </w:trPr>
              <w:tc>
                <w:tcPr>
                  <w:tcW w:w="4420" w:type="dxa"/>
                  <w:tcBorders>
                    <w:top w:val="nil"/>
                    <w:left w:val="single" w:color="auto" w:sz="4" w:space="0"/>
                    <w:bottom w:val="single" w:color="auto" w:sz="4" w:space="0"/>
                    <w:right w:val="single" w:color="auto" w:sz="4" w:space="0"/>
                  </w:tcBorders>
                  <w:shd w:val="clear" w:color="auto" w:fill="auto"/>
                  <w:noWrap/>
                  <w:vAlign w:val="bottom"/>
                  <w:hideMark/>
                </w:tcPr>
                <w:p w:rsidRPr="003D5782" w:rsidR="00E253FE" w:rsidP="00915E50" w:rsidRDefault="00E253FE" w14:paraId="6ADB5259" w14:textId="77777777">
                  <w:pPr>
                    <w:spacing w:after="0" w:line="276" w:lineRule="auto"/>
                    <w:rPr>
                      <w:rFonts w:eastAsia="Times New Roman" w:cs="Times New Roman"/>
                      <w:color w:val="171616"/>
                      <w:szCs w:val="18"/>
                      <w:lang w:val="nl-NL" w:eastAsia="nl-NL"/>
                    </w:rPr>
                  </w:pPr>
                  <w:r w:rsidRPr="003D5782">
                    <w:rPr>
                      <w:rFonts w:eastAsia="Times New Roman" w:cs="Times New Roman"/>
                      <w:color w:val="171616"/>
                      <w:szCs w:val="18"/>
                      <w:lang w:val="nl-NL" w:eastAsia="nl-NL"/>
                    </w:rPr>
                    <w:t>Minder/meer belasting door loterijen (mln.)</w:t>
                  </w:r>
                </w:p>
              </w:tc>
              <w:tc>
                <w:tcPr>
                  <w:tcW w:w="1080" w:type="dxa"/>
                  <w:tcBorders>
                    <w:top w:val="nil"/>
                    <w:left w:val="nil"/>
                    <w:bottom w:val="single" w:color="auto" w:sz="4" w:space="0"/>
                    <w:right w:val="single" w:color="auto" w:sz="4" w:space="0"/>
                  </w:tcBorders>
                  <w:shd w:val="clear" w:color="auto" w:fill="auto"/>
                  <w:noWrap/>
                  <w:vAlign w:val="bottom"/>
                  <w:hideMark/>
                </w:tcPr>
                <w:p w:rsidRPr="003D5782" w:rsidR="00E253FE" w:rsidP="00915E50" w:rsidRDefault="00E253FE" w14:paraId="7AF30C60" w14:textId="2DE2E6F2">
                  <w:pPr>
                    <w:spacing w:after="0" w:line="276" w:lineRule="auto"/>
                    <w:rPr>
                      <w:rFonts w:eastAsia="Times New Roman" w:cs="Times New Roman"/>
                      <w:color w:val="171616"/>
                      <w:szCs w:val="18"/>
                      <w:lang w:val="nl-NL" w:eastAsia="nl-NL"/>
                    </w:rPr>
                  </w:pPr>
                  <w:r w:rsidRPr="003D5782">
                    <w:rPr>
                      <w:rFonts w:eastAsia="Times New Roman" w:cs="Times New Roman"/>
                      <w:color w:val="171616"/>
                      <w:szCs w:val="18"/>
                      <w:lang w:val="nl-NL" w:eastAsia="nl-NL"/>
                    </w:rPr>
                    <w:t xml:space="preserve">         -</w:t>
                  </w:r>
                  <w:r>
                    <w:rPr>
                      <w:rFonts w:eastAsia="Times New Roman" w:cs="Times New Roman"/>
                      <w:color w:val="171616"/>
                      <w:szCs w:val="18"/>
                      <w:lang w:val="nl-NL" w:eastAsia="nl-NL"/>
                    </w:rPr>
                    <w:t>4</w:t>
                  </w:r>
                  <w:r w:rsidRPr="003D5782">
                    <w:rPr>
                      <w:rFonts w:eastAsia="Times New Roman" w:cs="Times New Roman"/>
                      <w:color w:val="171616"/>
                      <w:szCs w:val="18"/>
                      <w:lang w:val="nl-NL" w:eastAsia="nl-NL"/>
                    </w:rPr>
                    <w:t>5</w:t>
                  </w:r>
                </w:p>
              </w:tc>
            </w:tr>
          </w:tbl>
          <w:p w:rsidRPr="003D5782" w:rsidR="00E253FE" w:rsidP="00915E50" w:rsidRDefault="00E253FE" w14:paraId="70FDB8AA" w14:textId="77777777">
            <w:pPr>
              <w:spacing w:before="240" w:line="276" w:lineRule="auto"/>
              <w:cnfStyle w:val="000000100000" w:firstRow="0" w:lastRow="0" w:firstColumn="0" w:lastColumn="0" w:oddVBand="0" w:evenVBand="0" w:oddHBand="1" w:evenHBand="0" w:firstRowFirstColumn="0" w:firstRowLastColumn="0" w:lastRowFirstColumn="0" w:lastRowLastColumn="0"/>
              <w:rPr>
                <w:i/>
                <w:iCs/>
                <w:szCs w:val="18"/>
                <w:lang w:val="nl-NL"/>
              </w:rPr>
            </w:pPr>
            <w:r w:rsidRPr="003D5782">
              <w:rPr>
                <w:i/>
                <w:iCs/>
                <w:szCs w:val="18"/>
                <w:lang w:val="nl-NL"/>
              </w:rPr>
              <w:t>Aannames en onderbouwing</w:t>
            </w:r>
          </w:p>
          <w:p w:rsidR="00E253FE" w:rsidP="00915E50" w:rsidRDefault="00E253FE" w14:paraId="50A25362" w14:textId="3F4B073A">
            <w:pPr>
              <w:spacing w:after="255" w:line="276" w:lineRule="auto"/>
              <w:cnfStyle w:val="000000100000" w:firstRow="0" w:lastRow="0" w:firstColumn="0" w:lastColumn="0" w:oddVBand="0" w:evenVBand="0" w:oddHBand="1" w:evenHBand="0" w:firstRowFirstColumn="0" w:firstRowLastColumn="0" w:lastRowFirstColumn="0" w:lastRowLastColumn="0"/>
              <w:rPr>
                <w:szCs w:val="18"/>
                <w:lang w:val="nl-NL"/>
              </w:rPr>
            </w:pPr>
            <w:r w:rsidRPr="003D5782">
              <w:rPr>
                <w:szCs w:val="18"/>
                <w:lang w:val="nl-NL"/>
              </w:rPr>
              <w:t xml:space="preserve">Deze raming is </w:t>
            </w:r>
            <w:r>
              <w:rPr>
                <w:szCs w:val="18"/>
                <w:lang w:val="nl-NL"/>
              </w:rPr>
              <w:t xml:space="preserve">gemaakt </w:t>
            </w:r>
            <w:r w:rsidRPr="003D5782">
              <w:rPr>
                <w:szCs w:val="18"/>
                <w:lang w:val="nl-NL"/>
              </w:rPr>
              <w:t>op basis van data uit 2023 en belastingopbrengsten van het CEP2025. Er is vanuit gegaan dat de vraag</w:t>
            </w:r>
            <w:r>
              <w:rPr>
                <w:szCs w:val="18"/>
                <w:lang w:val="nl-NL"/>
              </w:rPr>
              <w:t>-</w:t>
            </w:r>
            <w:r w:rsidRPr="003D5782">
              <w:rPr>
                <w:szCs w:val="18"/>
                <w:lang w:val="nl-NL"/>
              </w:rPr>
              <w:t xml:space="preserve"> en aanbodkant binnen de kansspelmarkt niet verandert door tariefswijzigingen. Er zijn</w:t>
            </w:r>
            <w:r>
              <w:rPr>
                <w:szCs w:val="18"/>
                <w:lang w:val="nl-NL"/>
              </w:rPr>
              <w:t xml:space="preserve"> ook</w:t>
            </w:r>
            <w:r w:rsidRPr="003D5782">
              <w:rPr>
                <w:szCs w:val="18"/>
                <w:lang w:val="nl-NL"/>
              </w:rPr>
              <w:t xml:space="preserve"> geen gedragseffecten meegenomen, zoals veranderingen in </w:t>
            </w:r>
            <w:r w:rsidR="000605DC">
              <w:rPr>
                <w:szCs w:val="18"/>
                <w:lang w:val="nl-NL"/>
              </w:rPr>
              <w:t>de verhouding van de participatie in legaal en illegaal aanbod</w:t>
            </w:r>
            <w:r w:rsidRPr="003D5782">
              <w:rPr>
                <w:szCs w:val="18"/>
                <w:lang w:val="nl-NL"/>
              </w:rPr>
              <w:t>. Eventuele veranderingen in inkomstenbelasting, vennootschapsbelasting en afdrachten van de staatsdeelnemingen zijn niet meegenomen.</w:t>
            </w:r>
          </w:p>
          <w:p w:rsidRPr="003D5782" w:rsidR="00E253FE" w:rsidP="00915E50" w:rsidRDefault="00E253FE" w14:paraId="7E65B9BA" w14:textId="77777777">
            <w:pPr>
              <w:spacing w:after="255" w:line="276" w:lineRule="auto"/>
              <w:cnfStyle w:val="000000100000" w:firstRow="0" w:lastRow="0" w:firstColumn="0" w:lastColumn="0" w:oddVBand="0" w:evenVBand="0" w:oddHBand="1" w:evenHBand="0" w:firstRowFirstColumn="0" w:firstRowLastColumn="0" w:lastRowFirstColumn="0" w:lastRowLastColumn="0"/>
              <w:rPr>
                <w:szCs w:val="18"/>
                <w:lang w:val="nl-NL"/>
              </w:rPr>
            </w:pPr>
            <w:r w:rsidRPr="00F1379A">
              <w:rPr>
                <w:szCs w:val="18"/>
                <w:lang w:val="nl-NL"/>
              </w:rPr>
              <w:t>Er is sprake van</w:t>
            </w:r>
            <w:r>
              <w:rPr>
                <w:szCs w:val="18"/>
                <w:lang w:val="nl-NL"/>
              </w:rPr>
              <w:t xml:space="preserve"> zeer</w:t>
            </w:r>
            <w:r w:rsidRPr="00F1379A">
              <w:rPr>
                <w:szCs w:val="18"/>
                <w:lang w:val="nl-NL"/>
              </w:rPr>
              <w:t xml:space="preserve"> grote onzekerheden in deze raming. Naar eigen inschatting is de hoogte van inleggelden bepaald voor casino’s en sportweddenschappen. Dit is gebeurd op basis van het bekende </w:t>
            </w:r>
            <w:proofErr w:type="spellStart"/>
            <w:r w:rsidRPr="00F1379A">
              <w:rPr>
                <w:szCs w:val="18"/>
                <w:lang w:val="nl-NL"/>
              </w:rPr>
              <w:t>brutospelresultaat</w:t>
            </w:r>
            <w:proofErr w:type="spellEnd"/>
            <w:r w:rsidRPr="00F1379A">
              <w:rPr>
                <w:szCs w:val="18"/>
                <w:lang w:val="nl-NL"/>
              </w:rPr>
              <w:t xml:space="preserve"> en een inschatting van de uitkeringspercentages. Kleine veranderingen in een uitkeringspercentage hebben grote effecten in de einduitkomst.</w:t>
            </w:r>
          </w:p>
        </w:tc>
      </w:tr>
      <w:tr w:rsidRPr="00E76289" w:rsidR="00E253FE" w:rsidTr="00915E50" w14:paraId="6F6F2130" w14:textId="77777777">
        <w:tc>
          <w:tcPr>
            <w:cnfStyle w:val="001000000000" w:firstRow="0" w:lastRow="0" w:firstColumn="1" w:lastColumn="0" w:oddVBand="0" w:evenVBand="0" w:oddHBand="0" w:evenHBand="0" w:firstRowFirstColumn="0" w:firstRowLastColumn="0" w:lastRowFirstColumn="0" w:lastRowLastColumn="0"/>
            <w:tcW w:w="2286"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hideMark/>
          </w:tcPr>
          <w:p w:rsidRPr="003D5782" w:rsidR="00E253FE" w:rsidP="00915E50" w:rsidRDefault="00E253FE" w14:paraId="6A59CD30" w14:textId="77777777">
            <w:pPr>
              <w:spacing w:after="255" w:line="276" w:lineRule="auto"/>
              <w:contextualSpacing/>
              <w:rPr>
                <w:szCs w:val="18"/>
                <w:lang w:val="nl-NL"/>
              </w:rPr>
            </w:pPr>
            <w:r w:rsidRPr="003D5782">
              <w:rPr>
                <w:szCs w:val="18"/>
                <w:lang w:val="nl-NL"/>
              </w:rPr>
              <w:t>Uitvoeringsaspecten</w:t>
            </w:r>
          </w:p>
        </w:tc>
        <w:tc>
          <w:tcPr>
            <w:tcW w:w="7416"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FFFFFF" w:themeFill="background1"/>
            <w:hideMark/>
          </w:tcPr>
          <w:p w:rsidRPr="003D5782" w:rsidR="00E253FE" w:rsidP="00915E50" w:rsidRDefault="00E253FE" w14:paraId="12218EB2" w14:textId="77777777">
            <w:pPr>
              <w:spacing w:line="276" w:lineRule="auto"/>
              <w:cnfStyle w:val="000000000000" w:firstRow="0" w:lastRow="0" w:firstColumn="0" w:lastColumn="0" w:oddVBand="0" w:evenVBand="0" w:oddHBand="0" w:evenHBand="0" w:firstRowFirstColumn="0" w:firstRowLastColumn="0" w:lastRowFirstColumn="0" w:lastRowLastColumn="0"/>
              <w:rPr>
                <w:rFonts w:eastAsia="SymbolMT" w:cs="Verdana"/>
                <w:i/>
                <w:iCs/>
                <w:szCs w:val="18"/>
                <w:lang w:val="nl-NL"/>
              </w:rPr>
            </w:pPr>
            <w:r w:rsidRPr="003D5782">
              <w:rPr>
                <w:rFonts w:eastAsia="SymbolMT" w:cs="Verdana"/>
                <w:i/>
                <w:iCs/>
                <w:szCs w:val="18"/>
                <w:lang w:val="nl-NL"/>
              </w:rPr>
              <w:t>Uitvoerbaarheid bedrijven</w:t>
            </w:r>
          </w:p>
          <w:p w:rsidRPr="003D5782" w:rsidR="00E253FE" w:rsidP="00915E50" w:rsidRDefault="00E253FE" w14:paraId="4502526C" w14:textId="39A618F3">
            <w:pPr>
              <w:spacing w:line="276" w:lineRule="auto"/>
              <w:cnfStyle w:val="000000000000" w:firstRow="0" w:lastRow="0" w:firstColumn="0" w:lastColumn="0" w:oddVBand="0" w:evenVBand="0" w:oddHBand="0" w:evenHBand="0" w:firstRowFirstColumn="0" w:firstRowLastColumn="0" w:lastRowFirstColumn="0" w:lastRowLastColumn="0"/>
              <w:rPr>
                <w:rFonts w:eastAsia="SymbolMT" w:cs="Verdana"/>
                <w:szCs w:val="18"/>
                <w:lang w:val="nl-NL"/>
              </w:rPr>
            </w:pPr>
            <w:r>
              <w:rPr>
                <w:rFonts w:eastAsia="SymbolMT" w:cs="Verdana"/>
                <w:szCs w:val="18"/>
                <w:lang w:val="nl-NL"/>
              </w:rPr>
              <w:t xml:space="preserve"> De wijziging van de heffing over het BSR naar de inleg, vergt voor de kansspelaanbieders een wijziging in de administratie en de bedrijfsvoering. </w:t>
            </w:r>
            <w:r w:rsidRPr="00006B00">
              <w:rPr>
                <w:rFonts w:eastAsia="SymbolMT" w:cs="Verdana"/>
                <w:szCs w:val="18"/>
                <w:lang w:val="nl-NL"/>
              </w:rPr>
              <w:t xml:space="preserve">De business case van bedrijven die </w:t>
            </w:r>
            <w:proofErr w:type="spellStart"/>
            <w:r w:rsidRPr="00006B00">
              <w:rPr>
                <w:rFonts w:eastAsia="SymbolMT" w:cs="Verdana"/>
                <w:szCs w:val="18"/>
                <w:lang w:val="nl-NL"/>
              </w:rPr>
              <w:t>hoogrisicospelen</w:t>
            </w:r>
            <w:proofErr w:type="spellEnd"/>
            <w:r w:rsidRPr="00006B00">
              <w:rPr>
                <w:rFonts w:eastAsia="SymbolMT" w:cs="Verdana"/>
                <w:szCs w:val="18"/>
                <w:lang w:val="nl-NL"/>
              </w:rPr>
              <w:t xml:space="preserve"> aanbieden</w:t>
            </w:r>
            <w:r>
              <w:rPr>
                <w:rFonts w:eastAsia="SymbolMT" w:cs="Verdana"/>
                <w:szCs w:val="18"/>
                <w:lang w:val="nl-NL"/>
              </w:rPr>
              <w:t xml:space="preserve"> (met een relatief hoge inzet)</w:t>
            </w:r>
            <w:r w:rsidRPr="00006B00">
              <w:rPr>
                <w:rFonts w:eastAsia="SymbolMT" w:cs="Verdana"/>
                <w:szCs w:val="18"/>
                <w:lang w:val="nl-NL"/>
              </w:rPr>
              <w:t>, zal verder worden bemoeilijk</w:t>
            </w:r>
            <w:r w:rsidR="000605DC">
              <w:rPr>
                <w:rFonts w:eastAsia="SymbolMT" w:cs="Verdana"/>
                <w:szCs w:val="18"/>
                <w:lang w:val="nl-NL"/>
              </w:rPr>
              <w:t>t</w:t>
            </w:r>
            <w:r w:rsidRPr="00006B00">
              <w:rPr>
                <w:rFonts w:eastAsia="SymbolMT" w:cs="Verdana"/>
                <w:szCs w:val="18"/>
                <w:lang w:val="nl-NL"/>
              </w:rPr>
              <w:t>, met mogelijk uitval en negatieve effecten op de kansspeldoelstellingen als gevolg.</w:t>
            </w:r>
          </w:p>
          <w:p w:rsidRPr="003D5782" w:rsidR="00E253FE" w:rsidP="00915E50" w:rsidRDefault="00E253FE" w14:paraId="0520D52D" w14:textId="77777777">
            <w:pPr>
              <w:spacing w:line="276" w:lineRule="auto"/>
              <w:cnfStyle w:val="000000000000" w:firstRow="0" w:lastRow="0" w:firstColumn="0" w:lastColumn="0" w:oddVBand="0" w:evenVBand="0" w:oddHBand="0" w:evenHBand="0" w:firstRowFirstColumn="0" w:firstRowLastColumn="0" w:lastRowFirstColumn="0" w:lastRowLastColumn="0"/>
              <w:rPr>
                <w:rFonts w:eastAsia="SymbolMT" w:cs="Verdana"/>
                <w:szCs w:val="18"/>
                <w:lang w:val="nl-NL"/>
              </w:rPr>
            </w:pPr>
          </w:p>
          <w:p w:rsidRPr="003D5782" w:rsidR="00E253FE" w:rsidP="00915E50" w:rsidRDefault="00E253FE" w14:paraId="579ECDF4" w14:textId="77777777">
            <w:pPr>
              <w:spacing w:line="276" w:lineRule="auto"/>
              <w:cnfStyle w:val="000000000000" w:firstRow="0" w:lastRow="0" w:firstColumn="0" w:lastColumn="0" w:oddVBand="0" w:evenVBand="0" w:oddHBand="0" w:evenHBand="0" w:firstRowFirstColumn="0" w:firstRowLastColumn="0" w:lastRowFirstColumn="0" w:lastRowLastColumn="0"/>
              <w:rPr>
                <w:rFonts w:eastAsia="SymbolMT" w:cs="Verdana"/>
                <w:i/>
                <w:iCs/>
                <w:szCs w:val="18"/>
                <w:lang w:val="nl-NL"/>
              </w:rPr>
            </w:pPr>
            <w:r w:rsidRPr="003D5782">
              <w:rPr>
                <w:rFonts w:eastAsia="SymbolMT" w:cs="Verdana"/>
                <w:i/>
                <w:iCs/>
                <w:szCs w:val="18"/>
                <w:lang w:val="nl-NL"/>
              </w:rPr>
              <w:t xml:space="preserve">Uitvoerbaarheid BD </w:t>
            </w:r>
          </w:p>
          <w:p w:rsidRPr="003D5782" w:rsidR="00E253FE" w:rsidP="00915E50" w:rsidRDefault="00E253FE" w14:paraId="024FE2BC" w14:textId="3417E317">
            <w:pPr>
              <w:spacing w:line="276" w:lineRule="auto"/>
              <w:cnfStyle w:val="000000000000" w:firstRow="0" w:lastRow="0" w:firstColumn="0" w:lastColumn="0" w:oddVBand="0" w:evenVBand="0" w:oddHBand="0" w:evenHBand="0" w:firstRowFirstColumn="0" w:firstRowLastColumn="0" w:lastRowFirstColumn="0" w:lastRowLastColumn="0"/>
              <w:rPr>
                <w:rFonts w:eastAsia="SymbolMT" w:cs="Verdana"/>
                <w:szCs w:val="18"/>
                <w:lang w:val="nl-NL"/>
              </w:rPr>
            </w:pPr>
            <w:r w:rsidRPr="003D5782">
              <w:rPr>
                <w:rFonts w:eastAsia="SymbolMT" w:cs="Verdana"/>
                <w:szCs w:val="18"/>
                <w:lang w:val="nl-NL"/>
              </w:rPr>
              <w:t xml:space="preserve">De Belastingdienst verwacht een toename van het aantal bezwaarschriften en beroepsprocedures. Aanbieders van casinospelen, kansspelautomatenspelen, weddenschappen en kansspelen op afstand beschikken in deze variant immers niet over de mogelijkheid om de prijzen in aftrek te brengen op de heffingsgrondslag. Daarnaast zal de grondslag aanzienlijk stijgen doordat inzetten bij andere aanbieders dan loterijen aanzienlijk </w:t>
            </w:r>
            <w:r w:rsidR="00D07C8D">
              <w:rPr>
                <w:rFonts w:eastAsia="SymbolMT" w:cs="Verdana"/>
                <w:szCs w:val="18"/>
                <w:lang w:val="nl-NL"/>
              </w:rPr>
              <w:t>zijn</w:t>
            </w:r>
            <w:r w:rsidRPr="003D5782">
              <w:rPr>
                <w:rFonts w:eastAsia="SymbolMT" w:cs="Verdana"/>
                <w:szCs w:val="18"/>
                <w:lang w:val="nl-NL"/>
              </w:rPr>
              <w:t>. Hierdoor hebben zij ten opzichte van loterijen en gerelateerde spelen</w:t>
            </w:r>
            <w:r>
              <w:rPr>
                <w:rFonts w:eastAsia="SymbolMT" w:cs="Verdana"/>
                <w:szCs w:val="18"/>
                <w:lang w:val="nl-NL"/>
              </w:rPr>
              <w:t xml:space="preserve"> met een lage inleg</w:t>
            </w:r>
            <w:r w:rsidRPr="003D5782">
              <w:rPr>
                <w:rFonts w:eastAsia="SymbolMT" w:cs="Verdana"/>
                <w:szCs w:val="18"/>
                <w:lang w:val="nl-NL"/>
              </w:rPr>
              <w:t xml:space="preserve"> een hogere belastingdruk.</w:t>
            </w:r>
          </w:p>
          <w:p w:rsidRPr="003D5782" w:rsidR="00E253FE" w:rsidP="00915E50" w:rsidRDefault="00E253FE" w14:paraId="4DB9F8A6" w14:textId="2DE7C4E6">
            <w:pPr>
              <w:spacing w:line="276" w:lineRule="auto"/>
              <w:cnfStyle w:val="000000000000" w:firstRow="0" w:lastRow="0" w:firstColumn="0" w:lastColumn="0" w:oddVBand="0" w:evenVBand="0" w:oddHBand="0" w:evenHBand="0" w:firstRowFirstColumn="0" w:firstRowLastColumn="0" w:lastRowFirstColumn="0" w:lastRowLastColumn="0"/>
              <w:rPr>
                <w:rFonts w:eastAsia="SymbolMT" w:cs="Verdana"/>
                <w:szCs w:val="18"/>
                <w:lang w:val="nl-NL"/>
              </w:rPr>
            </w:pPr>
            <w:r>
              <w:rPr>
                <w:rFonts w:eastAsia="SymbolMT" w:cs="Verdana"/>
                <w:szCs w:val="18"/>
                <w:lang w:val="nl-NL"/>
              </w:rPr>
              <w:t xml:space="preserve">Er bestaat een mogelijkheid dat de verhoogde belastingdruk voor kansspelaanbieders met een relatief hoge inleg ertoe leidt dat illegaal aanbod relatief aantrekkelijker wordt dan legaal aanbod. Dit heeft gevolgen voor de handhavingspositie van de Belastingdienst </w:t>
            </w:r>
            <w:r w:rsidR="00D07C8D">
              <w:rPr>
                <w:rFonts w:eastAsia="SymbolMT" w:cs="Verdana"/>
                <w:szCs w:val="18"/>
                <w:lang w:val="nl-NL"/>
              </w:rPr>
              <w:t xml:space="preserve">en de Kansspelautoriteit </w:t>
            </w:r>
            <w:r>
              <w:rPr>
                <w:rFonts w:eastAsia="SymbolMT" w:cs="Verdana"/>
                <w:szCs w:val="18"/>
                <w:lang w:val="nl-NL"/>
              </w:rPr>
              <w:t xml:space="preserve">en een afname van de fraudebestendigheid van het stelsel.  </w:t>
            </w:r>
            <w:r w:rsidRPr="003D5782">
              <w:rPr>
                <w:rFonts w:eastAsia="SymbolMT" w:cs="Verdana"/>
                <w:szCs w:val="18"/>
                <w:lang w:val="nl-NL"/>
              </w:rPr>
              <w:t xml:space="preserve">Verder kan de Belastingdienst niet heffen over de inleg bij aanbieders van illegale kansspelen in het buitenland, zolang deze partijen volledig buiten het zicht van de autoriteiten opereren. </w:t>
            </w:r>
          </w:p>
          <w:p w:rsidRPr="003D5782" w:rsidR="00E253FE" w:rsidP="00915E50" w:rsidRDefault="00E253FE" w14:paraId="7284D48A" w14:textId="77777777">
            <w:pPr>
              <w:spacing w:line="276" w:lineRule="auto"/>
              <w:cnfStyle w:val="000000000000" w:firstRow="0" w:lastRow="0" w:firstColumn="0" w:lastColumn="0" w:oddVBand="0" w:evenVBand="0" w:oddHBand="0" w:evenHBand="0" w:firstRowFirstColumn="0" w:firstRowLastColumn="0" w:lastRowFirstColumn="0" w:lastRowLastColumn="0"/>
              <w:rPr>
                <w:rFonts w:eastAsia="SymbolMT" w:cs="Verdana"/>
                <w:szCs w:val="18"/>
                <w:lang w:val="nl-NL"/>
              </w:rPr>
            </w:pPr>
            <w:r w:rsidRPr="003D5782">
              <w:rPr>
                <w:rFonts w:eastAsia="SymbolMT" w:cs="Verdana"/>
                <w:szCs w:val="18"/>
                <w:lang w:val="nl-NL"/>
              </w:rPr>
              <w:t>Ook zouden prijswinnaars bij buitenlandse (overige) kansspelen zich mogelijk beroepen op een schending van het vrij verkeer van diensten (zie ook bij juridische aspecten).</w:t>
            </w:r>
          </w:p>
          <w:p w:rsidRPr="003D5782" w:rsidR="00E253FE" w:rsidP="00915E50" w:rsidRDefault="00E253FE" w14:paraId="6CDAB9FA" w14:textId="77777777">
            <w:pPr>
              <w:spacing w:line="276" w:lineRule="auto"/>
              <w:cnfStyle w:val="000000000000" w:firstRow="0" w:lastRow="0" w:firstColumn="0" w:lastColumn="0" w:oddVBand="0" w:evenVBand="0" w:oddHBand="0" w:evenHBand="0" w:firstRowFirstColumn="0" w:firstRowLastColumn="0" w:lastRowFirstColumn="0" w:lastRowLastColumn="0"/>
              <w:rPr>
                <w:rFonts w:eastAsia="SymbolMT" w:cs="Verdana"/>
                <w:szCs w:val="18"/>
                <w:lang w:val="nl-NL"/>
              </w:rPr>
            </w:pPr>
            <w:r w:rsidRPr="003D5782">
              <w:rPr>
                <w:rFonts w:eastAsia="SymbolMT" w:cs="Verdana"/>
                <w:szCs w:val="18"/>
                <w:lang w:val="nl-NL"/>
              </w:rPr>
              <w:t xml:space="preserve"> </w:t>
            </w:r>
          </w:p>
          <w:p w:rsidRPr="003D5782" w:rsidR="00E253FE" w:rsidP="00915E50" w:rsidRDefault="00E253FE" w14:paraId="1E1D91CD" w14:textId="77777777">
            <w:pPr>
              <w:spacing w:line="276" w:lineRule="auto"/>
              <w:cnfStyle w:val="000000000000" w:firstRow="0" w:lastRow="0" w:firstColumn="0" w:lastColumn="0" w:oddVBand="0" w:evenVBand="0" w:oddHBand="0" w:evenHBand="0" w:firstRowFirstColumn="0" w:firstRowLastColumn="0" w:lastRowFirstColumn="0" w:lastRowLastColumn="0"/>
              <w:rPr>
                <w:rFonts w:eastAsia="SymbolMT" w:cs="Verdana"/>
                <w:szCs w:val="18"/>
                <w:lang w:val="nl-NL"/>
              </w:rPr>
            </w:pPr>
            <w:r w:rsidRPr="003D5782">
              <w:rPr>
                <w:rFonts w:eastAsia="SymbolMT" w:cs="Verdana"/>
                <w:szCs w:val="18"/>
                <w:lang w:val="nl-NL"/>
              </w:rPr>
              <w:t>Het aangifteformulier voor de kansspelbelasting wordt momenteel gemoderniseerd. Naar huidige inzichten zal deze modernisering op zijn vroegst rond medio 2025 zijn afgerond. Aanpassing van dit digitale formulier vergt in beginsel een structuuraanpassing in de IV-portfolio’s van de ketens Overige Middelen en Interactie. Naar huidige inzichten biedt het portfolio van Overige Middelen tot 2030 geen ruimte voor nieuwe beleidswensen, i.v.m. de inpassing van diverse beleidswensen, moderniseringstrajecten en groot onderhoud.</w:t>
            </w:r>
          </w:p>
        </w:tc>
      </w:tr>
      <w:tr w:rsidRPr="00E76289" w:rsidR="00E253FE" w:rsidTr="00915E50" w14:paraId="3F40408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6"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hideMark/>
          </w:tcPr>
          <w:p w:rsidRPr="003D5782" w:rsidR="00E253FE" w:rsidP="00915E50" w:rsidRDefault="00E253FE" w14:paraId="155925BA" w14:textId="77777777">
            <w:pPr>
              <w:spacing w:after="255" w:line="276" w:lineRule="auto"/>
              <w:contextualSpacing/>
              <w:rPr>
                <w:szCs w:val="18"/>
                <w:lang w:val="nl-NL"/>
              </w:rPr>
            </w:pPr>
            <w:proofErr w:type="spellStart"/>
            <w:r w:rsidRPr="003D5782">
              <w:rPr>
                <w:szCs w:val="18"/>
              </w:rPr>
              <w:t>Juridische</w:t>
            </w:r>
            <w:proofErr w:type="spellEnd"/>
            <w:r w:rsidRPr="003D5782">
              <w:rPr>
                <w:szCs w:val="18"/>
              </w:rPr>
              <w:t xml:space="preserve"> </w:t>
            </w:r>
            <w:proofErr w:type="spellStart"/>
            <w:r w:rsidRPr="003D5782">
              <w:rPr>
                <w:szCs w:val="18"/>
              </w:rPr>
              <w:t>en</w:t>
            </w:r>
            <w:proofErr w:type="spellEnd"/>
            <w:r w:rsidRPr="003D5782">
              <w:rPr>
                <w:szCs w:val="18"/>
              </w:rPr>
              <w:t xml:space="preserve"> </w:t>
            </w:r>
            <w:proofErr w:type="spellStart"/>
            <w:r w:rsidRPr="003D5782">
              <w:rPr>
                <w:szCs w:val="18"/>
              </w:rPr>
              <w:t>overige</w:t>
            </w:r>
            <w:proofErr w:type="spellEnd"/>
            <w:r w:rsidRPr="003D5782">
              <w:rPr>
                <w:szCs w:val="18"/>
              </w:rPr>
              <w:t xml:space="preserve"> </w:t>
            </w:r>
            <w:proofErr w:type="spellStart"/>
            <w:r w:rsidRPr="003D5782">
              <w:rPr>
                <w:szCs w:val="18"/>
              </w:rPr>
              <w:t>aspecten</w:t>
            </w:r>
            <w:proofErr w:type="spellEnd"/>
          </w:p>
        </w:tc>
        <w:tc>
          <w:tcPr>
            <w:tcW w:w="7416"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FFFFFF" w:themeFill="background1"/>
          </w:tcPr>
          <w:p w:rsidRPr="003D5782" w:rsidR="00E253FE" w:rsidP="00915E50" w:rsidRDefault="00D07C8D" w14:paraId="2DEA06A7" w14:textId="136FC7C5">
            <w:pPr>
              <w:spacing w:line="276" w:lineRule="auto"/>
              <w:cnfStyle w:val="000000100000" w:firstRow="0" w:lastRow="0" w:firstColumn="0" w:lastColumn="0" w:oddVBand="0" w:evenVBand="0" w:oddHBand="1" w:evenHBand="0" w:firstRowFirstColumn="0" w:firstRowLastColumn="0" w:lastRowFirstColumn="0" w:lastRowLastColumn="0"/>
              <w:rPr>
                <w:szCs w:val="18"/>
                <w:lang w:val="nl-NL"/>
              </w:rPr>
            </w:pPr>
            <w:r>
              <w:rPr>
                <w:szCs w:val="18"/>
                <w:lang w:val="nl-NL"/>
              </w:rPr>
              <w:t xml:space="preserve">Het spelen bij een niet vergunde aanbieder is verboden, maar een prijswinnende speler is wel belastingplichtig voor de kansspelbelasting. </w:t>
            </w:r>
            <w:r w:rsidRPr="003D5782" w:rsidR="00E253FE">
              <w:rPr>
                <w:szCs w:val="18"/>
                <w:lang w:val="nl-NL"/>
              </w:rPr>
              <w:t xml:space="preserve">Op dit moment zijn de winnende spelers en niet de aanbieders van buitenlandse (niet in Nederland vergunde) online kansspelen belastingplichtig. Deze aanbieders zullen zich in deze variant ofwel in Nederland moeten registreren bij de Belastingdienst om belasting te betalen ofwel de speler blijft belastingplichtig. </w:t>
            </w:r>
            <w:r w:rsidR="00E253FE">
              <w:rPr>
                <w:szCs w:val="18"/>
                <w:lang w:val="nl-NL"/>
              </w:rPr>
              <w:t xml:space="preserve"> Als bij een inlegbelasting de speler belastingplichtig blijft, zou dat </w:t>
            </w:r>
            <w:r w:rsidRPr="003D5782" w:rsidR="00E253FE">
              <w:rPr>
                <w:szCs w:val="18"/>
                <w:lang w:val="nl-NL"/>
              </w:rPr>
              <w:t xml:space="preserve">in strijd kunnen zijn met het vrije verkeer van diensten, omdat het spelen in een buitenlandse EU-situatie nadeliger is dan het spelen in een binnenlandse situatie. Dit aspect zou verder onderzocht moeten worden. </w:t>
            </w:r>
          </w:p>
          <w:p w:rsidRPr="003D5782" w:rsidR="00E253FE" w:rsidP="00915E50" w:rsidRDefault="00E253FE" w14:paraId="060DFCAE" w14:textId="77777777">
            <w:pPr>
              <w:spacing w:line="276" w:lineRule="auto"/>
              <w:cnfStyle w:val="000000100000" w:firstRow="0" w:lastRow="0" w:firstColumn="0" w:lastColumn="0" w:oddVBand="0" w:evenVBand="0" w:oddHBand="1" w:evenHBand="0" w:firstRowFirstColumn="0" w:firstRowLastColumn="0" w:lastRowFirstColumn="0" w:lastRowLastColumn="0"/>
              <w:rPr>
                <w:szCs w:val="18"/>
                <w:lang w:val="nl-NL"/>
              </w:rPr>
            </w:pPr>
          </w:p>
          <w:p w:rsidRPr="003D5782" w:rsidR="00E253FE" w:rsidP="00915E50" w:rsidRDefault="00E253FE" w14:paraId="61A341AD" w14:textId="77777777">
            <w:pPr>
              <w:spacing w:line="276" w:lineRule="auto"/>
              <w:cnfStyle w:val="000000100000" w:firstRow="0" w:lastRow="0" w:firstColumn="0" w:lastColumn="0" w:oddVBand="0" w:evenVBand="0" w:oddHBand="1" w:evenHBand="0" w:firstRowFirstColumn="0" w:firstRowLastColumn="0" w:lastRowFirstColumn="0" w:lastRowLastColumn="0"/>
              <w:rPr>
                <w:szCs w:val="18"/>
                <w:lang w:val="nl-NL"/>
              </w:rPr>
            </w:pPr>
            <w:r w:rsidRPr="003D5782">
              <w:rPr>
                <w:szCs w:val="18"/>
                <w:lang w:val="nl-NL"/>
              </w:rPr>
              <w:t>De vormgeving van deze belasting is relatief voordelig voor loterijen. Om staatssteun uit te sluiten zou afgestemd moeten worden met de Europese Commissie. Een dergelijk traject kan lang en onzeker zijn.</w:t>
            </w:r>
          </w:p>
          <w:p w:rsidRPr="003D5782" w:rsidR="00E253FE" w:rsidP="00915E50" w:rsidRDefault="00E253FE" w14:paraId="4F1B78F7" w14:textId="77777777">
            <w:pPr>
              <w:spacing w:line="276" w:lineRule="auto"/>
              <w:cnfStyle w:val="000000100000" w:firstRow="0" w:lastRow="0" w:firstColumn="0" w:lastColumn="0" w:oddVBand="0" w:evenVBand="0" w:oddHBand="1" w:evenHBand="0" w:firstRowFirstColumn="0" w:firstRowLastColumn="0" w:lastRowFirstColumn="0" w:lastRowLastColumn="0"/>
              <w:rPr>
                <w:szCs w:val="18"/>
                <w:lang w:val="nl-NL"/>
              </w:rPr>
            </w:pPr>
          </w:p>
          <w:p w:rsidRPr="003D5782" w:rsidR="00E253FE" w:rsidP="00915E50" w:rsidRDefault="00E253FE" w14:paraId="6BFC83E1" w14:textId="77777777">
            <w:pPr>
              <w:spacing w:line="276" w:lineRule="auto"/>
              <w:cnfStyle w:val="000000100000" w:firstRow="0" w:lastRow="0" w:firstColumn="0" w:lastColumn="0" w:oddVBand="0" w:evenVBand="0" w:oddHBand="1" w:evenHBand="0" w:firstRowFirstColumn="0" w:firstRowLastColumn="0" w:lastRowFirstColumn="0" w:lastRowLastColumn="0"/>
              <w:rPr>
                <w:szCs w:val="18"/>
                <w:lang w:val="nl-NL"/>
              </w:rPr>
            </w:pPr>
            <w:r w:rsidRPr="003D5782">
              <w:rPr>
                <w:szCs w:val="18"/>
                <w:lang w:val="nl-NL"/>
              </w:rPr>
              <w:t>Een aantal specifieke aspecten zou nog verder onderzocht moeten worden:</w:t>
            </w:r>
          </w:p>
          <w:p w:rsidRPr="003D5782" w:rsidR="00E253FE" w:rsidP="00915E50" w:rsidRDefault="00E253FE" w14:paraId="515C3B02" w14:textId="56E90AC3">
            <w:pPr>
              <w:pStyle w:val="Lijstalinea"/>
              <w:numPr>
                <w:ilvl w:val="0"/>
                <w:numId w:val="14"/>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3D5782">
              <w:rPr>
                <w:rFonts w:ascii="Verdana" w:hAnsi="Verdana"/>
                <w:sz w:val="18"/>
                <w:szCs w:val="18"/>
              </w:rPr>
              <w:t xml:space="preserve">In het geval van </w:t>
            </w:r>
            <w:r>
              <w:rPr>
                <w:rFonts w:ascii="Verdana" w:hAnsi="Verdana"/>
                <w:sz w:val="18"/>
                <w:szCs w:val="18"/>
              </w:rPr>
              <w:t>kansspelen</w:t>
            </w:r>
            <w:r w:rsidRPr="003D5782">
              <w:rPr>
                <w:rFonts w:ascii="Verdana" w:hAnsi="Verdana"/>
                <w:sz w:val="18"/>
                <w:szCs w:val="18"/>
              </w:rPr>
              <w:t>, waarbij spelers tegen elkaar spelen (bijvoorbeeld poker)</w:t>
            </w:r>
            <w:r w:rsidR="00BB57E6">
              <w:rPr>
                <w:rFonts w:ascii="Verdana" w:hAnsi="Verdana"/>
                <w:sz w:val="18"/>
                <w:szCs w:val="18"/>
              </w:rPr>
              <w:t>,</w:t>
            </w:r>
            <w:r w:rsidRPr="003D5782">
              <w:rPr>
                <w:rFonts w:ascii="Verdana" w:hAnsi="Verdana"/>
                <w:sz w:val="18"/>
                <w:szCs w:val="18"/>
              </w:rPr>
              <w:t xml:space="preserve"> is de inleg geen geschikte grondslag, omdat de aanbieder daar </w:t>
            </w:r>
            <w:r>
              <w:rPr>
                <w:rFonts w:ascii="Verdana" w:hAnsi="Verdana"/>
                <w:sz w:val="18"/>
                <w:szCs w:val="18"/>
              </w:rPr>
              <w:t>beperkte</w:t>
            </w:r>
            <w:r w:rsidRPr="003D5782">
              <w:rPr>
                <w:rFonts w:ascii="Verdana" w:hAnsi="Verdana"/>
                <w:sz w:val="18"/>
                <w:szCs w:val="18"/>
              </w:rPr>
              <w:t xml:space="preserve"> </w:t>
            </w:r>
            <w:r>
              <w:rPr>
                <w:rFonts w:ascii="Verdana" w:hAnsi="Verdana"/>
                <w:sz w:val="18"/>
                <w:szCs w:val="18"/>
              </w:rPr>
              <w:t>invloed</w:t>
            </w:r>
            <w:r w:rsidRPr="003D5782">
              <w:rPr>
                <w:rFonts w:ascii="Verdana" w:hAnsi="Verdana"/>
                <w:sz w:val="18"/>
                <w:szCs w:val="18"/>
              </w:rPr>
              <w:t xml:space="preserve"> op heeft Op dit moment wordt geheven over de </w:t>
            </w:r>
            <w:r w:rsidRPr="003D5782">
              <w:rPr>
                <w:rFonts w:ascii="Verdana" w:hAnsi="Verdana"/>
                <w:i/>
                <w:iCs/>
                <w:sz w:val="18"/>
                <w:szCs w:val="18"/>
              </w:rPr>
              <w:t>entry fee</w:t>
            </w:r>
            <w:r w:rsidRPr="003D5782">
              <w:rPr>
                <w:rFonts w:ascii="Verdana" w:hAnsi="Verdana"/>
                <w:sz w:val="18"/>
                <w:szCs w:val="18"/>
              </w:rPr>
              <w:t xml:space="preserve"> (vergoeding voor deelname aan toernooien) of de </w:t>
            </w:r>
            <w:r w:rsidRPr="003D5782">
              <w:rPr>
                <w:rFonts w:ascii="Verdana" w:hAnsi="Verdana"/>
                <w:i/>
                <w:iCs/>
                <w:sz w:val="18"/>
                <w:szCs w:val="18"/>
              </w:rPr>
              <w:t>rake</w:t>
            </w:r>
            <w:r w:rsidRPr="003D5782">
              <w:rPr>
                <w:rFonts w:ascii="Verdana" w:hAnsi="Verdana"/>
                <w:sz w:val="18"/>
                <w:szCs w:val="18"/>
              </w:rPr>
              <w:t xml:space="preserve"> (deel van de winst voor geven van gelegenheid tot spelen). </w:t>
            </w:r>
          </w:p>
          <w:p w:rsidRPr="003D5782" w:rsidR="00E253FE" w:rsidP="00915E50" w:rsidRDefault="00E253FE" w14:paraId="5A50A7B2" w14:textId="66D4B0E1">
            <w:pPr>
              <w:pStyle w:val="Lijstalinea"/>
              <w:numPr>
                <w:ilvl w:val="0"/>
                <w:numId w:val="14"/>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3D5782">
              <w:rPr>
                <w:rFonts w:ascii="Verdana" w:hAnsi="Verdana"/>
                <w:sz w:val="18"/>
                <w:szCs w:val="18"/>
              </w:rPr>
              <w:t xml:space="preserve">Ook zal een inlegbelasting leiden tot een complicatie bij internationale (online) </w:t>
            </w:r>
            <w:proofErr w:type="spellStart"/>
            <w:r w:rsidRPr="003D5782">
              <w:rPr>
                <w:rFonts w:ascii="Verdana" w:hAnsi="Verdana"/>
                <w:sz w:val="18"/>
                <w:szCs w:val="18"/>
              </w:rPr>
              <w:t>liquidity</w:t>
            </w:r>
            <w:proofErr w:type="spellEnd"/>
            <w:r w:rsidRPr="003D5782">
              <w:rPr>
                <w:rFonts w:ascii="Verdana" w:hAnsi="Verdana"/>
                <w:sz w:val="18"/>
                <w:szCs w:val="18"/>
              </w:rPr>
              <w:t xml:space="preserve"> pools. Een vergunde aanbieder kan ervoor kiezen om zijn spelerspool te koppelen aan buitenlandse platforms, waardoor er meer spelers en dus grotere prijzenpotten ontstaan. Hierbij is niet altijd precies bekend waar en hoe inzetten worden geplaatst. De Nederlandse aanbieder heeft dan geen volledige controle of inzicht in wat er op het buitenlandse platform gebeurt. </w:t>
            </w:r>
          </w:p>
          <w:p w:rsidRPr="003D5782" w:rsidR="00E253FE" w:rsidP="00915E50" w:rsidRDefault="00E253FE" w14:paraId="633E4E0D" w14:textId="77777777">
            <w:pPr>
              <w:pStyle w:val="Lijstalinea"/>
              <w:numPr>
                <w:ilvl w:val="0"/>
                <w:numId w:val="14"/>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3D5782">
              <w:rPr>
                <w:rFonts w:ascii="Verdana" w:hAnsi="Verdana"/>
                <w:sz w:val="18"/>
                <w:szCs w:val="18"/>
              </w:rPr>
              <w:t>In het geval van speelbonussen is in letterlijke zin sprake van een inleg, maar die ontvangen aanbieders feitelijk niet.</w:t>
            </w:r>
          </w:p>
          <w:p w:rsidRPr="003D5782" w:rsidR="00E253FE" w:rsidP="00915E50" w:rsidRDefault="00E253FE" w14:paraId="68452243" w14:textId="77777777">
            <w:pPr>
              <w:spacing w:line="276" w:lineRule="auto"/>
              <w:cnfStyle w:val="000000100000" w:firstRow="0" w:lastRow="0" w:firstColumn="0" w:lastColumn="0" w:oddVBand="0" w:evenVBand="0" w:oddHBand="1" w:evenHBand="0" w:firstRowFirstColumn="0" w:firstRowLastColumn="0" w:lastRowFirstColumn="0" w:lastRowLastColumn="0"/>
              <w:rPr>
                <w:szCs w:val="18"/>
                <w:lang w:val="nl-NL"/>
              </w:rPr>
            </w:pPr>
          </w:p>
        </w:tc>
      </w:tr>
    </w:tbl>
    <w:p w:rsidRPr="003D5782" w:rsidR="00E253FE" w:rsidP="00E253FE" w:rsidRDefault="00E253FE" w14:paraId="1EF75860" w14:textId="77777777">
      <w:pPr>
        <w:spacing w:line="276" w:lineRule="auto"/>
        <w:rPr>
          <w:szCs w:val="18"/>
          <w:lang w:val="nl-NL"/>
        </w:rPr>
      </w:pPr>
    </w:p>
    <w:p w:rsidRPr="003D5782" w:rsidR="00E253FE" w:rsidP="00E253FE" w:rsidRDefault="00E253FE" w14:paraId="1206279B" w14:textId="77777777">
      <w:pPr>
        <w:spacing w:line="276" w:lineRule="auto"/>
        <w:rPr>
          <w:szCs w:val="18"/>
          <w:lang w:val="nl-NL"/>
        </w:rPr>
      </w:pPr>
    </w:p>
    <w:p w:rsidRPr="003D5782" w:rsidR="006E3BE1" w:rsidP="00E253FE" w:rsidRDefault="006E3BE1" w14:paraId="74520328" w14:textId="3A80C6DD">
      <w:pPr>
        <w:spacing w:line="276" w:lineRule="auto"/>
        <w:rPr>
          <w:szCs w:val="18"/>
          <w:lang w:val="nl-NL"/>
        </w:rPr>
      </w:pPr>
      <w:r w:rsidRPr="003D5782">
        <w:rPr>
          <w:b/>
          <w:bCs/>
          <w:szCs w:val="18"/>
          <w:lang w:val="nl-NL"/>
        </w:rPr>
        <w:br w:type="page"/>
      </w:r>
    </w:p>
    <w:tbl>
      <w:tblPr>
        <w:tblStyle w:val="Rastertabel4-Accent1"/>
        <w:tblW w:w="9702" w:type="dxa"/>
        <w:tblInd w:w="0" w:type="dxa"/>
        <w:tblLook w:val="04A0" w:firstRow="1" w:lastRow="0" w:firstColumn="1" w:lastColumn="0" w:noHBand="0" w:noVBand="1"/>
      </w:tblPr>
      <w:tblGrid>
        <w:gridCol w:w="2286"/>
        <w:gridCol w:w="7416"/>
      </w:tblGrid>
      <w:tr w:rsidRPr="00E76289" w:rsidR="00260999" w:rsidTr="00612582" w14:paraId="36A4E4B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02" w:type="dxa"/>
            <w:gridSpan w:val="2"/>
            <w:hideMark/>
          </w:tcPr>
          <w:p w:rsidRPr="003D5782" w:rsidR="00260999" w:rsidP="003D5782" w:rsidRDefault="006E3BE1" w14:paraId="092A4BA6" w14:textId="39885DD8">
            <w:pPr>
              <w:pStyle w:val="Kop2"/>
              <w:spacing w:before="0" w:line="276" w:lineRule="auto"/>
              <w:contextualSpacing/>
              <w:rPr>
                <w:color w:val="auto"/>
                <w:szCs w:val="18"/>
                <w:lang w:val="nl-NL"/>
              </w:rPr>
            </w:pPr>
            <w:r w:rsidRPr="003D5782">
              <w:rPr>
                <w:color w:val="auto"/>
                <w:szCs w:val="18"/>
                <w:lang w:val="nl-NL"/>
              </w:rPr>
              <w:t>T</w:t>
            </w:r>
            <w:r w:rsidRPr="003D5782" w:rsidR="00260999">
              <w:rPr>
                <w:color w:val="auto"/>
                <w:szCs w:val="18"/>
                <w:lang w:val="nl-NL"/>
              </w:rPr>
              <w:t>erugkeer system</w:t>
            </w:r>
            <w:r w:rsidRPr="003D5782" w:rsidR="00C94915">
              <w:rPr>
                <w:color w:val="auto"/>
                <w:szCs w:val="18"/>
                <w:lang w:val="nl-NL"/>
              </w:rPr>
              <w:t>atiek</w:t>
            </w:r>
            <w:r w:rsidRPr="003D5782" w:rsidR="00260999">
              <w:rPr>
                <w:color w:val="auto"/>
                <w:szCs w:val="18"/>
                <w:lang w:val="nl-NL"/>
              </w:rPr>
              <w:t xml:space="preserve"> van voor 1 juli 2008</w:t>
            </w:r>
            <w:r w:rsidRPr="003D5782">
              <w:rPr>
                <w:color w:val="auto"/>
                <w:szCs w:val="18"/>
                <w:lang w:val="nl-NL"/>
              </w:rPr>
              <w:t>: Brutering</w:t>
            </w:r>
          </w:p>
        </w:tc>
      </w:tr>
      <w:tr w:rsidRPr="003D5782" w:rsidR="00260999" w:rsidTr="00612582" w14:paraId="22266EC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02" w:type="dxa"/>
            <w:gridSpan w:val="2"/>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hideMark/>
          </w:tcPr>
          <w:p w:rsidRPr="003D5782" w:rsidR="00260999" w:rsidP="003D5782" w:rsidRDefault="00260999" w14:paraId="3ADBED2B" w14:textId="77777777">
            <w:pPr>
              <w:tabs>
                <w:tab w:val="left" w:pos="8160"/>
              </w:tabs>
              <w:spacing w:after="255" w:line="276" w:lineRule="auto"/>
              <w:contextualSpacing/>
              <w:rPr>
                <w:szCs w:val="18"/>
              </w:rPr>
            </w:pPr>
            <w:proofErr w:type="spellStart"/>
            <w:r w:rsidRPr="003D5782">
              <w:rPr>
                <w:szCs w:val="18"/>
              </w:rPr>
              <w:t>Omschrijving</w:t>
            </w:r>
            <w:proofErr w:type="spellEnd"/>
            <w:r w:rsidRPr="003D5782">
              <w:rPr>
                <w:szCs w:val="18"/>
              </w:rPr>
              <w:t xml:space="preserve"> van de </w:t>
            </w:r>
            <w:proofErr w:type="spellStart"/>
            <w:r w:rsidRPr="003D5782">
              <w:rPr>
                <w:szCs w:val="18"/>
              </w:rPr>
              <w:t>maatregel</w:t>
            </w:r>
            <w:proofErr w:type="spellEnd"/>
            <w:r w:rsidRPr="003D5782">
              <w:rPr>
                <w:szCs w:val="18"/>
              </w:rPr>
              <w:tab/>
            </w:r>
          </w:p>
        </w:tc>
      </w:tr>
      <w:tr w:rsidRPr="00E76289" w:rsidR="00260999" w:rsidTr="00612582" w14:paraId="3223A06F" w14:textId="77777777">
        <w:tc>
          <w:tcPr>
            <w:cnfStyle w:val="001000000000" w:firstRow="0" w:lastRow="0" w:firstColumn="1" w:lastColumn="0" w:oddVBand="0" w:evenVBand="0" w:oddHBand="0" w:evenHBand="0" w:firstRowFirstColumn="0" w:firstRowLastColumn="0" w:lastRowFirstColumn="0" w:lastRowLastColumn="0"/>
            <w:tcW w:w="9702" w:type="dxa"/>
            <w:gridSpan w:val="2"/>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FFFFFF" w:themeFill="background1"/>
          </w:tcPr>
          <w:p w:rsidRPr="003D5782" w:rsidR="008E5FF9" w:rsidP="003D5782" w:rsidRDefault="004047DF" w14:paraId="2B9A84A7" w14:textId="120317CA">
            <w:pPr>
              <w:pStyle w:val="Lijstalinea"/>
              <w:numPr>
                <w:ilvl w:val="0"/>
                <w:numId w:val="6"/>
              </w:numPr>
              <w:tabs>
                <w:tab w:val="left" w:pos="8160"/>
              </w:tabs>
              <w:spacing w:line="276" w:lineRule="auto"/>
              <w:rPr>
                <w:rFonts w:ascii="Verdana" w:hAnsi="Verdana"/>
                <w:b w:val="0"/>
                <w:bCs w:val="0"/>
                <w:sz w:val="18"/>
                <w:szCs w:val="18"/>
              </w:rPr>
            </w:pPr>
            <w:r w:rsidRPr="003D5782">
              <w:rPr>
                <w:rFonts w:ascii="Verdana" w:hAnsi="Verdana"/>
                <w:b w:val="0"/>
                <w:bCs w:val="0"/>
                <w:sz w:val="18"/>
                <w:szCs w:val="18"/>
              </w:rPr>
              <w:t>De h</w:t>
            </w:r>
            <w:r w:rsidRPr="003D5782" w:rsidR="008E5FF9">
              <w:rPr>
                <w:rFonts w:ascii="Verdana" w:hAnsi="Verdana"/>
                <w:b w:val="0"/>
                <w:bCs w:val="0"/>
                <w:sz w:val="18"/>
                <w:szCs w:val="18"/>
              </w:rPr>
              <w:t xml:space="preserve">uidige methodiek </w:t>
            </w:r>
            <w:r w:rsidRPr="003D5782">
              <w:rPr>
                <w:rFonts w:ascii="Verdana" w:hAnsi="Verdana"/>
                <w:b w:val="0"/>
                <w:bCs w:val="0"/>
                <w:sz w:val="18"/>
                <w:szCs w:val="18"/>
              </w:rPr>
              <w:t xml:space="preserve">voor de kansspelbelasting </w:t>
            </w:r>
            <w:r w:rsidRPr="003D5782" w:rsidR="008E5FF9">
              <w:rPr>
                <w:rFonts w:ascii="Verdana" w:hAnsi="Verdana"/>
                <w:b w:val="0"/>
                <w:bCs w:val="0"/>
                <w:sz w:val="18"/>
                <w:szCs w:val="18"/>
              </w:rPr>
              <w:t xml:space="preserve">blijft, alleen </w:t>
            </w:r>
            <w:r w:rsidRPr="003D5782">
              <w:rPr>
                <w:rFonts w:ascii="Verdana" w:hAnsi="Verdana"/>
                <w:b w:val="0"/>
                <w:bCs w:val="0"/>
                <w:sz w:val="18"/>
                <w:szCs w:val="18"/>
              </w:rPr>
              <w:t xml:space="preserve">de </w:t>
            </w:r>
            <w:r w:rsidRPr="003D5782" w:rsidR="008E5FF9">
              <w:rPr>
                <w:rFonts w:ascii="Verdana" w:hAnsi="Verdana"/>
                <w:b w:val="0"/>
                <w:bCs w:val="0"/>
                <w:sz w:val="18"/>
                <w:szCs w:val="18"/>
              </w:rPr>
              <w:t>tarieven veranderen.</w:t>
            </w:r>
          </w:p>
          <w:p w:rsidRPr="003D5782" w:rsidR="0045086F" w:rsidP="003D5782" w:rsidRDefault="004047DF" w14:paraId="38C995E0" w14:textId="1BB45B81">
            <w:pPr>
              <w:pStyle w:val="Lijstalinea"/>
              <w:numPr>
                <w:ilvl w:val="0"/>
                <w:numId w:val="6"/>
              </w:numPr>
              <w:tabs>
                <w:tab w:val="left" w:pos="8160"/>
              </w:tabs>
              <w:spacing w:line="276" w:lineRule="auto"/>
              <w:rPr>
                <w:rFonts w:ascii="Verdana" w:hAnsi="Verdana"/>
                <w:b w:val="0"/>
                <w:bCs w:val="0"/>
                <w:sz w:val="18"/>
                <w:szCs w:val="18"/>
              </w:rPr>
            </w:pPr>
            <w:r w:rsidRPr="003D5782">
              <w:rPr>
                <w:rFonts w:ascii="Verdana" w:hAnsi="Verdana"/>
                <w:b w:val="0"/>
                <w:bCs w:val="0"/>
                <w:sz w:val="18"/>
                <w:szCs w:val="18"/>
              </w:rPr>
              <w:t>Er geldt een s</w:t>
            </w:r>
            <w:r w:rsidRPr="003D5782" w:rsidR="00E060D4">
              <w:rPr>
                <w:rFonts w:ascii="Verdana" w:hAnsi="Verdana"/>
                <w:b w:val="0"/>
                <w:bCs w:val="0"/>
                <w:sz w:val="18"/>
                <w:szCs w:val="18"/>
              </w:rPr>
              <w:t>tandaard</w:t>
            </w:r>
            <w:r w:rsidRPr="003D5782" w:rsidR="0045086F">
              <w:rPr>
                <w:rFonts w:ascii="Verdana" w:hAnsi="Verdana"/>
                <w:b w:val="0"/>
                <w:bCs w:val="0"/>
                <w:sz w:val="18"/>
                <w:szCs w:val="18"/>
              </w:rPr>
              <w:t>tarief voor loterijen</w:t>
            </w:r>
            <w:r w:rsidRPr="003D5782" w:rsidR="00E060D4">
              <w:rPr>
                <w:rFonts w:ascii="Verdana" w:hAnsi="Verdana"/>
                <w:b w:val="0"/>
                <w:bCs w:val="0"/>
                <w:sz w:val="18"/>
                <w:szCs w:val="18"/>
              </w:rPr>
              <w:t xml:space="preserve"> waarbij over de prijs geheven wordt </w:t>
            </w:r>
            <w:r w:rsidRPr="003D5782" w:rsidR="0045086F">
              <w:rPr>
                <w:rFonts w:ascii="Verdana" w:hAnsi="Verdana"/>
                <w:b w:val="0"/>
                <w:bCs w:val="0"/>
                <w:sz w:val="18"/>
                <w:szCs w:val="18"/>
              </w:rPr>
              <w:t xml:space="preserve">en </w:t>
            </w:r>
            <w:r w:rsidRPr="003D5782">
              <w:rPr>
                <w:rFonts w:ascii="Verdana" w:hAnsi="Verdana"/>
                <w:b w:val="0"/>
                <w:bCs w:val="0"/>
                <w:sz w:val="18"/>
                <w:szCs w:val="18"/>
              </w:rPr>
              <w:t xml:space="preserve">een </w:t>
            </w:r>
            <w:r w:rsidRPr="003D5782" w:rsidR="0045086F">
              <w:rPr>
                <w:rFonts w:ascii="Verdana" w:hAnsi="Verdana"/>
                <w:b w:val="0"/>
                <w:bCs w:val="0"/>
                <w:sz w:val="18"/>
                <w:szCs w:val="18"/>
              </w:rPr>
              <w:t>ho</w:t>
            </w:r>
            <w:r w:rsidRPr="003D5782" w:rsidR="00E060D4">
              <w:rPr>
                <w:rFonts w:ascii="Verdana" w:hAnsi="Verdana"/>
                <w:b w:val="0"/>
                <w:bCs w:val="0"/>
                <w:sz w:val="18"/>
                <w:szCs w:val="18"/>
              </w:rPr>
              <w:t>ger, gebruteerd,</w:t>
            </w:r>
            <w:r w:rsidRPr="003D5782" w:rsidR="0045086F">
              <w:rPr>
                <w:rFonts w:ascii="Verdana" w:hAnsi="Verdana"/>
                <w:b w:val="0"/>
                <w:bCs w:val="0"/>
                <w:sz w:val="18"/>
                <w:szCs w:val="18"/>
              </w:rPr>
              <w:t xml:space="preserve"> tarief </w:t>
            </w:r>
            <w:r w:rsidRPr="003D5782" w:rsidR="00E060D4">
              <w:rPr>
                <w:rFonts w:ascii="Verdana" w:hAnsi="Verdana"/>
                <w:b w:val="0"/>
                <w:bCs w:val="0"/>
                <w:sz w:val="18"/>
                <w:szCs w:val="18"/>
              </w:rPr>
              <w:t xml:space="preserve">voor de </w:t>
            </w:r>
            <w:r w:rsidRPr="003D5782" w:rsidR="0045086F">
              <w:rPr>
                <w:rFonts w:ascii="Verdana" w:hAnsi="Verdana"/>
                <w:b w:val="0"/>
                <w:bCs w:val="0"/>
                <w:sz w:val="18"/>
                <w:szCs w:val="18"/>
              </w:rPr>
              <w:t>overige kansspelaanbieders</w:t>
            </w:r>
            <w:r w:rsidRPr="003D5782" w:rsidR="00E060D4">
              <w:rPr>
                <w:rFonts w:ascii="Verdana" w:hAnsi="Verdana"/>
                <w:b w:val="0"/>
                <w:bCs w:val="0"/>
                <w:sz w:val="18"/>
                <w:szCs w:val="18"/>
              </w:rPr>
              <w:t xml:space="preserve">, waarbij over het </w:t>
            </w:r>
            <w:proofErr w:type="spellStart"/>
            <w:r w:rsidRPr="003D5782" w:rsidR="00E060D4">
              <w:rPr>
                <w:rFonts w:ascii="Verdana" w:hAnsi="Verdana"/>
                <w:b w:val="0"/>
                <w:bCs w:val="0"/>
                <w:sz w:val="18"/>
                <w:szCs w:val="18"/>
              </w:rPr>
              <w:t>brutospelresultaat</w:t>
            </w:r>
            <w:proofErr w:type="spellEnd"/>
            <w:r w:rsidRPr="003D5782" w:rsidR="00E060D4">
              <w:rPr>
                <w:rFonts w:ascii="Verdana" w:hAnsi="Verdana"/>
                <w:b w:val="0"/>
                <w:bCs w:val="0"/>
                <w:sz w:val="18"/>
                <w:szCs w:val="18"/>
              </w:rPr>
              <w:t xml:space="preserve"> geheven wordt.</w:t>
            </w:r>
          </w:p>
          <w:p w:rsidRPr="003D5782" w:rsidR="00E060D4" w:rsidP="003D5782" w:rsidRDefault="0045086F" w14:paraId="377582B1" w14:textId="78F79565">
            <w:pPr>
              <w:pStyle w:val="Lijstalinea"/>
              <w:numPr>
                <w:ilvl w:val="0"/>
                <w:numId w:val="6"/>
              </w:numPr>
              <w:tabs>
                <w:tab w:val="left" w:pos="8160"/>
              </w:tabs>
              <w:spacing w:after="255" w:line="276" w:lineRule="auto"/>
              <w:rPr>
                <w:rFonts w:ascii="Verdana" w:hAnsi="Verdana"/>
                <w:sz w:val="18"/>
                <w:szCs w:val="18"/>
              </w:rPr>
            </w:pPr>
            <w:r w:rsidRPr="003D5782">
              <w:rPr>
                <w:rFonts w:ascii="Verdana" w:hAnsi="Verdana"/>
                <w:b w:val="0"/>
                <w:bCs w:val="0"/>
                <w:sz w:val="18"/>
                <w:szCs w:val="18"/>
              </w:rPr>
              <w:t>H</w:t>
            </w:r>
            <w:r w:rsidRPr="003D5782" w:rsidR="004047DF">
              <w:rPr>
                <w:rFonts w:ascii="Verdana" w:hAnsi="Verdana"/>
                <w:b w:val="0"/>
                <w:bCs w:val="0"/>
                <w:sz w:val="18"/>
                <w:szCs w:val="18"/>
              </w:rPr>
              <w:t>et h</w:t>
            </w:r>
            <w:r w:rsidRPr="003D5782">
              <w:rPr>
                <w:rFonts w:ascii="Verdana" w:hAnsi="Verdana"/>
                <w:b w:val="0"/>
                <w:bCs w:val="0"/>
                <w:sz w:val="18"/>
                <w:szCs w:val="18"/>
              </w:rPr>
              <w:t>og</w:t>
            </w:r>
            <w:r w:rsidRPr="003D5782" w:rsidR="004047DF">
              <w:rPr>
                <w:rFonts w:ascii="Verdana" w:hAnsi="Verdana"/>
                <w:b w:val="0"/>
                <w:bCs w:val="0"/>
                <w:sz w:val="18"/>
                <w:szCs w:val="18"/>
              </w:rPr>
              <w:t>ere gebruteerde</w:t>
            </w:r>
            <w:r w:rsidRPr="003D5782">
              <w:rPr>
                <w:rFonts w:ascii="Verdana" w:hAnsi="Verdana"/>
                <w:b w:val="0"/>
                <w:bCs w:val="0"/>
                <w:sz w:val="18"/>
                <w:szCs w:val="18"/>
              </w:rPr>
              <w:t xml:space="preserve"> tarief is berekend uit </w:t>
            </w:r>
            <w:r w:rsidRPr="003D5782" w:rsidR="004047DF">
              <w:rPr>
                <w:rFonts w:ascii="Verdana" w:hAnsi="Verdana"/>
                <w:b w:val="0"/>
                <w:bCs w:val="0"/>
                <w:sz w:val="18"/>
                <w:szCs w:val="18"/>
              </w:rPr>
              <w:t>het standaard</w:t>
            </w:r>
            <w:r w:rsidRPr="003D5782">
              <w:rPr>
                <w:rFonts w:ascii="Verdana" w:hAnsi="Verdana"/>
                <w:b w:val="0"/>
                <w:bCs w:val="0"/>
                <w:sz w:val="18"/>
                <w:szCs w:val="18"/>
              </w:rPr>
              <w:t xml:space="preserve"> tarief middels een vaste berekening.</w:t>
            </w:r>
            <w:r w:rsidRPr="003D5782" w:rsidR="001C3343">
              <w:rPr>
                <w:rFonts w:ascii="Verdana" w:hAnsi="Verdana"/>
                <w:b w:val="0"/>
                <w:bCs w:val="0"/>
                <w:sz w:val="18"/>
                <w:szCs w:val="18"/>
              </w:rPr>
              <w:t xml:space="preserve"> Indien een loterij de belasting overneemt, geldt ook een gebruteerd tarief, conform de huidige systematiek.</w:t>
            </w:r>
          </w:p>
        </w:tc>
      </w:tr>
      <w:tr w:rsidRPr="003D5782" w:rsidR="00260999" w:rsidTr="00612582" w14:paraId="608BE5F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02" w:type="dxa"/>
            <w:gridSpan w:val="2"/>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tcPr>
          <w:p w:rsidRPr="003D5782" w:rsidR="00260999" w:rsidP="003D5782" w:rsidRDefault="00260999" w14:paraId="1BCE9DE4" w14:textId="77777777">
            <w:pPr>
              <w:autoSpaceDE w:val="0"/>
              <w:autoSpaceDN w:val="0"/>
              <w:adjustRightInd w:val="0"/>
              <w:spacing w:line="276" w:lineRule="auto"/>
              <w:rPr>
                <w:rFonts w:cs="Verdana"/>
                <w:szCs w:val="18"/>
              </w:rPr>
            </w:pPr>
            <w:proofErr w:type="spellStart"/>
            <w:r w:rsidRPr="003D5782">
              <w:rPr>
                <w:rFonts w:cs="Verdana"/>
                <w:szCs w:val="18"/>
              </w:rPr>
              <w:t>Achtergrond</w:t>
            </w:r>
            <w:proofErr w:type="spellEnd"/>
            <w:r w:rsidRPr="003D5782">
              <w:rPr>
                <w:rFonts w:cs="Verdana"/>
                <w:szCs w:val="18"/>
              </w:rPr>
              <w:t>/rationale</w:t>
            </w:r>
          </w:p>
        </w:tc>
      </w:tr>
      <w:tr w:rsidRPr="00E76289" w:rsidR="00260999" w:rsidTr="00612582" w14:paraId="45B04D16" w14:textId="77777777">
        <w:tc>
          <w:tcPr>
            <w:cnfStyle w:val="001000000000" w:firstRow="0" w:lastRow="0" w:firstColumn="1" w:lastColumn="0" w:oddVBand="0" w:evenVBand="0" w:oddHBand="0" w:evenHBand="0" w:firstRowFirstColumn="0" w:firstRowLastColumn="0" w:lastRowFirstColumn="0" w:lastRowLastColumn="0"/>
            <w:tcW w:w="9702" w:type="dxa"/>
            <w:gridSpan w:val="2"/>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FFFFFF" w:themeFill="background1"/>
          </w:tcPr>
          <w:p w:rsidRPr="003D5782" w:rsidR="00E060D4" w:rsidP="003D5782" w:rsidRDefault="00E060D4" w14:paraId="48411BFA" w14:textId="1CDD9C1C">
            <w:pPr>
              <w:pStyle w:val="Lijstalinea"/>
              <w:numPr>
                <w:ilvl w:val="0"/>
                <w:numId w:val="35"/>
              </w:numPr>
              <w:autoSpaceDE w:val="0"/>
              <w:autoSpaceDN w:val="0"/>
              <w:adjustRightInd w:val="0"/>
              <w:spacing w:line="276" w:lineRule="auto"/>
              <w:rPr>
                <w:rFonts w:ascii="Verdana" w:hAnsi="Verdana" w:cs="Verdana"/>
                <w:b w:val="0"/>
                <w:bCs w:val="0"/>
                <w:sz w:val="18"/>
                <w:szCs w:val="18"/>
              </w:rPr>
            </w:pPr>
            <w:r w:rsidRPr="003D5782">
              <w:rPr>
                <w:rFonts w:ascii="Verdana" w:hAnsi="Verdana" w:cs="Verdana"/>
                <w:b w:val="0"/>
                <w:bCs w:val="0"/>
                <w:sz w:val="18"/>
                <w:szCs w:val="18"/>
              </w:rPr>
              <w:t xml:space="preserve">Met deze variant wordt teruggekeerd naar </w:t>
            </w:r>
            <w:r w:rsidRPr="003D5782" w:rsidR="00C94915">
              <w:rPr>
                <w:rFonts w:ascii="Verdana" w:hAnsi="Verdana" w:cs="Verdana"/>
                <w:b w:val="0"/>
                <w:bCs w:val="0"/>
                <w:sz w:val="18"/>
                <w:szCs w:val="18"/>
              </w:rPr>
              <w:t xml:space="preserve">de </w:t>
            </w:r>
            <w:r w:rsidRPr="003D5782">
              <w:rPr>
                <w:rFonts w:ascii="Verdana" w:hAnsi="Verdana" w:cs="Verdana"/>
                <w:b w:val="0"/>
                <w:bCs w:val="0"/>
                <w:sz w:val="18"/>
                <w:szCs w:val="18"/>
              </w:rPr>
              <w:t>system</w:t>
            </w:r>
            <w:r w:rsidRPr="003D5782" w:rsidR="00C94915">
              <w:rPr>
                <w:rFonts w:ascii="Verdana" w:hAnsi="Verdana" w:cs="Verdana"/>
                <w:b w:val="0"/>
                <w:bCs w:val="0"/>
                <w:sz w:val="18"/>
                <w:szCs w:val="18"/>
              </w:rPr>
              <w:t>atiek</w:t>
            </w:r>
            <w:r w:rsidRPr="003D5782">
              <w:rPr>
                <w:rFonts w:ascii="Verdana" w:hAnsi="Verdana" w:cs="Verdana"/>
                <w:b w:val="0"/>
                <w:bCs w:val="0"/>
                <w:sz w:val="18"/>
                <w:szCs w:val="18"/>
              </w:rPr>
              <w:t xml:space="preserve"> </w:t>
            </w:r>
            <w:r w:rsidRPr="003D5782" w:rsidR="004047DF">
              <w:rPr>
                <w:rFonts w:ascii="Verdana" w:hAnsi="Verdana" w:cs="Verdana"/>
                <w:b w:val="0"/>
                <w:bCs w:val="0"/>
                <w:sz w:val="18"/>
                <w:szCs w:val="18"/>
              </w:rPr>
              <w:t>die gold</w:t>
            </w:r>
            <w:r w:rsidRPr="003D5782">
              <w:rPr>
                <w:rFonts w:ascii="Verdana" w:hAnsi="Verdana" w:cs="Verdana"/>
                <w:b w:val="0"/>
                <w:bCs w:val="0"/>
                <w:sz w:val="18"/>
                <w:szCs w:val="18"/>
              </w:rPr>
              <w:t xml:space="preserve"> voor 1 juli 2008. In </w:t>
            </w:r>
            <w:r w:rsidRPr="003D5782" w:rsidR="00C94915">
              <w:rPr>
                <w:rFonts w:ascii="Verdana" w:hAnsi="Verdana" w:cs="Verdana"/>
                <w:b w:val="0"/>
                <w:bCs w:val="0"/>
                <w:sz w:val="18"/>
                <w:szCs w:val="18"/>
              </w:rPr>
              <w:t xml:space="preserve">deze </w:t>
            </w:r>
            <w:r w:rsidRPr="003D5782">
              <w:rPr>
                <w:rFonts w:ascii="Verdana" w:hAnsi="Verdana" w:cs="Verdana"/>
                <w:b w:val="0"/>
                <w:bCs w:val="0"/>
                <w:sz w:val="18"/>
                <w:szCs w:val="18"/>
              </w:rPr>
              <w:t>system</w:t>
            </w:r>
            <w:r w:rsidRPr="003D5782" w:rsidR="00C94915">
              <w:rPr>
                <w:rFonts w:ascii="Verdana" w:hAnsi="Verdana" w:cs="Verdana"/>
                <w:b w:val="0"/>
                <w:bCs w:val="0"/>
                <w:sz w:val="18"/>
                <w:szCs w:val="18"/>
              </w:rPr>
              <w:t>atiek</w:t>
            </w:r>
            <w:r w:rsidRPr="003D5782" w:rsidR="00F05D9B">
              <w:rPr>
                <w:rFonts w:ascii="Verdana" w:hAnsi="Verdana" w:cs="Verdana"/>
                <w:b w:val="0"/>
                <w:bCs w:val="0"/>
                <w:sz w:val="18"/>
                <w:szCs w:val="18"/>
              </w:rPr>
              <w:t xml:space="preserve"> gelden verschillende tarieven vanwege </w:t>
            </w:r>
            <w:r w:rsidRPr="003D5782">
              <w:rPr>
                <w:rFonts w:ascii="Verdana" w:hAnsi="Verdana" w:cs="Verdana"/>
                <w:b w:val="0"/>
                <w:bCs w:val="0"/>
                <w:sz w:val="18"/>
                <w:szCs w:val="18"/>
              </w:rPr>
              <w:t xml:space="preserve">een rekenkundig systeem. Er geldt een standaardtarief voor aanbieders waarbij over de prijs kansspelbelasting geheven wordt. Om tot eenzelfde bedrag aan verschuldigde belasting te komen wordt bij nettoprijzen het tarief gebruteerd. </w:t>
            </w:r>
            <w:r w:rsidRPr="003D5782" w:rsidR="00F05D9B">
              <w:rPr>
                <w:rFonts w:ascii="Verdana" w:hAnsi="Verdana" w:cs="Verdana"/>
                <w:b w:val="0"/>
                <w:bCs w:val="0"/>
                <w:sz w:val="18"/>
                <w:szCs w:val="18"/>
              </w:rPr>
              <w:t>De verschuldigde belasting wordt dan berekend door de prijs te vermenigvuldigen met een bepaalde breuk.</w:t>
            </w:r>
            <w:r w:rsidRPr="003D5782" w:rsidR="004047DF">
              <w:rPr>
                <w:rStyle w:val="Voetnootmarkering"/>
                <w:rFonts w:ascii="Verdana" w:hAnsi="Verdana" w:cstheme="minorHAnsi"/>
                <w:b w:val="0"/>
                <w:bCs w:val="0"/>
                <w:sz w:val="18"/>
                <w:szCs w:val="18"/>
              </w:rPr>
              <w:footnoteReference w:id="6"/>
            </w:r>
            <w:r w:rsidRPr="003D5782" w:rsidR="00F05D9B">
              <w:rPr>
                <w:rFonts w:ascii="Verdana" w:hAnsi="Verdana" w:cs="Verdana"/>
                <w:b w:val="0"/>
                <w:bCs w:val="0"/>
                <w:sz w:val="18"/>
                <w:szCs w:val="18"/>
              </w:rPr>
              <w:t xml:space="preserve"> Deze systematiek bestaat </w:t>
            </w:r>
            <w:r w:rsidRPr="003D5782" w:rsidR="0067187E">
              <w:rPr>
                <w:rFonts w:ascii="Verdana" w:hAnsi="Verdana" w:cs="Verdana"/>
                <w:b w:val="0"/>
                <w:bCs w:val="0"/>
                <w:sz w:val="18"/>
                <w:szCs w:val="18"/>
              </w:rPr>
              <w:t xml:space="preserve">reeds in de kansspelbelasting bij </w:t>
            </w:r>
            <w:r w:rsidRPr="003D5782" w:rsidR="00D47DBE">
              <w:rPr>
                <w:rFonts w:ascii="Verdana" w:hAnsi="Verdana" w:cs="Verdana"/>
                <w:b w:val="0"/>
                <w:bCs w:val="0"/>
                <w:sz w:val="18"/>
                <w:szCs w:val="18"/>
              </w:rPr>
              <w:t xml:space="preserve">sommige </w:t>
            </w:r>
            <w:r w:rsidRPr="003D5782" w:rsidR="0067187E">
              <w:rPr>
                <w:rFonts w:ascii="Verdana" w:hAnsi="Verdana" w:cs="Verdana"/>
                <w:b w:val="0"/>
                <w:bCs w:val="0"/>
                <w:sz w:val="18"/>
                <w:szCs w:val="18"/>
              </w:rPr>
              <w:t>loterijen die de kansspelbelasting voor hun rekening nemen</w:t>
            </w:r>
            <w:r w:rsidRPr="003D5782" w:rsidR="001C3343">
              <w:rPr>
                <w:rFonts w:ascii="Verdana" w:hAnsi="Verdana" w:cs="Verdana"/>
                <w:b w:val="0"/>
                <w:bCs w:val="0"/>
                <w:sz w:val="18"/>
                <w:szCs w:val="18"/>
              </w:rPr>
              <w:t xml:space="preserve"> en</w:t>
            </w:r>
            <w:r w:rsidRPr="003D5782" w:rsidR="0067187E">
              <w:rPr>
                <w:rFonts w:ascii="Verdana" w:hAnsi="Verdana" w:cs="Verdana"/>
                <w:b w:val="0"/>
                <w:bCs w:val="0"/>
                <w:sz w:val="18"/>
                <w:szCs w:val="18"/>
              </w:rPr>
              <w:t xml:space="preserve"> </w:t>
            </w:r>
            <w:r w:rsidRPr="003D5782" w:rsidR="00F05D9B">
              <w:rPr>
                <w:rFonts w:ascii="Verdana" w:hAnsi="Verdana" w:cs="Verdana"/>
                <w:b w:val="0"/>
                <w:bCs w:val="0"/>
                <w:sz w:val="18"/>
                <w:szCs w:val="18"/>
              </w:rPr>
              <w:t>ook in de loonb</w:t>
            </w:r>
            <w:r w:rsidRPr="003D5782">
              <w:rPr>
                <w:rFonts w:ascii="Verdana" w:hAnsi="Verdana" w:cs="Verdana"/>
                <w:b w:val="0"/>
                <w:bCs w:val="0"/>
                <w:sz w:val="18"/>
                <w:szCs w:val="18"/>
              </w:rPr>
              <w:t>elasting en de schenkbelasting</w:t>
            </w:r>
            <w:r w:rsidRPr="003D5782" w:rsidR="00F05D9B">
              <w:rPr>
                <w:rFonts w:ascii="Verdana" w:hAnsi="Verdana" w:cs="Verdana"/>
                <w:b w:val="0"/>
                <w:bCs w:val="0"/>
                <w:sz w:val="18"/>
                <w:szCs w:val="18"/>
              </w:rPr>
              <w:t>.</w:t>
            </w:r>
          </w:p>
          <w:p w:rsidRPr="003D5782" w:rsidR="0045086F" w:rsidP="003D5782" w:rsidRDefault="0045086F" w14:paraId="3F9CA914" w14:textId="2384AFC7">
            <w:pPr>
              <w:pStyle w:val="Lijstalinea"/>
              <w:numPr>
                <w:ilvl w:val="0"/>
                <w:numId w:val="35"/>
              </w:numPr>
              <w:autoSpaceDE w:val="0"/>
              <w:autoSpaceDN w:val="0"/>
              <w:adjustRightInd w:val="0"/>
              <w:spacing w:line="276" w:lineRule="auto"/>
              <w:rPr>
                <w:rFonts w:ascii="Verdana" w:hAnsi="Verdana" w:cs="Verdana"/>
                <w:b w:val="0"/>
                <w:bCs w:val="0"/>
                <w:sz w:val="18"/>
                <w:szCs w:val="18"/>
              </w:rPr>
            </w:pPr>
            <w:r w:rsidRPr="003D5782">
              <w:rPr>
                <w:rFonts w:ascii="Verdana" w:hAnsi="Verdana" w:cs="Verdana"/>
                <w:b w:val="0"/>
                <w:bCs w:val="0"/>
                <w:sz w:val="18"/>
                <w:szCs w:val="18"/>
              </w:rPr>
              <w:t xml:space="preserve">Door deze formule </w:t>
            </w:r>
            <w:r w:rsidRPr="003D5782" w:rsidR="00693BAF">
              <w:rPr>
                <w:rFonts w:ascii="Verdana" w:hAnsi="Verdana" w:cs="Verdana"/>
                <w:b w:val="0"/>
                <w:bCs w:val="0"/>
                <w:sz w:val="18"/>
                <w:szCs w:val="18"/>
              </w:rPr>
              <w:t xml:space="preserve">wordt bij </w:t>
            </w:r>
            <w:r w:rsidRPr="003D5782">
              <w:rPr>
                <w:rFonts w:ascii="Verdana" w:hAnsi="Verdana" w:cs="Verdana"/>
                <w:b w:val="0"/>
                <w:bCs w:val="0"/>
                <w:sz w:val="18"/>
                <w:szCs w:val="18"/>
              </w:rPr>
              <w:t xml:space="preserve">een brutoprijs </w:t>
            </w:r>
            <w:r w:rsidRPr="003D5782" w:rsidR="00E02275">
              <w:rPr>
                <w:rFonts w:ascii="Verdana" w:hAnsi="Verdana" w:cs="Verdana"/>
                <w:b w:val="0"/>
                <w:bCs w:val="0"/>
                <w:sz w:val="18"/>
                <w:szCs w:val="18"/>
              </w:rPr>
              <w:t>hetzelfde bedrag aan belasting</w:t>
            </w:r>
            <w:r w:rsidRPr="003D5782">
              <w:rPr>
                <w:rFonts w:ascii="Verdana" w:hAnsi="Verdana" w:cs="Verdana"/>
                <w:b w:val="0"/>
                <w:bCs w:val="0"/>
                <w:sz w:val="18"/>
                <w:szCs w:val="18"/>
              </w:rPr>
              <w:t xml:space="preserve"> </w:t>
            </w:r>
            <w:r w:rsidRPr="003D5782" w:rsidR="00693BAF">
              <w:rPr>
                <w:rFonts w:ascii="Verdana" w:hAnsi="Verdana" w:cs="Verdana"/>
                <w:b w:val="0"/>
                <w:bCs w:val="0"/>
                <w:sz w:val="18"/>
                <w:szCs w:val="18"/>
              </w:rPr>
              <w:t xml:space="preserve">betaald </w:t>
            </w:r>
            <w:r w:rsidRPr="003D5782">
              <w:rPr>
                <w:rFonts w:ascii="Verdana" w:hAnsi="Verdana" w:cs="Verdana"/>
                <w:b w:val="0"/>
                <w:bCs w:val="0"/>
                <w:sz w:val="18"/>
                <w:szCs w:val="18"/>
              </w:rPr>
              <w:t xml:space="preserve">als een nettoprijs in de </w:t>
            </w:r>
            <w:r w:rsidRPr="003D5782" w:rsidR="00F05D9B">
              <w:rPr>
                <w:rFonts w:ascii="Verdana" w:hAnsi="Verdana" w:cs="Verdana"/>
                <w:b w:val="0"/>
                <w:bCs w:val="0"/>
                <w:sz w:val="18"/>
                <w:szCs w:val="18"/>
              </w:rPr>
              <w:t>k</w:t>
            </w:r>
            <w:r w:rsidRPr="003D5782">
              <w:rPr>
                <w:rFonts w:ascii="Verdana" w:hAnsi="Verdana" w:cs="Verdana"/>
                <w:b w:val="0"/>
                <w:bCs w:val="0"/>
                <w:sz w:val="18"/>
                <w:szCs w:val="18"/>
              </w:rPr>
              <w:t>ansspelbelasting</w:t>
            </w:r>
            <w:r w:rsidRPr="003D5782" w:rsidR="009D54B3">
              <w:rPr>
                <w:rFonts w:ascii="Verdana" w:hAnsi="Verdana" w:cs="Verdana"/>
                <w:b w:val="0"/>
                <w:bCs w:val="0"/>
                <w:sz w:val="18"/>
                <w:szCs w:val="18"/>
              </w:rPr>
              <w:t xml:space="preserve">. </w:t>
            </w:r>
          </w:p>
          <w:p w:rsidRPr="003D5782" w:rsidR="00F05D9B" w:rsidP="003D5782" w:rsidRDefault="00F05D9B" w14:paraId="7201AF55" w14:textId="3095F4F5">
            <w:pPr>
              <w:pStyle w:val="Lijstalinea"/>
              <w:numPr>
                <w:ilvl w:val="0"/>
                <w:numId w:val="35"/>
              </w:numPr>
              <w:autoSpaceDE w:val="0"/>
              <w:autoSpaceDN w:val="0"/>
              <w:adjustRightInd w:val="0"/>
              <w:spacing w:line="276" w:lineRule="auto"/>
              <w:rPr>
                <w:rFonts w:ascii="Verdana" w:hAnsi="Verdana" w:cs="Verdana"/>
                <w:sz w:val="18"/>
                <w:szCs w:val="18"/>
              </w:rPr>
            </w:pPr>
            <w:r w:rsidRPr="003D5782">
              <w:rPr>
                <w:rFonts w:ascii="Verdana" w:hAnsi="Verdana" w:cs="Verdana"/>
                <w:b w:val="0"/>
                <w:bCs w:val="0"/>
                <w:sz w:val="18"/>
                <w:szCs w:val="18"/>
              </w:rPr>
              <w:t>Bij de overgang van speelautomaten van het omzetbelasting naar het kansspelbelastingregime is dit verschil losgelaten.</w:t>
            </w:r>
          </w:p>
        </w:tc>
      </w:tr>
      <w:tr w:rsidRPr="003D5782" w:rsidR="00260999" w:rsidTr="00612582" w14:paraId="2610429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02" w:type="dxa"/>
            <w:gridSpan w:val="2"/>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hideMark/>
          </w:tcPr>
          <w:p w:rsidRPr="003D5782" w:rsidR="00260999" w:rsidP="003D5782" w:rsidRDefault="00260999" w14:paraId="178A0C8D" w14:textId="77777777">
            <w:pPr>
              <w:spacing w:after="255" w:line="276" w:lineRule="auto"/>
              <w:contextualSpacing/>
              <w:rPr>
                <w:szCs w:val="18"/>
                <w:lang w:val="nl-NL"/>
              </w:rPr>
            </w:pPr>
            <w:r w:rsidRPr="003D5782">
              <w:rPr>
                <w:szCs w:val="18"/>
                <w:lang w:val="nl-NL"/>
              </w:rPr>
              <w:t>Effecten</w:t>
            </w:r>
          </w:p>
        </w:tc>
      </w:tr>
      <w:tr w:rsidRPr="00E76289" w:rsidR="00260999" w:rsidTr="00612582" w14:paraId="13BA29EB" w14:textId="77777777">
        <w:tc>
          <w:tcPr>
            <w:cnfStyle w:val="001000000000" w:firstRow="0" w:lastRow="0" w:firstColumn="1" w:lastColumn="0" w:oddVBand="0" w:evenVBand="0" w:oddHBand="0" w:evenHBand="0" w:firstRowFirstColumn="0" w:firstRowLastColumn="0" w:lastRowFirstColumn="0" w:lastRowLastColumn="0"/>
            <w:tcW w:w="2286"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hideMark/>
          </w:tcPr>
          <w:p w:rsidRPr="003D5782" w:rsidR="00260999" w:rsidP="003D5782" w:rsidRDefault="00260999" w14:paraId="58D815CA" w14:textId="77777777">
            <w:pPr>
              <w:spacing w:after="255" w:line="276" w:lineRule="auto"/>
              <w:contextualSpacing/>
              <w:rPr>
                <w:szCs w:val="18"/>
                <w:lang w:val="nl-NL"/>
              </w:rPr>
            </w:pPr>
            <w:r w:rsidRPr="003D5782">
              <w:rPr>
                <w:szCs w:val="18"/>
                <w:lang w:val="nl-NL"/>
              </w:rPr>
              <w:t>Gevolgen burgers, bedrijven en kansspelbeleid</w:t>
            </w:r>
          </w:p>
        </w:tc>
        <w:tc>
          <w:tcPr>
            <w:tcW w:w="7416"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FFFFFF" w:themeFill="background1"/>
            <w:hideMark/>
          </w:tcPr>
          <w:p w:rsidRPr="003D5782" w:rsidR="00260999" w:rsidP="003D5782" w:rsidRDefault="00260999" w14:paraId="74C8CC48" w14:textId="77777777">
            <w:pPr>
              <w:spacing w:line="276" w:lineRule="auto"/>
              <w:cnfStyle w:val="000000000000" w:firstRow="0" w:lastRow="0" w:firstColumn="0" w:lastColumn="0" w:oddVBand="0" w:evenVBand="0" w:oddHBand="0" w:evenHBand="0" w:firstRowFirstColumn="0" w:firstRowLastColumn="0" w:lastRowFirstColumn="0" w:lastRowLastColumn="0"/>
              <w:rPr>
                <w:rFonts w:cs="Verdana"/>
                <w:i/>
                <w:iCs/>
                <w:szCs w:val="18"/>
                <w:lang w:val="nl-NL"/>
              </w:rPr>
            </w:pPr>
            <w:r w:rsidRPr="003D5782">
              <w:rPr>
                <w:rFonts w:cs="Verdana"/>
                <w:i/>
                <w:iCs/>
                <w:szCs w:val="18"/>
                <w:lang w:val="nl-NL"/>
              </w:rPr>
              <w:t>Gevolgen voor afdrachten</w:t>
            </w:r>
          </w:p>
          <w:p w:rsidRPr="003D5782" w:rsidR="004D61A2" w:rsidP="003D5782" w:rsidRDefault="00F05D9B" w14:paraId="4995C491" w14:textId="49194AF7">
            <w:pPr>
              <w:pStyle w:val="Lijstalinea"/>
              <w:numPr>
                <w:ilvl w:val="0"/>
                <w:numId w:val="33"/>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s="Verdana"/>
                <w:sz w:val="18"/>
                <w:szCs w:val="18"/>
              </w:rPr>
            </w:pPr>
            <w:r w:rsidRPr="003D5782">
              <w:rPr>
                <w:rFonts w:ascii="Verdana" w:hAnsi="Verdana" w:cs="Verdana"/>
                <w:sz w:val="18"/>
                <w:szCs w:val="18"/>
              </w:rPr>
              <w:t>Door het verlaagde tarief</w:t>
            </w:r>
            <w:r w:rsidRPr="003D5782" w:rsidR="00592BE5">
              <w:rPr>
                <w:rStyle w:val="Voetnootmarkering"/>
                <w:rFonts w:ascii="Verdana" w:hAnsi="Verdana" w:cstheme="minorHAnsi"/>
                <w:sz w:val="18"/>
                <w:szCs w:val="18"/>
              </w:rPr>
              <w:footnoteReference w:id="7"/>
            </w:r>
            <w:r w:rsidRPr="003D5782">
              <w:rPr>
                <w:rFonts w:ascii="Verdana" w:hAnsi="Verdana" w:cstheme="minorHAnsi"/>
                <w:sz w:val="18"/>
                <w:szCs w:val="18"/>
              </w:rPr>
              <w:t xml:space="preserve"> </w:t>
            </w:r>
            <w:r w:rsidRPr="003D5782">
              <w:rPr>
                <w:rFonts w:ascii="Verdana" w:hAnsi="Verdana" w:cs="Verdana"/>
                <w:sz w:val="18"/>
                <w:szCs w:val="18"/>
              </w:rPr>
              <w:t>hebben l</w:t>
            </w:r>
            <w:r w:rsidRPr="003D5782" w:rsidR="004D61A2">
              <w:rPr>
                <w:rFonts w:ascii="Verdana" w:hAnsi="Verdana" w:cs="Verdana"/>
                <w:sz w:val="18"/>
                <w:szCs w:val="18"/>
              </w:rPr>
              <w:t>oterijen meer financiële ruimte voor afdrachten.</w:t>
            </w:r>
            <w:r w:rsidRPr="003D5782" w:rsidR="00693BAF">
              <w:rPr>
                <w:rFonts w:ascii="Verdana" w:hAnsi="Verdana" w:cs="Verdana"/>
                <w:sz w:val="18"/>
                <w:szCs w:val="18"/>
              </w:rPr>
              <w:t xml:space="preserve"> Het is echter niet gegarandeerd dat de afdrachten daarmee stijgen</w:t>
            </w:r>
            <w:r w:rsidR="00833886">
              <w:rPr>
                <w:rFonts w:ascii="Verdana" w:hAnsi="Verdana" w:cs="Verdana"/>
                <w:sz w:val="18"/>
                <w:szCs w:val="18"/>
              </w:rPr>
              <w:t>, omdat loterijen een minimum percentage moeten afdragen en</w:t>
            </w:r>
            <w:r w:rsidR="00575D8A">
              <w:rPr>
                <w:rFonts w:ascii="Verdana" w:hAnsi="Verdana" w:cs="Verdana"/>
                <w:sz w:val="18"/>
                <w:szCs w:val="18"/>
              </w:rPr>
              <w:t xml:space="preserve"> het</w:t>
            </w:r>
            <w:r w:rsidR="00833886">
              <w:rPr>
                <w:rFonts w:ascii="Verdana" w:hAnsi="Verdana" w:cs="Verdana"/>
                <w:sz w:val="18"/>
                <w:szCs w:val="18"/>
              </w:rPr>
              <w:t xml:space="preserve"> surplus naar eigen inzicht kunnen besteden</w:t>
            </w:r>
            <w:r w:rsidRPr="003D5782" w:rsidR="00693BAF">
              <w:rPr>
                <w:rFonts w:ascii="Verdana" w:hAnsi="Verdana" w:cs="Verdana"/>
                <w:sz w:val="18"/>
                <w:szCs w:val="18"/>
              </w:rPr>
              <w:t>.</w:t>
            </w:r>
          </w:p>
          <w:p w:rsidRPr="003D5782" w:rsidR="00F05D9B" w:rsidP="003D5782" w:rsidRDefault="00F05D9B" w14:paraId="71DB2392" w14:textId="77777777">
            <w:pPr>
              <w:spacing w:line="276" w:lineRule="auto"/>
              <w:cnfStyle w:val="000000000000" w:firstRow="0" w:lastRow="0" w:firstColumn="0" w:lastColumn="0" w:oddVBand="0" w:evenVBand="0" w:oddHBand="0" w:evenHBand="0" w:firstRowFirstColumn="0" w:firstRowLastColumn="0" w:lastRowFirstColumn="0" w:lastRowLastColumn="0"/>
              <w:rPr>
                <w:rFonts w:cs="Verdana"/>
                <w:szCs w:val="18"/>
                <w:lang w:val="nl-NL"/>
              </w:rPr>
            </w:pPr>
          </w:p>
          <w:p w:rsidRPr="003D5782" w:rsidR="00341F14" w:rsidP="003D5782" w:rsidRDefault="00341F14" w14:paraId="11449619" w14:textId="424F7EF2">
            <w:pPr>
              <w:spacing w:line="276" w:lineRule="auto"/>
              <w:cnfStyle w:val="000000000000" w:firstRow="0" w:lastRow="0" w:firstColumn="0" w:lastColumn="0" w:oddVBand="0" w:evenVBand="0" w:oddHBand="0" w:evenHBand="0" w:firstRowFirstColumn="0" w:firstRowLastColumn="0" w:lastRowFirstColumn="0" w:lastRowLastColumn="0"/>
              <w:rPr>
                <w:rFonts w:cs="Verdana"/>
                <w:szCs w:val="18"/>
                <w:lang w:val="nl-NL"/>
              </w:rPr>
            </w:pPr>
            <w:r w:rsidRPr="003D5782">
              <w:rPr>
                <w:rFonts w:cs="Verdana"/>
                <w:i/>
                <w:szCs w:val="18"/>
                <w:lang w:val="nl-NL"/>
              </w:rPr>
              <w:t xml:space="preserve">Gevolgen kansspelbeleid </w:t>
            </w:r>
            <w:r w:rsidR="00BB57E6">
              <w:rPr>
                <w:rFonts w:cs="Verdana"/>
                <w:i/>
                <w:szCs w:val="18"/>
                <w:lang w:val="nl-NL"/>
              </w:rPr>
              <w:t xml:space="preserve">bescherming van burgers tegen </w:t>
            </w:r>
            <w:proofErr w:type="spellStart"/>
            <w:r w:rsidR="00BB57E6">
              <w:rPr>
                <w:rFonts w:cs="Verdana"/>
                <w:i/>
                <w:szCs w:val="18"/>
                <w:lang w:val="nl-NL"/>
              </w:rPr>
              <w:t>kansspelgerelateerde</w:t>
            </w:r>
            <w:proofErr w:type="spellEnd"/>
            <w:r w:rsidR="00BB57E6">
              <w:rPr>
                <w:rFonts w:cs="Verdana"/>
                <w:i/>
                <w:szCs w:val="18"/>
                <w:lang w:val="nl-NL"/>
              </w:rPr>
              <w:t xml:space="preserve"> schade en bestrijding illegaal aanbod</w:t>
            </w:r>
            <w:r w:rsidRPr="003D5782">
              <w:rPr>
                <w:rFonts w:cs="Verdana"/>
                <w:i/>
                <w:szCs w:val="18"/>
                <w:lang w:val="nl-NL"/>
              </w:rPr>
              <w:t xml:space="preserve"> </w:t>
            </w:r>
          </w:p>
          <w:p w:rsidRPr="003D5782" w:rsidR="00341F14" w:rsidP="003D5782" w:rsidRDefault="00341F14" w14:paraId="532B235C" w14:textId="7EC5F475">
            <w:pPr>
              <w:pStyle w:val="Lijstalinea"/>
              <w:numPr>
                <w:ilvl w:val="0"/>
                <w:numId w:val="33"/>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s="Verdana"/>
                <w:sz w:val="18"/>
                <w:szCs w:val="18"/>
              </w:rPr>
            </w:pPr>
            <w:r w:rsidRPr="003D5782">
              <w:rPr>
                <w:rFonts w:ascii="Verdana" w:hAnsi="Verdana" w:cs="Verdana"/>
                <w:sz w:val="18"/>
                <w:szCs w:val="18"/>
              </w:rPr>
              <w:t xml:space="preserve">Het tarief voor </w:t>
            </w:r>
            <w:proofErr w:type="spellStart"/>
            <w:r w:rsidRPr="003D5782">
              <w:rPr>
                <w:rFonts w:ascii="Verdana" w:hAnsi="Verdana" w:cs="Verdana"/>
                <w:sz w:val="18"/>
                <w:szCs w:val="18"/>
              </w:rPr>
              <w:t>landgebonden</w:t>
            </w:r>
            <w:proofErr w:type="spellEnd"/>
            <w:r w:rsidRPr="003D5782">
              <w:rPr>
                <w:rFonts w:ascii="Verdana" w:hAnsi="Verdana" w:cs="Verdana"/>
                <w:sz w:val="18"/>
                <w:szCs w:val="18"/>
              </w:rPr>
              <w:t xml:space="preserve"> (niet zijnde loterijen) en online kansspelen zal nog meer stijgen dan het </w:t>
            </w:r>
            <w:proofErr w:type="spellStart"/>
            <w:r w:rsidRPr="003D5782">
              <w:rPr>
                <w:rFonts w:ascii="Verdana" w:hAnsi="Verdana" w:cs="Verdana"/>
                <w:sz w:val="18"/>
                <w:szCs w:val="18"/>
              </w:rPr>
              <w:t>basispad</w:t>
            </w:r>
            <w:proofErr w:type="spellEnd"/>
            <w:r w:rsidRPr="003D5782">
              <w:rPr>
                <w:rFonts w:ascii="Verdana" w:hAnsi="Verdana" w:cs="Verdana"/>
                <w:sz w:val="18"/>
                <w:szCs w:val="18"/>
              </w:rPr>
              <w:t>.</w:t>
            </w:r>
            <w:r w:rsidRPr="003D5782" w:rsidR="006B2052">
              <w:rPr>
                <w:rFonts w:ascii="Verdana" w:hAnsi="Verdana" w:cs="Verdana"/>
                <w:kern w:val="0"/>
                <w:sz w:val="18"/>
                <w:szCs w:val="18"/>
                <w14:ligatures w14:val="none"/>
              </w:rPr>
              <w:t xml:space="preserve"> </w:t>
            </w:r>
            <w:r w:rsidRPr="003D5782" w:rsidR="006B2052">
              <w:rPr>
                <w:rFonts w:ascii="Verdana" w:hAnsi="Verdana" w:cs="Verdana"/>
                <w:sz w:val="18"/>
                <w:szCs w:val="18"/>
              </w:rPr>
              <w:t xml:space="preserve">Volgens het rapport van Atlas Research uit 2024 zal de huidige verhoging van de kansspelbelasting al grote gevolgen hebben en reorganisaties teweegbrengen, </w:t>
            </w:r>
            <w:r w:rsidR="00410F2B">
              <w:rPr>
                <w:rFonts w:ascii="Verdana" w:hAnsi="Verdana" w:cs="Verdana"/>
                <w:sz w:val="18"/>
                <w:szCs w:val="18"/>
              </w:rPr>
              <w:t>ook</w:t>
            </w:r>
            <w:r w:rsidRPr="003D5782" w:rsidR="006B2052">
              <w:rPr>
                <w:rFonts w:ascii="Verdana" w:hAnsi="Verdana" w:cs="Verdana"/>
                <w:sz w:val="18"/>
                <w:szCs w:val="18"/>
              </w:rPr>
              <w:t xml:space="preserve"> als er een nulresultaat bereikt wordt.</w:t>
            </w:r>
            <w:r w:rsidRPr="003D5782">
              <w:rPr>
                <w:rFonts w:ascii="Verdana" w:hAnsi="Verdana" w:cs="Verdana"/>
                <w:sz w:val="18"/>
                <w:szCs w:val="18"/>
              </w:rPr>
              <w:t xml:space="preserve"> Dit geeft met name risicospelers, die een grotere mobiliteit naar illegaal aanbod hebben een prikkel om illegaal te spelen. </w:t>
            </w:r>
          </w:p>
          <w:p w:rsidRPr="003D5782" w:rsidR="00341F14" w:rsidP="003D5782" w:rsidRDefault="00341F14" w14:paraId="38F8588A" w14:textId="77777777">
            <w:pPr>
              <w:pStyle w:val="Lijstalinea"/>
              <w:numPr>
                <w:ilvl w:val="0"/>
                <w:numId w:val="33"/>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s="Verdana"/>
                <w:sz w:val="18"/>
                <w:szCs w:val="18"/>
              </w:rPr>
            </w:pPr>
            <w:r w:rsidRPr="003D5782">
              <w:rPr>
                <w:rFonts w:ascii="Verdana" w:hAnsi="Verdana" w:cs="Verdana"/>
                <w:sz w:val="18"/>
                <w:szCs w:val="18"/>
              </w:rPr>
              <w:t>Deze verhoogde belastingdruk verslechtert de concurrentiepositie van legale aanbieders ten opzichte van illegale aanbieders, omdat er minder investeringen gedaan kunnen worden in het spelaanbod en bedrijfsmatige aanpassingen.</w:t>
            </w:r>
          </w:p>
          <w:p w:rsidRPr="003D5782" w:rsidR="006B2052" w:rsidP="003D5782" w:rsidRDefault="006B2052" w14:paraId="69525E5F" w14:textId="546B4761">
            <w:pPr>
              <w:pStyle w:val="Lijstalinea"/>
              <w:numPr>
                <w:ilvl w:val="0"/>
                <w:numId w:val="33"/>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s="Verdana"/>
                <w:sz w:val="18"/>
                <w:szCs w:val="18"/>
              </w:rPr>
            </w:pPr>
            <w:r w:rsidRPr="003D5782">
              <w:rPr>
                <w:rFonts w:ascii="Verdana" w:hAnsi="Verdana" w:cs="Verdana"/>
                <w:sz w:val="18"/>
                <w:szCs w:val="18"/>
              </w:rPr>
              <w:t xml:space="preserve">Een nog hogere belastingdruk voor kansspelaanbieders zal de markt </w:t>
            </w:r>
            <w:r w:rsidR="00087F2C">
              <w:rPr>
                <w:rFonts w:ascii="Verdana" w:hAnsi="Verdana" w:cs="Verdana"/>
                <w:sz w:val="18"/>
                <w:szCs w:val="18"/>
              </w:rPr>
              <w:t xml:space="preserve">naar verwachting </w:t>
            </w:r>
            <w:r w:rsidRPr="003D5782">
              <w:rPr>
                <w:rFonts w:ascii="Verdana" w:hAnsi="Verdana" w:cs="Verdana"/>
                <w:sz w:val="18"/>
                <w:szCs w:val="18"/>
              </w:rPr>
              <w:t xml:space="preserve">zwaar beïnvloeden en gevolgen hebben voor de kansspeldoelstellingen: bescherming van burgers tegen </w:t>
            </w:r>
            <w:proofErr w:type="spellStart"/>
            <w:r w:rsidRPr="003D5782">
              <w:rPr>
                <w:rFonts w:ascii="Verdana" w:hAnsi="Verdana" w:cs="Verdana"/>
                <w:sz w:val="18"/>
                <w:szCs w:val="18"/>
              </w:rPr>
              <w:t>kansspelgerelateerde</w:t>
            </w:r>
            <w:proofErr w:type="spellEnd"/>
            <w:r w:rsidRPr="003D5782">
              <w:rPr>
                <w:rFonts w:ascii="Verdana" w:hAnsi="Verdana" w:cs="Verdana"/>
                <w:sz w:val="18"/>
                <w:szCs w:val="18"/>
              </w:rPr>
              <w:t xml:space="preserve"> schade; tegengaan van </w:t>
            </w:r>
            <w:proofErr w:type="spellStart"/>
            <w:r w:rsidRPr="003D5782">
              <w:rPr>
                <w:rFonts w:ascii="Verdana" w:hAnsi="Verdana" w:cs="Verdana"/>
                <w:sz w:val="18"/>
                <w:szCs w:val="18"/>
              </w:rPr>
              <w:t>kansspelgerelateerde</w:t>
            </w:r>
            <w:proofErr w:type="spellEnd"/>
            <w:r w:rsidRPr="003D5782">
              <w:rPr>
                <w:rFonts w:ascii="Verdana" w:hAnsi="Verdana" w:cs="Verdana"/>
                <w:sz w:val="18"/>
                <w:szCs w:val="18"/>
              </w:rPr>
              <w:t xml:space="preserve"> criminaliteit; en het verhinderen van deelname aan illegaal spel en bestrijding van illegaal aanbod.</w:t>
            </w:r>
          </w:p>
          <w:p w:rsidRPr="003D5782" w:rsidR="00341F14" w:rsidP="003D5782" w:rsidRDefault="00341F14" w14:paraId="64CED7BE" w14:textId="73EF355B">
            <w:pPr>
              <w:pStyle w:val="Lijstalinea"/>
              <w:numPr>
                <w:ilvl w:val="0"/>
                <w:numId w:val="33"/>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s="Verdana"/>
                <w:sz w:val="18"/>
                <w:szCs w:val="18"/>
              </w:rPr>
            </w:pPr>
            <w:r w:rsidRPr="003D5782">
              <w:rPr>
                <w:rFonts w:ascii="Verdana" w:hAnsi="Verdana" w:cs="Verdana"/>
                <w:sz w:val="18"/>
                <w:szCs w:val="18"/>
              </w:rPr>
              <w:t>Omzetverlaging bij legale aanbieders kan tot gevolg hebben dat aanbieders hun product aantrekkelijker willen maken</w:t>
            </w:r>
            <w:r w:rsidR="00087F2C">
              <w:rPr>
                <w:rFonts w:ascii="Verdana" w:hAnsi="Verdana" w:cs="Verdana"/>
                <w:sz w:val="18"/>
                <w:szCs w:val="18"/>
              </w:rPr>
              <w:t xml:space="preserve"> om meer spelers te werven</w:t>
            </w:r>
            <w:r w:rsidRPr="003D5782">
              <w:rPr>
                <w:rFonts w:ascii="Verdana" w:hAnsi="Verdana" w:cs="Verdana"/>
                <w:sz w:val="18"/>
                <w:szCs w:val="18"/>
              </w:rPr>
              <w:t xml:space="preserve">. Ook als dit binnen de grenzen van de wet gebeurt, is dat een negatief effect op de kansspeldoelen, </w:t>
            </w:r>
            <w:r w:rsidR="00087F2C">
              <w:rPr>
                <w:rFonts w:ascii="Verdana" w:hAnsi="Verdana" w:cs="Verdana"/>
                <w:sz w:val="18"/>
                <w:szCs w:val="18"/>
              </w:rPr>
              <w:t xml:space="preserve">waar aanzuigende werking voorkomen dient te worden en bij de meest risicovolle kansspelen een ontmoedigingsbeleid past. </w:t>
            </w:r>
            <w:r w:rsidRPr="003D5782">
              <w:rPr>
                <w:rFonts w:ascii="Verdana" w:hAnsi="Verdana" w:cs="Verdana"/>
                <w:sz w:val="18"/>
                <w:szCs w:val="18"/>
              </w:rPr>
              <w:t xml:space="preserve"> </w:t>
            </w:r>
          </w:p>
          <w:p w:rsidRPr="003D5782" w:rsidR="00341F14" w:rsidP="003D5782" w:rsidRDefault="00341F14" w14:paraId="2FE48FBB" w14:textId="4C899799">
            <w:pPr>
              <w:pStyle w:val="Lijstalinea"/>
              <w:numPr>
                <w:ilvl w:val="0"/>
                <w:numId w:val="33"/>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s="Verdana"/>
                <w:sz w:val="18"/>
                <w:szCs w:val="18"/>
              </w:rPr>
            </w:pPr>
            <w:r w:rsidRPr="003D5782">
              <w:rPr>
                <w:rFonts w:ascii="Verdana" w:hAnsi="Verdana" w:cs="Verdana"/>
                <w:sz w:val="18"/>
                <w:szCs w:val="18"/>
              </w:rPr>
              <w:t xml:space="preserve">Daarnaast kunnen krasloten in deze variant ook onder het verlaagd tarief vallen. Bij krasloten kan namelijk over de prijs geheven worden en wordt niet over </w:t>
            </w:r>
            <w:proofErr w:type="spellStart"/>
            <w:r w:rsidRPr="003D5782">
              <w:rPr>
                <w:rFonts w:ascii="Verdana" w:hAnsi="Verdana" w:cs="Verdana"/>
                <w:sz w:val="18"/>
                <w:szCs w:val="18"/>
              </w:rPr>
              <w:t>brutospelresultaat</w:t>
            </w:r>
            <w:proofErr w:type="spellEnd"/>
            <w:r w:rsidRPr="003D5782">
              <w:rPr>
                <w:rFonts w:ascii="Verdana" w:hAnsi="Verdana" w:cs="Verdana"/>
                <w:sz w:val="18"/>
                <w:szCs w:val="18"/>
              </w:rPr>
              <w:t xml:space="preserve"> geheven. Krasloten zijn een kansspel met een hoog risico op verslaving en het is daarom </w:t>
            </w:r>
            <w:r w:rsidR="00087F2C">
              <w:rPr>
                <w:rFonts w:ascii="Verdana" w:hAnsi="Verdana" w:cs="Verdana"/>
                <w:sz w:val="18"/>
                <w:szCs w:val="18"/>
              </w:rPr>
              <w:t xml:space="preserve">zeer </w:t>
            </w:r>
            <w:r w:rsidRPr="003D5782">
              <w:rPr>
                <w:rFonts w:ascii="Verdana" w:hAnsi="Verdana" w:cs="Verdana"/>
                <w:sz w:val="18"/>
                <w:szCs w:val="18"/>
              </w:rPr>
              <w:t>ongewenst om deze fiscaal te stimuleren.</w:t>
            </w:r>
          </w:p>
          <w:p w:rsidRPr="003D5782" w:rsidR="00BC5C61" w:rsidP="003D5782" w:rsidRDefault="00BC5C61" w14:paraId="24AAA129" w14:textId="77777777">
            <w:pPr>
              <w:spacing w:line="276" w:lineRule="auto"/>
              <w:cnfStyle w:val="000000000000" w:firstRow="0" w:lastRow="0" w:firstColumn="0" w:lastColumn="0" w:oddVBand="0" w:evenVBand="0" w:oddHBand="0" w:evenHBand="0" w:firstRowFirstColumn="0" w:firstRowLastColumn="0" w:lastRowFirstColumn="0" w:lastRowLastColumn="0"/>
              <w:rPr>
                <w:rFonts w:cs="Verdana"/>
                <w:szCs w:val="18"/>
                <w:lang w:val="nl-NL"/>
              </w:rPr>
            </w:pPr>
          </w:p>
          <w:p w:rsidRPr="003D5782" w:rsidR="00260999" w:rsidP="003D5782" w:rsidRDefault="00260999" w14:paraId="1F2D271A" w14:textId="333E070F">
            <w:pPr>
              <w:spacing w:line="276" w:lineRule="auto"/>
              <w:cnfStyle w:val="000000000000" w:firstRow="0" w:lastRow="0" w:firstColumn="0" w:lastColumn="0" w:oddVBand="0" w:evenVBand="0" w:oddHBand="0" w:evenHBand="0" w:firstRowFirstColumn="0" w:firstRowLastColumn="0" w:lastRowFirstColumn="0" w:lastRowLastColumn="0"/>
              <w:rPr>
                <w:rFonts w:cs="Verdana"/>
                <w:i/>
                <w:iCs/>
                <w:szCs w:val="18"/>
                <w:lang w:val="nl-NL"/>
              </w:rPr>
            </w:pPr>
            <w:r w:rsidRPr="003D5782">
              <w:rPr>
                <w:rFonts w:cs="Verdana"/>
                <w:i/>
                <w:iCs/>
                <w:szCs w:val="18"/>
                <w:lang w:val="nl-NL"/>
              </w:rPr>
              <w:t xml:space="preserve">Gevolgen voor </w:t>
            </w:r>
            <w:r w:rsidRPr="003D5782" w:rsidR="00BC5C61">
              <w:rPr>
                <w:rFonts w:cs="Verdana"/>
                <w:i/>
                <w:iCs/>
                <w:szCs w:val="18"/>
                <w:lang w:val="nl-NL"/>
              </w:rPr>
              <w:t>de kansspelaanbieders</w:t>
            </w:r>
          </w:p>
          <w:p w:rsidRPr="003D5782" w:rsidR="004B0AEB" w:rsidP="003D5782" w:rsidRDefault="00BC5C61" w14:paraId="529E0888" w14:textId="73574333">
            <w:pPr>
              <w:spacing w:line="276" w:lineRule="auto"/>
              <w:cnfStyle w:val="000000000000" w:firstRow="0" w:lastRow="0" w:firstColumn="0" w:lastColumn="0" w:oddVBand="0" w:evenVBand="0" w:oddHBand="0" w:evenHBand="0" w:firstRowFirstColumn="0" w:firstRowLastColumn="0" w:lastRowFirstColumn="0" w:lastRowLastColumn="0"/>
              <w:rPr>
                <w:rFonts w:cs="Verdana"/>
                <w:szCs w:val="18"/>
                <w:lang w:val="nl-NL"/>
              </w:rPr>
            </w:pPr>
            <w:r w:rsidRPr="003D5782">
              <w:rPr>
                <w:rFonts w:cs="Verdana"/>
                <w:szCs w:val="18"/>
                <w:lang w:val="nl-NL"/>
              </w:rPr>
              <w:t>Loterijen hebben meer financiële ruimte om de afdrachten te verhogen, maar dit is niet gegarandeerd. Andere kansspelaanbieders zullen vanwege een nog hoger tarief nog meer aanpassingen moeten doen in hun bedrijfsvoeri</w:t>
            </w:r>
            <w:r w:rsidRPr="00575D8A">
              <w:rPr>
                <w:rFonts w:cs="Verdana"/>
                <w:szCs w:val="18"/>
                <w:lang w:val="nl-NL"/>
              </w:rPr>
              <w:t>ng</w:t>
            </w:r>
            <w:r w:rsidRPr="000605DC" w:rsidR="00575D8A">
              <w:rPr>
                <w:rFonts w:cs="Verdana"/>
                <w:szCs w:val="18"/>
                <w:lang w:val="nl-NL"/>
              </w:rPr>
              <w:t xml:space="preserve"> met mogelijk reorganisaties tot gevolg.</w:t>
            </w:r>
            <w:r w:rsidRPr="000605DC" w:rsidR="005D18E5">
              <w:rPr>
                <w:rFonts w:cs="Verdana"/>
                <w:szCs w:val="18"/>
                <w:lang w:val="nl-NL"/>
              </w:rPr>
              <w:t xml:space="preserve"> </w:t>
            </w:r>
          </w:p>
        </w:tc>
      </w:tr>
      <w:tr w:rsidRPr="00E76289" w:rsidR="00260999" w:rsidTr="00612582" w14:paraId="4ACE05E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6"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hideMark/>
          </w:tcPr>
          <w:p w:rsidRPr="003D5782" w:rsidR="00260999" w:rsidP="003D5782" w:rsidRDefault="00EE38C0" w14:paraId="67E6CE0C" w14:textId="1BBB2C71">
            <w:pPr>
              <w:spacing w:after="255" w:line="276" w:lineRule="auto"/>
              <w:contextualSpacing/>
              <w:rPr>
                <w:szCs w:val="18"/>
              </w:rPr>
            </w:pPr>
            <w:r w:rsidRPr="003D5782">
              <w:rPr>
                <w:szCs w:val="18"/>
                <w:lang w:val="nl-NL"/>
              </w:rPr>
              <w:t>Budgettair</w:t>
            </w:r>
          </w:p>
        </w:tc>
        <w:tc>
          <w:tcPr>
            <w:tcW w:w="7416"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FFFFFF" w:themeFill="background1"/>
          </w:tcPr>
          <w:p w:rsidRPr="003D5782" w:rsidR="00260999" w:rsidP="003D5782" w:rsidRDefault="00EE38C0" w14:paraId="1835A1F9" w14:textId="76A4B8F9">
            <w:pPr>
              <w:spacing w:line="276" w:lineRule="auto"/>
              <w:cnfStyle w:val="000000100000" w:firstRow="0" w:lastRow="0" w:firstColumn="0" w:lastColumn="0" w:oddVBand="0" w:evenVBand="0" w:oddHBand="1" w:evenHBand="0" w:firstRowFirstColumn="0" w:firstRowLastColumn="0" w:lastRowFirstColumn="0" w:lastRowLastColumn="0"/>
              <w:rPr>
                <w:i/>
                <w:iCs/>
                <w:szCs w:val="18"/>
                <w:lang w:val="nl-NL"/>
              </w:rPr>
            </w:pPr>
            <w:r w:rsidRPr="003D5782">
              <w:rPr>
                <w:i/>
                <w:iCs/>
                <w:szCs w:val="18"/>
                <w:lang w:val="nl-NL"/>
              </w:rPr>
              <w:t>Uitleg raming</w:t>
            </w:r>
          </w:p>
          <w:p w:rsidRPr="003D5782" w:rsidR="00E02275" w:rsidP="003D5782" w:rsidRDefault="0018103A" w14:paraId="01C6A6B3" w14:textId="30AE3601">
            <w:pPr>
              <w:spacing w:line="276" w:lineRule="auto"/>
              <w:cnfStyle w:val="000000100000" w:firstRow="0" w:lastRow="0" w:firstColumn="0" w:lastColumn="0" w:oddVBand="0" w:evenVBand="0" w:oddHBand="1" w:evenHBand="0" w:firstRowFirstColumn="0" w:firstRowLastColumn="0" w:lastRowFirstColumn="0" w:lastRowLastColumn="0"/>
              <w:rPr>
                <w:szCs w:val="18"/>
                <w:lang w:val="nl-NL"/>
              </w:rPr>
            </w:pPr>
            <w:r w:rsidRPr="003D5782">
              <w:rPr>
                <w:szCs w:val="18"/>
                <w:lang w:val="nl-NL"/>
              </w:rPr>
              <w:t xml:space="preserve">Deze raming heeft als doel om </w:t>
            </w:r>
            <w:r w:rsidRPr="003D5782" w:rsidR="00576134">
              <w:rPr>
                <w:szCs w:val="18"/>
                <w:lang w:val="nl-NL"/>
              </w:rPr>
              <w:t xml:space="preserve">de </w:t>
            </w:r>
            <w:r w:rsidRPr="003D5782">
              <w:rPr>
                <w:szCs w:val="18"/>
                <w:lang w:val="nl-NL"/>
              </w:rPr>
              <w:t>tarie</w:t>
            </w:r>
            <w:r w:rsidRPr="003D5782" w:rsidR="00576134">
              <w:rPr>
                <w:szCs w:val="18"/>
                <w:lang w:val="nl-NL"/>
              </w:rPr>
              <w:t>ven</w:t>
            </w:r>
            <w:r w:rsidRPr="003D5782">
              <w:rPr>
                <w:szCs w:val="18"/>
                <w:lang w:val="nl-NL"/>
              </w:rPr>
              <w:t xml:space="preserve"> vast te stellen</w:t>
            </w:r>
            <w:r w:rsidRPr="003D5782" w:rsidR="00576134">
              <w:rPr>
                <w:szCs w:val="18"/>
                <w:lang w:val="nl-NL"/>
              </w:rPr>
              <w:t xml:space="preserve"> bij dit scenario. Ook is er geanalyseerd of</w:t>
            </w:r>
            <w:r w:rsidRPr="003D5782">
              <w:rPr>
                <w:szCs w:val="18"/>
                <w:lang w:val="nl-NL"/>
              </w:rPr>
              <w:t xml:space="preserve"> loterijen meer of minder belasting gaan afdragen ten opzichte</w:t>
            </w:r>
            <w:r w:rsidRPr="003D5782" w:rsidR="00576134">
              <w:rPr>
                <w:szCs w:val="18"/>
                <w:lang w:val="nl-NL"/>
              </w:rPr>
              <w:t xml:space="preserve"> van</w:t>
            </w:r>
            <w:r w:rsidRPr="003D5782">
              <w:rPr>
                <w:szCs w:val="18"/>
                <w:lang w:val="nl-NL"/>
              </w:rPr>
              <w:t xml:space="preserve"> 2023. </w:t>
            </w:r>
            <w:r w:rsidRPr="003D5782" w:rsidR="00E02275">
              <w:rPr>
                <w:szCs w:val="18"/>
                <w:lang w:val="nl-NL"/>
              </w:rPr>
              <w:t>Loterije</w:t>
            </w:r>
            <w:r w:rsidRPr="003D5782">
              <w:rPr>
                <w:szCs w:val="18"/>
                <w:lang w:val="nl-NL"/>
              </w:rPr>
              <w:t xml:space="preserve">n </w:t>
            </w:r>
            <w:r w:rsidRPr="003D5782" w:rsidR="00576134">
              <w:rPr>
                <w:szCs w:val="18"/>
                <w:lang w:val="nl-NL"/>
              </w:rPr>
              <w:t>zijn over hun uitgekeerde prijzen belast met een</w:t>
            </w:r>
            <w:r w:rsidRPr="003D5782" w:rsidR="00E02275">
              <w:rPr>
                <w:szCs w:val="18"/>
                <w:lang w:val="nl-NL"/>
              </w:rPr>
              <w:t xml:space="preserve"> standaardtarief. Overige aanbieders</w:t>
            </w:r>
            <w:r w:rsidRPr="003D5782" w:rsidR="00576134">
              <w:rPr>
                <w:szCs w:val="18"/>
                <w:lang w:val="nl-NL"/>
              </w:rPr>
              <w:t xml:space="preserve"> zijn belast over </w:t>
            </w:r>
            <w:r w:rsidRPr="003D5782" w:rsidR="00FA5028">
              <w:rPr>
                <w:szCs w:val="18"/>
                <w:lang w:val="nl-NL"/>
              </w:rPr>
              <w:t>h</w:t>
            </w:r>
            <w:r w:rsidRPr="003D5782" w:rsidR="00576134">
              <w:rPr>
                <w:szCs w:val="18"/>
                <w:lang w:val="nl-NL"/>
              </w:rPr>
              <w:t>e</w:t>
            </w:r>
            <w:r w:rsidRPr="003D5782" w:rsidR="00FA5028">
              <w:rPr>
                <w:szCs w:val="18"/>
                <w:lang w:val="nl-NL"/>
              </w:rPr>
              <w:t>t</w:t>
            </w:r>
            <w:r w:rsidRPr="003D5782" w:rsidR="00576134">
              <w:rPr>
                <w:szCs w:val="18"/>
                <w:lang w:val="nl-NL"/>
              </w:rPr>
              <w:t xml:space="preserve"> </w:t>
            </w:r>
            <w:proofErr w:type="spellStart"/>
            <w:r w:rsidRPr="003D5782" w:rsidR="00576134">
              <w:rPr>
                <w:szCs w:val="18"/>
                <w:lang w:val="nl-NL"/>
              </w:rPr>
              <w:t>brutospelresultaat</w:t>
            </w:r>
            <w:proofErr w:type="spellEnd"/>
            <w:r w:rsidRPr="003D5782" w:rsidR="00576134">
              <w:rPr>
                <w:szCs w:val="18"/>
                <w:lang w:val="nl-NL"/>
              </w:rPr>
              <w:t xml:space="preserve"> met</w:t>
            </w:r>
            <w:r w:rsidRPr="003D5782" w:rsidR="00E02275">
              <w:rPr>
                <w:szCs w:val="18"/>
                <w:lang w:val="nl-NL"/>
              </w:rPr>
              <w:t xml:space="preserve"> het hoge tarief</w:t>
            </w:r>
            <w:r w:rsidRPr="003D5782" w:rsidR="00576134">
              <w:rPr>
                <w:szCs w:val="18"/>
                <w:lang w:val="nl-NL"/>
              </w:rPr>
              <w:t xml:space="preserve">. </w:t>
            </w:r>
            <w:r w:rsidRPr="003D5782" w:rsidR="00E02275">
              <w:rPr>
                <w:szCs w:val="18"/>
                <w:lang w:val="nl-NL"/>
              </w:rPr>
              <w:t xml:space="preserve">Alleen het standaardtarief is aanpasbaar, het hoge tarief is </w:t>
            </w:r>
            <w:r w:rsidRPr="003D5782" w:rsidR="00791F3A">
              <w:rPr>
                <w:szCs w:val="18"/>
                <w:lang w:val="nl-NL"/>
              </w:rPr>
              <w:t xml:space="preserve">direct </w:t>
            </w:r>
            <w:r w:rsidRPr="003D5782" w:rsidR="00E02275">
              <w:rPr>
                <w:szCs w:val="18"/>
                <w:lang w:val="nl-NL"/>
              </w:rPr>
              <w:t>uit dit standaardtarief berekend.</w:t>
            </w:r>
            <w:r w:rsidRPr="003D5782" w:rsidR="00576134">
              <w:rPr>
                <w:szCs w:val="18"/>
                <w:lang w:val="nl-NL"/>
              </w:rPr>
              <w:t xml:space="preserve"> De p</w:t>
            </w:r>
            <w:r w:rsidRPr="003D5782" w:rsidR="001A2B89">
              <w:rPr>
                <w:szCs w:val="18"/>
                <w:lang w:val="nl-NL"/>
              </w:rPr>
              <w:t>rijzenvrijstelling blijft gehandhaafd</w:t>
            </w:r>
            <w:r w:rsidRPr="003D5782" w:rsidR="00576134">
              <w:rPr>
                <w:szCs w:val="18"/>
                <w:lang w:val="nl-NL"/>
              </w:rPr>
              <w:t>.</w:t>
            </w:r>
            <w:r w:rsidRPr="003D5782" w:rsidR="00E567AE">
              <w:rPr>
                <w:szCs w:val="18"/>
                <w:lang w:val="nl-NL"/>
              </w:rPr>
              <w:t xml:space="preserve"> Vanwege uitvoerbaarheid is gekozen voor een raming </w:t>
            </w:r>
            <w:r w:rsidRPr="003D5782" w:rsidR="00B75E07">
              <w:rPr>
                <w:szCs w:val="18"/>
                <w:lang w:val="nl-NL"/>
              </w:rPr>
              <w:t>van</w:t>
            </w:r>
            <w:r w:rsidRPr="003D5782" w:rsidR="00E567AE">
              <w:rPr>
                <w:szCs w:val="18"/>
                <w:lang w:val="nl-NL"/>
              </w:rPr>
              <w:t xml:space="preserve"> het jaar 2030.</w:t>
            </w:r>
          </w:p>
          <w:p w:rsidRPr="003D5782" w:rsidR="00261FDD" w:rsidP="003D5782" w:rsidRDefault="00261FDD" w14:paraId="5928D914" w14:textId="77777777">
            <w:pPr>
              <w:spacing w:line="276" w:lineRule="auto"/>
              <w:cnfStyle w:val="000000100000" w:firstRow="0" w:lastRow="0" w:firstColumn="0" w:lastColumn="0" w:oddVBand="0" w:evenVBand="0" w:oddHBand="1" w:evenHBand="0" w:firstRowFirstColumn="0" w:firstRowLastColumn="0" w:lastRowFirstColumn="0" w:lastRowLastColumn="0"/>
              <w:rPr>
                <w:szCs w:val="18"/>
                <w:lang w:val="nl-NL"/>
              </w:rPr>
            </w:pPr>
          </w:p>
          <w:p w:rsidRPr="003D5782" w:rsidR="00576134" w:rsidP="003D5782" w:rsidRDefault="00EE38C0" w14:paraId="724A00FC" w14:textId="77777777">
            <w:pPr>
              <w:spacing w:line="276" w:lineRule="auto"/>
              <w:cnfStyle w:val="000000100000" w:firstRow="0" w:lastRow="0" w:firstColumn="0" w:lastColumn="0" w:oddVBand="0" w:evenVBand="0" w:oddHBand="1" w:evenHBand="0" w:firstRowFirstColumn="0" w:firstRowLastColumn="0" w:lastRowFirstColumn="0" w:lastRowLastColumn="0"/>
              <w:rPr>
                <w:i/>
                <w:iCs/>
                <w:szCs w:val="18"/>
                <w:lang w:val="nl-NL"/>
              </w:rPr>
            </w:pPr>
            <w:r w:rsidRPr="003D5782">
              <w:rPr>
                <w:i/>
                <w:iCs/>
                <w:szCs w:val="18"/>
                <w:lang w:val="nl-NL"/>
              </w:rPr>
              <w:t>Resultaat</w:t>
            </w:r>
          </w:p>
          <w:p w:rsidRPr="003D5782" w:rsidR="001A2B89" w:rsidP="003D5782" w:rsidRDefault="00F90B73" w14:paraId="2DBAFFF5" w14:textId="076E5985">
            <w:pPr>
              <w:spacing w:after="255" w:line="276" w:lineRule="auto"/>
              <w:cnfStyle w:val="000000100000" w:firstRow="0" w:lastRow="0" w:firstColumn="0" w:lastColumn="0" w:oddVBand="0" w:evenVBand="0" w:oddHBand="1" w:evenHBand="0" w:firstRowFirstColumn="0" w:firstRowLastColumn="0" w:lastRowFirstColumn="0" w:lastRowLastColumn="0"/>
              <w:rPr>
                <w:szCs w:val="18"/>
                <w:lang w:val="nl-NL"/>
              </w:rPr>
            </w:pPr>
            <w:r w:rsidRPr="003D5782">
              <w:rPr>
                <w:szCs w:val="18"/>
                <w:lang w:val="nl-NL"/>
              </w:rPr>
              <w:t>Bij een budgettair neutrale raming krijgen loterijen een tarief van 28,6%. Overige kansspelen krijgen te maken met een tarief van 40,1%. Loterijen gaan hierdoor 3 miljoen minder belasting afdragen</w:t>
            </w:r>
            <w:r w:rsidR="00575D8A">
              <w:rPr>
                <w:szCs w:val="18"/>
                <w:lang w:val="nl-NL"/>
              </w:rPr>
              <w:t>.</w:t>
            </w:r>
          </w:p>
          <w:tbl>
            <w:tblPr>
              <w:tblW w:w="5500" w:type="dxa"/>
              <w:tblCellMar>
                <w:left w:w="70" w:type="dxa"/>
                <w:right w:w="70" w:type="dxa"/>
              </w:tblCellMar>
              <w:tblLook w:val="04A0" w:firstRow="1" w:lastRow="0" w:firstColumn="1" w:lastColumn="0" w:noHBand="0" w:noVBand="1"/>
            </w:tblPr>
            <w:tblGrid>
              <w:gridCol w:w="4420"/>
              <w:gridCol w:w="1080"/>
            </w:tblGrid>
            <w:tr w:rsidRPr="003D5782" w:rsidR="00EE38C0" w:rsidTr="00EE38C0" w14:paraId="30216A2D" w14:textId="77777777">
              <w:trPr>
                <w:trHeight w:val="300"/>
              </w:trPr>
              <w:tc>
                <w:tcPr>
                  <w:tcW w:w="442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D5782" w:rsidR="00EE38C0" w:rsidP="003D5782" w:rsidRDefault="00D06BF9" w14:paraId="4DFE7F84" w14:textId="7B33199C">
                  <w:pPr>
                    <w:spacing w:after="0" w:line="276" w:lineRule="auto"/>
                    <w:rPr>
                      <w:rFonts w:eastAsia="Times New Roman" w:cs="Times New Roman"/>
                      <w:b/>
                      <w:bCs/>
                      <w:color w:val="171616"/>
                      <w:szCs w:val="18"/>
                      <w:lang w:val="nl-NL" w:eastAsia="nl-NL"/>
                    </w:rPr>
                  </w:pPr>
                  <w:r w:rsidRPr="003D5782">
                    <w:rPr>
                      <w:b/>
                      <w:bCs/>
                      <w:szCs w:val="18"/>
                      <w:lang w:val="nl-NL"/>
                    </w:rPr>
                    <w:t>Terugkeer systeem van voor 1 juli 2008</w:t>
                  </w:r>
                </w:p>
              </w:tc>
              <w:tc>
                <w:tcPr>
                  <w:tcW w:w="1080" w:type="dxa"/>
                  <w:tcBorders>
                    <w:top w:val="single" w:color="auto" w:sz="4" w:space="0"/>
                    <w:left w:val="nil"/>
                    <w:bottom w:val="single" w:color="auto" w:sz="4" w:space="0"/>
                    <w:right w:val="single" w:color="auto" w:sz="4" w:space="0"/>
                  </w:tcBorders>
                  <w:shd w:val="clear" w:color="auto" w:fill="auto"/>
                  <w:noWrap/>
                  <w:vAlign w:val="bottom"/>
                  <w:hideMark/>
                </w:tcPr>
                <w:p w:rsidRPr="003D5782" w:rsidR="00EE38C0" w:rsidP="003D5782" w:rsidRDefault="00EE38C0" w14:paraId="376EC8FD" w14:textId="0675615C">
                  <w:pPr>
                    <w:spacing w:after="0" w:line="276" w:lineRule="auto"/>
                    <w:jc w:val="right"/>
                    <w:rPr>
                      <w:rFonts w:eastAsia="Times New Roman" w:cs="Times New Roman"/>
                      <w:b/>
                      <w:bCs/>
                      <w:color w:val="171616"/>
                      <w:szCs w:val="18"/>
                      <w:lang w:val="nl-NL" w:eastAsia="nl-NL"/>
                    </w:rPr>
                  </w:pPr>
                  <w:r w:rsidRPr="003D5782">
                    <w:rPr>
                      <w:rFonts w:eastAsia="Times New Roman" w:cs="Times New Roman"/>
                      <w:b/>
                      <w:bCs/>
                      <w:color w:val="171616"/>
                      <w:szCs w:val="18"/>
                      <w:lang w:val="nl-NL" w:eastAsia="nl-NL"/>
                    </w:rPr>
                    <w:t>20</w:t>
                  </w:r>
                  <w:r w:rsidRPr="003D5782" w:rsidR="007A167D">
                    <w:rPr>
                      <w:rFonts w:eastAsia="Times New Roman" w:cs="Times New Roman"/>
                      <w:b/>
                      <w:bCs/>
                      <w:color w:val="171616"/>
                      <w:szCs w:val="18"/>
                      <w:lang w:val="nl-NL" w:eastAsia="nl-NL"/>
                    </w:rPr>
                    <w:t>30</w:t>
                  </w:r>
                </w:p>
              </w:tc>
            </w:tr>
            <w:tr w:rsidRPr="003D5782" w:rsidR="00B4048C" w:rsidTr="00EE38C0" w14:paraId="6CFFC217" w14:textId="77777777">
              <w:trPr>
                <w:trHeight w:val="300"/>
              </w:trPr>
              <w:tc>
                <w:tcPr>
                  <w:tcW w:w="4420" w:type="dxa"/>
                  <w:tcBorders>
                    <w:top w:val="nil"/>
                    <w:left w:val="single" w:color="auto" w:sz="4" w:space="0"/>
                    <w:bottom w:val="single" w:color="auto" w:sz="4" w:space="0"/>
                    <w:right w:val="single" w:color="auto" w:sz="4" w:space="0"/>
                  </w:tcBorders>
                  <w:shd w:val="clear" w:color="auto" w:fill="auto"/>
                  <w:noWrap/>
                  <w:vAlign w:val="bottom"/>
                  <w:hideMark/>
                </w:tcPr>
                <w:p w:rsidRPr="003D5782" w:rsidR="00B4048C" w:rsidP="003D5782" w:rsidRDefault="00D06BF9" w14:paraId="0CF31924" w14:textId="5F2925B8">
                  <w:pPr>
                    <w:spacing w:after="0" w:line="276" w:lineRule="auto"/>
                    <w:rPr>
                      <w:rFonts w:eastAsia="Times New Roman" w:cs="Times New Roman"/>
                      <w:color w:val="171616"/>
                      <w:szCs w:val="18"/>
                      <w:lang w:val="nl-NL" w:eastAsia="nl-NL"/>
                    </w:rPr>
                  </w:pPr>
                  <w:r w:rsidRPr="003D5782">
                    <w:rPr>
                      <w:rFonts w:eastAsia="Times New Roman" w:cs="Times New Roman"/>
                      <w:color w:val="171616"/>
                      <w:szCs w:val="18"/>
                      <w:lang w:val="nl-NL" w:eastAsia="nl-NL"/>
                    </w:rPr>
                    <w:t>Standaard</w:t>
                  </w:r>
                  <w:r w:rsidRPr="003D5782" w:rsidR="00B4048C">
                    <w:rPr>
                      <w:rFonts w:eastAsia="Times New Roman" w:cs="Times New Roman"/>
                      <w:color w:val="171616"/>
                      <w:szCs w:val="18"/>
                      <w:lang w:val="nl-NL" w:eastAsia="nl-NL"/>
                    </w:rPr>
                    <w:t>tarief</w:t>
                  </w:r>
                  <w:r w:rsidRPr="003D5782">
                    <w:rPr>
                      <w:rFonts w:eastAsia="Times New Roman" w:cs="Times New Roman"/>
                      <w:color w:val="171616"/>
                      <w:szCs w:val="18"/>
                      <w:lang w:val="nl-NL" w:eastAsia="nl-NL"/>
                    </w:rPr>
                    <w:t xml:space="preserve"> (loterijen)</w:t>
                  </w:r>
                </w:p>
              </w:tc>
              <w:tc>
                <w:tcPr>
                  <w:tcW w:w="1080" w:type="dxa"/>
                  <w:tcBorders>
                    <w:top w:val="nil"/>
                    <w:left w:val="nil"/>
                    <w:bottom w:val="single" w:color="auto" w:sz="4" w:space="0"/>
                    <w:right w:val="single" w:color="auto" w:sz="4" w:space="0"/>
                  </w:tcBorders>
                  <w:shd w:val="clear" w:color="auto" w:fill="auto"/>
                  <w:noWrap/>
                  <w:vAlign w:val="bottom"/>
                  <w:hideMark/>
                </w:tcPr>
                <w:p w:rsidRPr="003D5782" w:rsidR="00B4048C" w:rsidP="003D5782" w:rsidRDefault="00B4048C" w14:paraId="651836EB" w14:textId="4A980CDE">
                  <w:pPr>
                    <w:spacing w:after="0" w:line="276" w:lineRule="auto"/>
                    <w:jc w:val="right"/>
                    <w:rPr>
                      <w:rFonts w:eastAsia="Times New Roman" w:cs="Times New Roman"/>
                      <w:color w:val="171616"/>
                      <w:szCs w:val="18"/>
                      <w:lang w:val="nl-NL" w:eastAsia="nl-NL"/>
                    </w:rPr>
                  </w:pPr>
                  <w:r w:rsidRPr="003D5782">
                    <w:rPr>
                      <w:color w:val="171616"/>
                      <w:szCs w:val="18"/>
                      <w:lang w:val="nl-NL"/>
                    </w:rPr>
                    <w:t>28,6%</w:t>
                  </w:r>
                </w:p>
              </w:tc>
            </w:tr>
            <w:tr w:rsidRPr="003D5782" w:rsidR="00B4048C" w:rsidTr="00EE38C0" w14:paraId="68B48A7E" w14:textId="77777777">
              <w:trPr>
                <w:trHeight w:val="300"/>
              </w:trPr>
              <w:tc>
                <w:tcPr>
                  <w:tcW w:w="4420" w:type="dxa"/>
                  <w:tcBorders>
                    <w:top w:val="nil"/>
                    <w:left w:val="single" w:color="auto" w:sz="4" w:space="0"/>
                    <w:bottom w:val="single" w:color="auto" w:sz="4" w:space="0"/>
                    <w:right w:val="single" w:color="auto" w:sz="4" w:space="0"/>
                  </w:tcBorders>
                  <w:shd w:val="clear" w:color="auto" w:fill="auto"/>
                  <w:noWrap/>
                  <w:vAlign w:val="bottom"/>
                  <w:hideMark/>
                </w:tcPr>
                <w:p w:rsidRPr="003D5782" w:rsidR="00B4048C" w:rsidP="003D5782" w:rsidRDefault="00D06BF9" w14:paraId="2AC5DBB3" w14:textId="5B568280">
                  <w:pPr>
                    <w:spacing w:after="0" w:line="276" w:lineRule="auto"/>
                    <w:rPr>
                      <w:rFonts w:eastAsia="Times New Roman" w:cs="Times New Roman"/>
                      <w:color w:val="171616"/>
                      <w:szCs w:val="18"/>
                      <w:lang w:val="nl-NL" w:eastAsia="nl-NL"/>
                    </w:rPr>
                  </w:pPr>
                  <w:r w:rsidRPr="003D5782">
                    <w:rPr>
                      <w:rFonts w:eastAsia="Times New Roman" w:cs="Times New Roman"/>
                      <w:color w:val="171616"/>
                      <w:szCs w:val="18"/>
                      <w:lang w:val="nl-NL" w:eastAsia="nl-NL"/>
                    </w:rPr>
                    <w:t xml:space="preserve">Hoog </w:t>
                  </w:r>
                  <w:r w:rsidRPr="003D5782" w:rsidR="00B4048C">
                    <w:rPr>
                      <w:rFonts w:eastAsia="Times New Roman" w:cs="Times New Roman"/>
                      <w:color w:val="171616"/>
                      <w:szCs w:val="18"/>
                      <w:lang w:val="nl-NL" w:eastAsia="nl-NL"/>
                    </w:rPr>
                    <w:t>tarief</w:t>
                  </w:r>
                  <w:r w:rsidRPr="003D5782">
                    <w:rPr>
                      <w:rFonts w:eastAsia="Times New Roman" w:cs="Times New Roman"/>
                      <w:color w:val="171616"/>
                      <w:szCs w:val="18"/>
                      <w:lang w:val="nl-NL" w:eastAsia="nl-NL"/>
                    </w:rPr>
                    <w:t xml:space="preserve"> (overige aanbieders)</w:t>
                  </w:r>
                </w:p>
              </w:tc>
              <w:tc>
                <w:tcPr>
                  <w:tcW w:w="1080" w:type="dxa"/>
                  <w:tcBorders>
                    <w:top w:val="nil"/>
                    <w:left w:val="nil"/>
                    <w:bottom w:val="single" w:color="auto" w:sz="4" w:space="0"/>
                    <w:right w:val="single" w:color="auto" w:sz="4" w:space="0"/>
                  </w:tcBorders>
                  <w:shd w:val="clear" w:color="auto" w:fill="auto"/>
                  <w:noWrap/>
                  <w:vAlign w:val="bottom"/>
                  <w:hideMark/>
                </w:tcPr>
                <w:p w:rsidRPr="003D5782" w:rsidR="00B4048C" w:rsidP="003D5782" w:rsidRDefault="00B4048C" w14:paraId="038A38E0" w14:textId="18FC65CF">
                  <w:pPr>
                    <w:spacing w:after="0" w:line="276" w:lineRule="auto"/>
                    <w:jc w:val="right"/>
                    <w:rPr>
                      <w:rFonts w:eastAsia="Times New Roman" w:cs="Times New Roman"/>
                      <w:color w:val="171616"/>
                      <w:szCs w:val="18"/>
                      <w:lang w:val="nl-NL" w:eastAsia="nl-NL"/>
                    </w:rPr>
                  </w:pPr>
                  <w:r w:rsidRPr="003D5782">
                    <w:rPr>
                      <w:color w:val="171616"/>
                      <w:szCs w:val="18"/>
                      <w:lang w:val="nl-NL"/>
                    </w:rPr>
                    <w:t>40,1%</w:t>
                  </w:r>
                </w:p>
              </w:tc>
            </w:tr>
            <w:tr w:rsidRPr="00E76289" w:rsidR="00B4048C" w:rsidTr="00EE38C0" w14:paraId="0F4D93B2" w14:textId="77777777">
              <w:trPr>
                <w:trHeight w:val="300"/>
              </w:trPr>
              <w:tc>
                <w:tcPr>
                  <w:tcW w:w="4420" w:type="dxa"/>
                  <w:tcBorders>
                    <w:top w:val="nil"/>
                    <w:left w:val="single" w:color="auto" w:sz="4" w:space="0"/>
                    <w:bottom w:val="single" w:color="auto" w:sz="4" w:space="0"/>
                    <w:right w:val="single" w:color="auto" w:sz="4" w:space="0"/>
                  </w:tcBorders>
                  <w:shd w:val="clear" w:color="auto" w:fill="auto"/>
                  <w:noWrap/>
                  <w:vAlign w:val="bottom"/>
                  <w:hideMark/>
                </w:tcPr>
                <w:p w:rsidRPr="003D5782" w:rsidR="00B4048C" w:rsidP="003D5782" w:rsidRDefault="00D06BF9" w14:paraId="6735F545" w14:textId="1E45F27F">
                  <w:pPr>
                    <w:spacing w:after="0" w:line="276" w:lineRule="auto"/>
                    <w:rPr>
                      <w:rFonts w:eastAsia="Times New Roman" w:cs="Times New Roman"/>
                      <w:color w:val="171616"/>
                      <w:szCs w:val="18"/>
                      <w:lang w:val="nl-NL" w:eastAsia="nl-NL"/>
                    </w:rPr>
                  </w:pPr>
                  <w:r w:rsidRPr="003D5782">
                    <w:rPr>
                      <w:rFonts w:eastAsia="Times New Roman" w:cs="Times New Roman"/>
                      <w:color w:val="171616"/>
                      <w:szCs w:val="18"/>
                      <w:lang w:val="nl-NL" w:eastAsia="nl-NL"/>
                    </w:rPr>
                    <w:t>Minder/meer belasting door loterijen (mln.)</w:t>
                  </w:r>
                </w:p>
              </w:tc>
              <w:tc>
                <w:tcPr>
                  <w:tcW w:w="1080" w:type="dxa"/>
                  <w:tcBorders>
                    <w:top w:val="nil"/>
                    <w:left w:val="nil"/>
                    <w:bottom w:val="single" w:color="auto" w:sz="4" w:space="0"/>
                    <w:right w:val="single" w:color="auto" w:sz="4" w:space="0"/>
                  </w:tcBorders>
                  <w:shd w:val="clear" w:color="auto" w:fill="auto"/>
                  <w:noWrap/>
                  <w:vAlign w:val="bottom"/>
                  <w:hideMark/>
                </w:tcPr>
                <w:p w:rsidRPr="003D5782" w:rsidR="00B4048C" w:rsidP="003D5782" w:rsidRDefault="00B4048C" w14:paraId="1C0F3AC0" w14:textId="6179E107">
                  <w:pPr>
                    <w:spacing w:after="0" w:line="276" w:lineRule="auto"/>
                    <w:jc w:val="right"/>
                    <w:rPr>
                      <w:rFonts w:eastAsia="Times New Roman" w:cs="Times New Roman"/>
                      <w:color w:val="171616"/>
                      <w:szCs w:val="18"/>
                      <w:lang w:val="nl-NL" w:eastAsia="nl-NL"/>
                    </w:rPr>
                  </w:pPr>
                  <w:r w:rsidRPr="003D5782">
                    <w:rPr>
                      <w:color w:val="171616"/>
                      <w:szCs w:val="18"/>
                      <w:lang w:val="nl-NL"/>
                    </w:rPr>
                    <w:t xml:space="preserve">         </w:t>
                  </w:r>
                  <w:r w:rsidRPr="003D5782" w:rsidR="00F90B73">
                    <w:rPr>
                      <w:color w:val="171616"/>
                      <w:szCs w:val="18"/>
                      <w:lang w:val="nl-NL"/>
                    </w:rPr>
                    <w:t>-</w:t>
                  </w:r>
                  <w:r w:rsidRPr="003D5782" w:rsidR="00B62BB3">
                    <w:rPr>
                      <w:color w:val="171616"/>
                      <w:szCs w:val="18"/>
                      <w:lang w:val="nl-NL"/>
                    </w:rPr>
                    <w:t xml:space="preserve"> </w:t>
                  </w:r>
                  <w:r w:rsidRPr="003D5782" w:rsidR="00F90B73">
                    <w:rPr>
                      <w:color w:val="171616"/>
                      <w:szCs w:val="18"/>
                      <w:lang w:val="nl-NL"/>
                    </w:rPr>
                    <w:t>3</w:t>
                  </w:r>
                  <w:r w:rsidRPr="003D5782">
                    <w:rPr>
                      <w:color w:val="171616"/>
                      <w:szCs w:val="18"/>
                      <w:lang w:val="nl-NL"/>
                    </w:rPr>
                    <w:t xml:space="preserve"> </w:t>
                  </w:r>
                </w:p>
              </w:tc>
            </w:tr>
          </w:tbl>
          <w:p w:rsidRPr="003D5782" w:rsidR="00261FDD" w:rsidP="003D5782" w:rsidRDefault="00261FDD" w14:paraId="7F2E1742" w14:textId="77777777">
            <w:pPr>
              <w:spacing w:line="276" w:lineRule="auto"/>
              <w:cnfStyle w:val="000000100000" w:firstRow="0" w:lastRow="0" w:firstColumn="0" w:lastColumn="0" w:oddVBand="0" w:evenVBand="0" w:oddHBand="1" w:evenHBand="0" w:firstRowFirstColumn="0" w:firstRowLastColumn="0" w:lastRowFirstColumn="0" w:lastRowLastColumn="0"/>
              <w:rPr>
                <w:i/>
                <w:iCs/>
                <w:szCs w:val="18"/>
                <w:lang w:val="nl-NL"/>
              </w:rPr>
            </w:pPr>
          </w:p>
          <w:p w:rsidRPr="003D5782" w:rsidR="00EE38C0" w:rsidP="003D5782" w:rsidRDefault="00EE38C0" w14:paraId="1A4CA57E" w14:textId="544F3EEE">
            <w:pPr>
              <w:spacing w:line="276" w:lineRule="auto"/>
              <w:cnfStyle w:val="000000100000" w:firstRow="0" w:lastRow="0" w:firstColumn="0" w:lastColumn="0" w:oddVBand="0" w:evenVBand="0" w:oddHBand="1" w:evenHBand="0" w:firstRowFirstColumn="0" w:firstRowLastColumn="0" w:lastRowFirstColumn="0" w:lastRowLastColumn="0"/>
              <w:rPr>
                <w:i/>
                <w:iCs/>
                <w:szCs w:val="18"/>
                <w:lang w:val="nl-NL"/>
              </w:rPr>
            </w:pPr>
            <w:r w:rsidRPr="003D5782">
              <w:rPr>
                <w:i/>
                <w:iCs/>
                <w:szCs w:val="18"/>
                <w:lang w:val="nl-NL"/>
              </w:rPr>
              <w:t>Aannames</w:t>
            </w:r>
            <w:r w:rsidRPr="003D5782" w:rsidR="00315767">
              <w:rPr>
                <w:i/>
                <w:iCs/>
                <w:szCs w:val="18"/>
                <w:lang w:val="nl-NL"/>
              </w:rPr>
              <w:t>/onderbouwing</w:t>
            </w:r>
          </w:p>
          <w:p w:rsidRPr="003D5782" w:rsidR="000954F7" w:rsidP="003D5782" w:rsidRDefault="003055D8" w14:paraId="1C7B8C9C" w14:textId="66F17573">
            <w:pPr>
              <w:spacing w:after="255" w:line="276" w:lineRule="auto"/>
              <w:cnfStyle w:val="000000100000" w:firstRow="0" w:lastRow="0" w:firstColumn="0" w:lastColumn="0" w:oddVBand="0" w:evenVBand="0" w:oddHBand="1" w:evenHBand="0" w:firstRowFirstColumn="0" w:firstRowLastColumn="0" w:lastRowFirstColumn="0" w:lastRowLastColumn="0"/>
              <w:rPr>
                <w:szCs w:val="18"/>
                <w:lang w:val="nl-NL"/>
              </w:rPr>
            </w:pPr>
            <w:r w:rsidRPr="003D5782">
              <w:rPr>
                <w:szCs w:val="18"/>
                <w:lang w:val="nl-NL"/>
              </w:rPr>
              <w:t>De r</w:t>
            </w:r>
            <w:r w:rsidRPr="003D5782" w:rsidR="00B3113D">
              <w:rPr>
                <w:szCs w:val="18"/>
                <w:lang w:val="nl-NL"/>
              </w:rPr>
              <w:t xml:space="preserve">amingen </w:t>
            </w:r>
            <w:r w:rsidRPr="003D5782">
              <w:rPr>
                <w:szCs w:val="18"/>
                <w:lang w:val="nl-NL"/>
              </w:rPr>
              <w:t xml:space="preserve">is </w:t>
            </w:r>
            <w:r w:rsidRPr="003D5782" w:rsidR="00B3113D">
              <w:rPr>
                <w:szCs w:val="18"/>
                <w:lang w:val="nl-NL"/>
              </w:rPr>
              <w:t>op basis van data uit 2023</w:t>
            </w:r>
            <w:r w:rsidRPr="003D5782" w:rsidR="004754CE">
              <w:rPr>
                <w:szCs w:val="18"/>
                <w:lang w:val="nl-NL"/>
              </w:rPr>
              <w:t xml:space="preserve"> e</w:t>
            </w:r>
            <w:r w:rsidRPr="003D5782" w:rsidR="00B3113D">
              <w:rPr>
                <w:szCs w:val="18"/>
                <w:lang w:val="nl-NL"/>
              </w:rPr>
              <w:t xml:space="preserve">n belastingopbrengsten </w:t>
            </w:r>
            <w:r w:rsidRPr="003D5782" w:rsidR="004754CE">
              <w:rPr>
                <w:szCs w:val="18"/>
                <w:lang w:val="nl-NL"/>
              </w:rPr>
              <w:t>van het</w:t>
            </w:r>
            <w:r w:rsidRPr="003D5782" w:rsidR="00B3113D">
              <w:rPr>
                <w:szCs w:val="18"/>
                <w:lang w:val="nl-NL"/>
              </w:rPr>
              <w:t xml:space="preserve"> CEP2025.</w:t>
            </w:r>
            <w:r w:rsidRPr="003D5782" w:rsidR="002A26C7">
              <w:rPr>
                <w:szCs w:val="18"/>
                <w:lang w:val="nl-NL"/>
              </w:rPr>
              <w:t xml:space="preserve"> </w:t>
            </w:r>
            <w:r w:rsidRPr="003D5782" w:rsidR="00B3113D">
              <w:rPr>
                <w:szCs w:val="18"/>
                <w:lang w:val="nl-NL"/>
              </w:rPr>
              <w:t xml:space="preserve">Er zijn gedragseffecten van 50% gehanteerd voor tarieven boven 37,8%. Overige gedragseffecten zijn 20%. Gedragseffecten zijn op basis van een KSB tarief </w:t>
            </w:r>
            <w:r w:rsidRPr="003D5782" w:rsidR="000B739D">
              <w:rPr>
                <w:szCs w:val="18"/>
                <w:lang w:val="nl-NL"/>
              </w:rPr>
              <w:t>ter hoogte van</w:t>
            </w:r>
            <w:r w:rsidRPr="003D5782" w:rsidR="00B3113D">
              <w:rPr>
                <w:szCs w:val="18"/>
                <w:lang w:val="nl-NL"/>
              </w:rPr>
              <w:t xml:space="preserve"> 37,8% in 20</w:t>
            </w:r>
            <w:r w:rsidRPr="003D5782" w:rsidR="005A332A">
              <w:rPr>
                <w:szCs w:val="18"/>
                <w:lang w:val="nl-NL"/>
              </w:rPr>
              <w:t>30</w:t>
            </w:r>
            <w:r w:rsidRPr="003D5782" w:rsidR="00B3113D">
              <w:rPr>
                <w:szCs w:val="18"/>
                <w:lang w:val="nl-NL"/>
              </w:rPr>
              <w:t xml:space="preserve">. </w:t>
            </w:r>
            <w:r w:rsidRPr="003D5782" w:rsidR="009B08AA">
              <w:rPr>
                <w:szCs w:val="18"/>
                <w:lang w:val="nl-NL"/>
              </w:rPr>
              <w:t xml:space="preserve">Eventuele veranderingen in Inkomstenbelasting, vennootschapsbelasting en </w:t>
            </w:r>
            <w:r w:rsidRPr="003D5782" w:rsidR="00D8684C">
              <w:rPr>
                <w:szCs w:val="18"/>
                <w:lang w:val="nl-NL"/>
              </w:rPr>
              <w:t xml:space="preserve">afdrachten van de </w:t>
            </w:r>
            <w:r w:rsidRPr="003D5782" w:rsidR="009B08AA">
              <w:rPr>
                <w:szCs w:val="18"/>
                <w:lang w:val="nl-NL"/>
              </w:rPr>
              <w:t>staatsdeelneming</w:t>
            </w:r>
            <w:r w:rsidRPr="003D5782" w:rsidR="00D8684C">
              <w:rPr>
                <w:szCs w:val="18"/>
                <w:lang w:val="nl-NL"/>
              </w:rPr>
              <w:t>en</w:t>
            </w:r>
            <w:r w:rsidRPr="003D5782" w:rsidR="009B08AA">
              <w:rPr>
                <w:szCs w:val="18"/>
                <w:lang w:val="nl-NL"/>
              </w:rPr>
              <w:t xml:space="preserve"> zijn niet meegenomen.</w:t>
            </w:r>
          </w:p>
        </w:tc>
      </w:tr>
      <w:tr w:rsidRPr="00E76289" w:rsidR="00260999" w:rsidTr="00612582" w14:paraId="22DADC88" w14:textId="77777777">
        <w:tc>
          <w:tcPr>
            <w:cnfStyle w:val="001000000000" w:firstRow="0" w:lastRow="0" w:firstColumn="1" w:lastColumn="0" w:oddVBand="0" w:evenVBand="0" w:oddHBand="0" w:evenHBand="0" w:firstRowFirstColumn="0" w:firstRowLastColumn="0" w:lastRowFirstColumn="0" w:lastRowLastColumn="0"/>
            <w:tcW w:w="2286"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hideMark/>
          </w:tcPr>
          <w:p w:rsidRPr="003D5782" w:rsidR="00260999" w:rsidP="003D5782" w:rsidRDefault="00260999" w14:paraId="5CC44DF8" w14:textId="77777777">
            <w:pPr>
              <w:spacing w:after="255" w:line="276" w:lineRule="auto"/>
              <w:contextualSpacing/>
              <w:rPr>
                <w:szCs w:val="18"/>
                <w:lang w:val="nl-NL"/>
              </w:rPr>
            </w:pPr>
            <w:r w:rsidRPr="003D5782">
              <w:rPr>
                <w:szCs w:val="18"/>
                <w:lang w:val="nl-NL"/>
              </w:rPr>
              <w:t>Uitvoeringsaspecten</w:t>
            </w:r>
          </w:p>
        </w:tc>
        <w:tc>
          <w:tcPr>
            <w:tcW w:w="7416"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FFFFFF" w:themeFill="background1"/>
            <w:hideMark/>
          </w:tcPr>
          <w:p w:rsidRPr="003D5782" w:rsidR="00260999" w:rsidP="003D5782" w:rsidRDefault="00260999" w14:paraId="71F01D00" w14:textId="77777777">
            <w:pPr>
              <w:spacing w:line="276" w:lineRule="auto"/>
              <w:cnfStyle w:val="000000000000" w:firstRow="0" w:lastRow="0" w:firstColumn="0" w:lastColumn="0" w:oddVBand="0" w:evenVBand="0" w:oddHBand="0" w:evenHBand="0" w:firstRowFirstColumn="0" w:firstRowLastColumn="0" w:lastRowFirstColumn="0" w:lastRowLastColumn="0"/>
              <w:rPr>
                <w:rFonts w:eastAsia="SymbolMT" w:cs="Verdana"/>
                <w:i/>
                <w:iCs/>
                <w:szCs w:val="18"/>
                <w:lang w:val="nl-NL"/>
              </w:rPr>
            </w:pPr>
            <w:r w:rsidRPr="003D5782">
              <w:rPr>
                <w:rFonts w:eastAsia="SymbolMT" w:cs="Verdana"/>
                <w:i/>
                <w:iCs/>
                <w:szCs w:val="18"/>
                <w:lang w:val="nl-NL"/>
              </w:rPr>
              <w:t>Uitvoerbaarheid bedrijven</w:t>
            </w:r>
          </w:p>
          <w:p w:rsidRPr="003D5782" w:rsidR="00813EB3" w:rsidP="003D5782" w:rsidRDefault="00813EB3" w14:paraId="088732ED" w14:textId="3FD6CF61">
            <w:pPr>
              <w:spacing w:line="276" w:lineRule="auto"/>
              <w:cnfStyle w:val="000000000000" w:firstRow="0" w:lastRow="0" w:firstColumn="0" w:lastColumn="0" w:oddVBand="0" w:evenVBand="0" w:oddHBand="0" w:evenHBand="0" w:firstRowFirstColumn="0" w:firstRowLastColumn="0" w:lastRowFirstColumn="0" w:lastRowLastColumn="0"/>
              <w:rPr>
                <w:rFonts w:eastAsia="SymbolMT" w:cs="Verdana"/>
                <w:szCs w:val="18"/>
                <w:lang w:val="nl-NL"/>
              </w:rPr>
            </w:pPr>
            <w:r w:rsidRPr="003D5782">
              <w:rPr>
                <w:rFonts w:eastAsia="SymbolMT" w:cs="Verdana"/>
                <w:szCs w:val="18"/>
                <w:lang w:val="nl-NL"/>
              </w:rPr>
              <w:t>Voor de kansspelaanbieders is deze variant uitvoerbaar</w:t>
            </w:r>
            <w:r w:rsidR="00087F2C">
              <w:rPr>
                <w:rFonts w:eastAsia="SymbolMT" w:cs="Verdana"/>
                <w:szCs w:val="18"/>
                <w:lang w:val="nl-NL"/>
              </w:rPr>
              <w:t xml:space="preserve"> wat betreft het doen van belastingaangifte</w:t>
            </w:r>
            <w:r w:rsidRPr="003D5782" w:rsidR="00D8684C">
              <w:rPr>
                <w:rFonts w:eastAsia="SymbolMT" w:cs="Verdana"/>
                <w:szCs w:val="18"/>
                <w:lang w:val="nl-NL"/>
              </w:rPr>
              <w:t>, aangezien de huidige systematiek blijft bestaan</w:t>
            </w:r>
            <w:r w:rsidRPr="003D5782">
              <w:rPr>
                <w:rFonts w:eastAsia="SymbolMT" w:cs="Verdana"/>
                <w:szCs w:val="18"/>
                <w:lang w:val="nl-NL"/>
              </w:rPr>
              <w:t>. Wel zullen de overige kansspelaanbieders</w:t>
            </w:r>
            <w:r w:rsidRPr="003D5782" w:rsidR="00D8684C">
              <w:rPr>
                <w:rFonts w:eastAsia="SymbolMT" w:cs="Verdana"/>
                <w:szCs w:val="18"/>
                <w:lang w:val="nl-NL"/>
              </w:rPr>
              <w:t xml:space="preserve"> (niet zijnde loterijen)</w:t>
            </w:r>
            <w:r w:rsidRPr="003D5782">
              <w:rPr>
                <w:rFonts w:eastAsia="SymbolMT" w:cs="Verdana"/>
                <w:szCs w:val="18"/>
                <w:lang w:val="nl-NL"/>
              </w:rPr>
              <w:t xml:space="preserve"> forse aanpassingen in hun bedrijfsvoering moeten toepasse</w:t>
            </w:r>
            <w:r w:rsidRPr="003D5782" w:rsidR="00D8684C">
              <w:rPr>
                <w:rFonts w:eastAsia="SymbolMT" w:cs="Verdana"/>
                <w:szCs w:val="18"/>
                <w:lang w:val="nl-NL"/>
              </w:rPr>
              <w:t>n vanwege het hogere kansspelbelastingtarief.</w:t>
            </w:r>
            <w:r w:rsidRPr="003D5782" w:rsidR="009612B6">
              <w:rPr>
                <w:rFonts w:eastAsia="SymbolMT" w:cs="Verdana"/>
                <w:szCs w:val="18"/>
                <w:lang w:val="nl-NL"/>
              </w:rPr>
              <w:t xml:space="preserve"> De business case van bedrijven die </w:t>
            </w:r>
            <w:proofErr w:type="spellStart"/>
            <w:r w:rsidRPr="003D5782" w:rsidR="009612B6">
              <w:rPr>
                <w:rFonts w:eastAsia="SymbolMT" w:cs="Verdana"/>
                <w:szCs w:val="18"/>
                <w:lang w:val="nl-NL"/>
              </w:rPr>
              <w:t>hoogrisicospelen</w:t>
            </w:r>
            <w:proofErr w:type="spellEnd"/>
            <w:r w:rsidRPr="003D5782" w:rsidR="009612B6">
              <w:rPr>
                <w:rFonts w:eastAsia="SymbolMT" w:cs="Verdana"/>
                <w:szCs w:val="18"/>
                <w:lang w:val="nl-NL"/>
              </w:rPr>
              <w:t xml:space="preserve"> aanbieden, zal verder worden bemoeilijkt wordt, met mogelijk uitval en negatieve effecten </w:t>
            </w:r>
            <w:r w:rsidR="00087F2C">
              <w:rPr>
                <w:rFonts w:eastAsia="SymbolMT" w:cs="Verdana"/>
                <w:szCs w:val="18"/>
                <w:lang w:val="nl-NL"/>
              </w:rPr>
              <w:t xml:space="preserve">op de kansspeldoelstellingen </w:t>
            </w:r>
            <w:r w:rsidRPr="003D5782" w:rsidR="009612B6">
              <w:rPr>
                <w:rFonts w:eastAsia="SymbolMT" w:cs="Verdana"/>
                <w:szCs w:val="18"/>
                <w:lang w:val="nl-NL"/>
              </w:rPr>
              <w:t>als gevolg.</w:t>
            </w:r>
          </w:p>
          <w:p w:rsidRPr="003D5782" w:rsidR="00260999" w:rsidP="003D5782" w:rsidRDefault="00260999" w14:paraId="3808A0E1" w14:textId="77777777">
            <w:pPr>
              <w:spacing w:line="276" w:lineRule="auto"/>
              <w:cnfStyle w:val="000000000000" w:firstRow="0" w:lastRow="0" w:firstColumn="0" w:lastColumn="0" w:oddVBand="0" w:evenVBand="0" w:oddHBand="0" w:evenHBand="0" w:firstRowFirstColumn="0" w:firstRowLastColumn="0" w:lastRowFirstColumn="0" w:lastRowLastColumn="0"/>
              <w:rPr>
                <w:rFonts w:eastAsia="SymbolMT" w:cs="Verdana"/>
                <w:szCs w:val="18"/>
                <w:lang w:val="nl-NL"/>
              </w:rPr>
            </w:pPr>
          </w:p>
          <w:p w:rsidRPr="003D5782" w:rsidR="00260999" w:rsidP="003D5782" w:rsidRDefault="00260999" w14:paraId="0EA151A6" w14:textId="77777777">
            <w:pPr>
              <w:spacing w:line="276" w:lineRule="auto"/>
              <w:cnfStyle w:val="000000000000" w:firstRow="0" w:lastRow="0" w:firstColumn="0" w:lastColumn="0" w:oddVBand="0" w:evenVBand="0" w:oddHBand="0" w:evenHBand="0" w:firstRowFirstColumn="0" w:firstRowLastColumn="0" w:lastRowFirstColumn="0" w:lastRowLastColumn="0"/>
              <w:rPr>
                <w:rFonts w:eastAsia="SymbolMT" w:cs="Verdana"/>
                <w:i/>
                <w:iCs/>
                <w:szCs w:val="18"/>
                <w:lang w:val="nl-NL"/>
              </w:rPr>
            </w:pPr>
            <w:r w:rsidRPr="003D5782">
              <w:rPr>
                <w:rFonts w:eastAsia="SymbolMT" w:cs="Verdana"/>
                <w:i/>
                <w:iCs/>
                <w:szCs w:val="18"/>
                <w:lang w:val="nl-NL"/>
              </w:rPr>
              <w:t xml:space="preserve">Uitvoerbaarheid BD </w:t>
            </w:r>
          </w:p>
          <w:p w:rsidRPr="003D5782" w:rsidR="00D9323F" w:rsidP="003D5782" w:rsidRDefault="00D9323F" w14:paraId="148E3091" w14:textId="2CC96578">
            <w:pPr>
              <w:spacing w:line="276" w:lineRule="auto"/>
              <w:cnfStyle w:val="000000000000" w:firstRow="0" w:lastRow="0" w:firstColumn="0" w:lastColumn="0" w:oddVBand="0" w:evenVBand="0" w:oddHBand="0" w:evenHBand="0" w:firstRowFirstColumn="0" w:firstRowLastColumn="0" w:lastRowFirstColumn="0" w:lastRowLastColumn="0"/>
              <w:rPr>
                <w:rFonts w:eastAsia="SymbolMT" w:cs="Verdana"/>
                <w:szCs w:val="18"/>
                <w:lang w:val="nl-NL"/>
              </w:rPr>
            </w:pPr>
            <w:r w:rsidRPr="003D5782">
              <w:rPr>
                <w:rFonts w:eastAsia="SymbolMT" w:cs="Verdana"/>
                <w:szCs w:val="18"/>
                <w:lang w:val="nl-NL"/>
              </w:rPr>
              <w:t>Deze variant sluit t.o.v. de voormelde varianten beter aan bij de huidige systematiek. Desalniettemin verwacht de Belastingdienst ook hier een toename van het aantal bezwaarschriften en beroepsprocedures, specifiek van de groepen belastingplichtigen die tegen een (hoger) gebruteerd tarief zullen worden belast. Het risico bestaat dat belastingplichtigen manieren zullen zoeken om tegen het “normale” tarief kansspelbelasting op aangifte af te dragen. Daarmee neemt de fraudebestendigheid af.</w:t>
            </w:r>
          </w:p>
          <w:p w:rsidRPr="003D5782" w:rsidR="007C67AC" w:rsidP="003D5782" w:rsidRDefault="007C67AC" w14:paraId="581F9291" w14:textId="398F90D0">
            <w:pPr>
              <w:spacing w:line="276" w:lineRule="auto"/>
              <w:cnfStyle w:val="000000000000" w:firstRow="0" w:lastRow="0" w:firstColumn="0" w:lastColumn="0" w:oddVBand="0" w:evenVBand="0" w:oddHBand="0" w:evenHBand="0" w:firstRowFirstColumn="0" w:firstRowLastColumn="0" w:lastRowFirstColumn="0" w:lastRowLastColumn="0"/>
              <w:rPr>
                <w:rFonts w:eastAsia="SymbolMT" w:cs="Verdana"/>
                <w:szCs w:val="18"/>
                <w:lang w:val="nl-NL"/>
              </w:rPr>
            </w:pPr>
          </w:p>
          <w:p w:rsidRPr="003D5782" w:rsidR="00ED301C" w:rsidP="003D5782" w:rsidRDefault="0089131E" w14:paraId="4B93D363" w14:textId="32D83B5E">
            <w:pPr>
              <w:spacing w:line="276" w:lineRule="auto"/>
              <w:cnfStyle w:val="000000000000" w:firstRow="0" w:lastRow="0" w:firstColumn="0" w:lastColumn="0" w:oddVBand="0" w:evenVBand="0" w:oddHBand="0" w:evenHBand="0" w:firstRowFirstColumn="0" w:firstRowLastColumn="0" w:lastRowFirstColumn="0" w:lastRowLastColumn="0"/>
              <w:rPr>
                <w:rFonts w:eastAsia="SymbolMT" w:cs="Verdana"/>
                <w:szCs w:val="18"/>
                <w:lang w:val="nl-NL"/>
              </w:rPr>
            </w:pPr>
            <w:r w:rsidRPr="003D5782">
              <w:rPr>
                <w:rFonts w:eastAsia="SymbolMT" w:cs="Verdana"/>
                <w:szCs w:val="18"/>
                <w:lang w:val="nl-NL"/>
              </w:rPr>
              <w:t xml:space="preserve">Het aangifteformulier voor de kansspelbelasting wordt momenteel gemoderniseerd. Naar huidige inzichten zal deze modernisering op zijn vroegst rond medio 2025 zijn afgerond. Aanpassing van dit digitale formulier vergt in beginsel een structuuraanpassing in de IV-portfolio’s van de ketens Overige Middelen en Interactie. Naar huidige inzichten biedt </w:t>
            </w:r>
            <w:r w:rsidRPr="003D5782" w:rsidR="00ED301C">
              <w:rPr>
                <w:rFonts w:eastAsia="SymbolMT" w:cs="Verdana"/>
                <w:szCs w:val="18"/>
                <w:lang w:val="nl-NL"/>
              </w:rPr>
              <w:t>het</w:t>
            </w:r>
            <w:r w:rsidRPr="003D5782">
              <w:rPr>
                <w:rFonts w:eastAsia="SymbolMT" w:cs="Verdana"/>
                <w:szCs w:val="18"/>
                <w:lang w:val="nl-NL"/>
              </w:rPr>
              <w:t xml:space="preserve"> portfolio</w:t>
            </w:r>
            <w:r w:rsidRPr="003D5782" w:rsidR="00ED301C">
              <w:rPr>
                <w:rFonts w:eastAsia="SymbolMT" w:cs="Verdana"/>
                <w:szCs w:val="18"/>
                <w:lang w:val="nl-NL"/>
              </w:rPr>
              <w:t xml:space="preserve"> van de keten Overige Middelen</w:t>
            </w:r>
            <w:r w:rsidRPr="003D5782">
              <w:rPr>
                <w:rFonts w:eastAsia="SymbolMT" w:cs="Verdana"/>
                <w:szCs w:val="18"/>
                <w:lang w:val="nl-NL"/>
              </w:rPr>
              <w:t xml:space="preserve"> tot 2030 geen ruimte voor nieuwe beleidswensen, i</w:t>
            </w:r>
            <w:r w:rsidRPr="003D5782" w:rsidR="00D8684C">
              <w:rPr>
                <w:rFonts w:eastAsia="SymbolMT" w:cs="Verdana"/>
                <w:szCs w:val="18"/>
                <w:lang w:val="nl-NL"/>
              </w:rPr>
              <w:t>n verband met</w:t>
            </w:r>
            <w:r w:rsidRPr="003D5782">
              <w:rPr>
                <w:rFonts w:eastAsia="SymbolMT" w:cs="Verdana"/>
                <w:szCs w:val="18"/>
                <w:lang w:val="nl-NL"/>
              </w:rPr>
              <w:t xml:space="preserve"> de inpassing van diverse beleidswensen, moderniseringstrajecten en groot onderhoud.</w:t>
            </w:r>
            <w:r w:rsidRPr="003D5782" w:rsidR="00ED301C">
              <w:rPr>
                <w:rFonts w:eastAsia="SymbolMT" w:cs="Verdana"/>
                <w:szCs w:val="18"/>
                <w:lang w:val="nl-NL"/>
              </w:rPr>
              <w:t xml:space="preserve"> Voor de keten Interactie lijkt naar huidige inzichten tot 2028 evenwel geen ruimte voor nieuwe beleidswensen.</w:t>
            </w:r>
          </w:p>
          <w:p w:rsidRPr="003D5782" w:rsidR="00ED301C" w:rsidP="003D5782" w:rsidRDefault="00ED301C" w14:paraId="581877D8" w14:textId="77777777">
            <w:pPr>
              <w:spacing w:line="276" w:lineRule="auto"/>
              <w:cnfStyle w:val="000000000000" w:firstRow="0" w:lastRow="0" w:firstColumn="0" w:lastColumn="0" w:oddVBand="0" w:evenVBand="0" w:oddHBand="0" w:evenHBand="0" w:firstRowFirstColumn="0" w:firstRowLastColumn="0" w:lastRowFirstColumn="0" w:lastRowLastColumn="0"/>
              <w:rPr>
                <w:rFonts w:eastAsia="SymbolMT" w:cs="Verdana"/>
                <w:szCs w:val="18"/>
                <w:lang w:val="nl-NL"/>
              </w:rPr>
            </w:pPr>
          </w:p>
          <w:p w:rsidRPr="003D5782" w:rsidR="00F722EE" w:rsidP="003D5782" w:rsidRDefault="00ED301C" w14:paraId="7E2653B7" w14:textId="02AC16C4">
            <w:pPr>
              <w:spacing w:line="276" w:lineRule="auto"/>
              <w:cnfStyle w:val="000000000000" w:firstRow="0" w:lastRow="0" w:firstColumn="0" w:lastColumn="0" w:oddVBand="0" w:evenVBand="0" w:oddHBand="0" w:evenHBand="0" w:firstRowFirstColumn="0" w:firstRowLastColumn="0" w:lastRowFirstColumn="0" w:lastRowLastColumn="0"/>
              <w:rPr>
                <w:rFonts w:eastAsia="SymbolMT" w:cs="Verdana"/>
                <w:szCs w:val="18"/>
                <w:lang w:val="nl-NL"/>
              </w:rPr>
            </w:pPr>
            <w:r w:rsidRPr="003D5782">
              <w:rPr>
                <w:rFonts w:eastAsia="SymbolMT" w:cs="Verdana"/>
                <w:szCs w:val="18"/>
                <w:lang w:val="nl-NL"/>
              </w:rPr>
              <w:t>In deze variant heeft de BD verkend of de systematiek enige ruimte laat voor (deels) handmatige verwerking. Als daarbij geen risico’s mogen worden gelopen met betrekking tot de AVG, BIO, Archiefwet en overige intern beleid van de BD over databeheer</w:t>
            </w:r>
            <w:r w:rsidRPr="003D5782" w:rsidR="00AC5D0B">
              <w:rPr>
                <w:rFonts w:eastAsia="SymbolMT" w:cs="Verdana"/>
                <w:szCs w:val="18"/>
                <w:lang w:val="nl-NL"/>
              </w:rPr>
              <w:t xml:space="preserve"> en -beveiliging</w:t>
            </w:r>
            <w:r w:rsidRPr="003D5782">
              <w:rPr>
                <w:rFonts w:eastAsia="SymbolMT" w:cs="Verdana"/>
                <w:szCs w:val="18"/>
                <w:lang w:val="nl-NL"/>
              </w:rPr>
              <w:t>, ziet de BD enkel</w:t>
            </w:r>
            <w:r w:rsidRPr="003D5782" w:rsidR="00AC5D0B">
              <w:rPr>
                <w:rFonts w:eastAsia="SymbolMT" w:cs="Verdana"/>
                <w:szCs w:val="18"/>
                <w:lang w:val="nl-NL"/>
              </w:rPr>
              <w:t xml:space="preserve"> één optie die eerder uitvoerbaar zou zijn. Hierbij zouden de overige kansspelaanbieders, zolang het formulier niet kan worden aangepast, worden verzocht om het bedrag van de heffingsgrondslag zelf te bruteren. Zo zou het te betalen belastingbedrag alsnog op een juiste manier kunnen worden berekend. Ondanks ev</w:t>
            </w:r>
            <w:r w:rsidRPr="003D5782" w:rsidR="00D8684C">
              <w:rPr>
                <w:rFonts w:eastAsia="SymbolMT" w:cs="Verdana"/>
                <w:szCs w:val="18"/>
                <w:lang w:val="nl-NL"/>
              </w:rPr>
              <w:t>entuele</w:t>
            </w:r>
            <w:r w:rsidRPr="003D5782" w:rsidR="00AC5D0B">
              <w:rPr>
                <w:rFonts w:eastAsia="SymbolMT" w:cs="Verdana"/>
                <w:szCs w:val="18"/>
                <w:lang w:val="nl-NL"/>
              </w:rPr>
              <w:t xml:space="preserve"> instructies in of bij het formulier, doet dit een beroep op het </w:t>
            </w:r>
            <w:proofErr w:type="spellStart"/>
            <w:r w:rsidRPr="003D5782" w:rsidR="00AC5D0B">
              <w:rPr>
                <w:rFonts w:eastAsia="SymbolMT" w:cs="Verdana"/>
                <w:szCs w:val="18"/>
                <w:lang w:val="nl-NL"/>
              </w:rPr>
              <w:t>doenvermogen</w:t>
            </w:r>
            <w:proofErr w:type="spellEnd"/>
            <w:r w:rsidRPr="003D5782" w:rsidR="00AC5D0B">
              <w:rPr>
                <w:rFonts w:eastAsia="SymbolMT" w:cs="Verdana"/>
                <w:szCs w:val="18"/>
                <w:lang w:val="nl-NL"/>
              </w:rPr>
              <w:t xml:space="preserve"> van de belastingplichtigen en </w:t>
            </w:r>
            <w:r w:rsidRPr="003D5782" w:rsidR="007C67AC">
              <w:rPr>
                <w:rFonts w:eastAsia="SymbolMT" w:cs="Verdana"/>
                <w:szCs w:val="18"/>
                <w:lang w:val="nl-NL"/>
              </w:rPr>
              <w:t>leidt</w:t>
            </w:r>
            <w:r w:rsidRPr="003D5782" w:rsidR="00AC5D0B">
              <w:rPr>
                <w:rFonts w:eastAsia="SymbolMT" w:cs="Verdana"/>
                <w:szCs w:val="18"/>
                <w:lang w:val="nl-NL"/>
              </w:rPr>
              <w:t xml:space="preserve"> dit</w:t>
            </w:r>
            <w:r w:rsidRPr="003D5782" w:rsidR="007C67AC">
              <w:rPr>
                <w:rFonts w:eastAsia="SymbolMT" w:cs="Verdana"/>
                <w:szCs w:val="18"/>
                <w:lang w:val="nl-NL"/>
              </w:rPr>
              <w:t xml:space="preserve"> tot een verdere afname van</w:t>
            </w:r>
            <w:r w:rsidRPr="003D5782" w:rsidR="00AC5D0B">
              <w:rPr>
                <w:rFonts w:eastAsia="SymbolMT" w:cs="Verdana"/>
                <w:szCs w:val="18"/>
                <w:lang w:val="nl-NL"/>
              </w:rPr>
              <w:t xml:space="preserve"> de fraudebestendigheid. Door schaarse capaciteit bij de BD is het lastig op toezicht te houden op deze (tijdelijke) bruteringsslag, zolang er nog geen definitieve oplossing is gerealiseerd, op basis waarvan het formulier altijd het juiste tarief toe zal passen.</w:t>
            </w:r>
            <w:r w:rsidR="00E71E00">
              <w:rPr>
                <w:rFonts w:eastAsia="SymbolMT" w:cs="Verdana"/>
                <w:szCs w:val="18"/>
                <w:lang w:val="nl-NL"/>
              </w:rPr>
              <w:t xml:space="preserve"> De Belastingdienst beschouwt deze variant met (deels) handmatige verwerking daarom als niet uitvoerbaar.</w:t>
            </w:r>
            <w:r w:rsidRPr="003D5782">
              <w:rPr>
                <w:rFonts w:eastAsia="SymbolMT" w:cs="Verdana"/>
                <w:szCs w:val="18"/>
                <w:lang w:val="nl-NL"/>
              </w:rPr>
              <w:t xml:space="preserve"> </w:t>
            </w:r>
          </w:p>
          <w:p w:rsidRPr="003D5782" w:rsidR="004B0AEB" w:rsidP="003D5782" w:rsidRDefault="004B0AEB" w14:paraId="3E10BACB" w14:textId="7E8BEF71">
            <w:pPr>
              <w:spacing w:line="276" w:lineRule="auto"/>
              <w:cnfStyle w:val="000000000000" w:firstRow="0" w:lastRow="0" w:firstColumn="0" w:lastColumn="0" w:oddVBand="0" w:evenVBand="0" w:oddHBand="0" w:evenHBand="0" w:firstRowFirstColumn="0" w:firstRowLastColumn="0" w:lastRowFirstColumn="0" w:lastRowLastColumn="0"/>
              <w:rPr>
                <w:rFonts w:eastAsia="SymbolMT" w:cs="Verdana"/>
                <w:szCs w:val="18"/>
                <w:lang w:val="nl-NL"/>
              </w:rPr>
            </w:pPr>
          </w:p>
        </w:tc>
      </w:tr>
      <w:tr w:rsidRPr="00E76289" w:rsidR="00260999" w:rsidTr="00612582" w14:paraId="0F2F4EE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6"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hideMark/>
          </w:tcPr>
          <w:p w:rsidRPr="003D5782" w:rsidR="00260999" w:rsidP="003D5782" w:rsidRDefault="00260999" w14:paraId="414B1EA1" w14:textId="4CBEB42A">
            <w:pPr>
              <w:spacing w:after="255" w:line="276" w:lineRule="auto"/>
              <w:contextualSpacing/>
              <w:rPr>
                <w:szCs w:val="18"/>
                <w:lang w:val="nl-NL"/>
              </w:rPr>
            </w:pPr>
            <w:proofErr w:type="spellStart"/>
            <w:r w:rsidRPr="003D5782">
              <w:rPr>
                <w:szCs w:val="18"/>
              </w:rPr>
              <w:t>Juridische</w:t>
            </w:r>
            <w:proofErr w:type="spellEnd"/>
            <w:r w:rsidRPr="003D5782" w:rsidR="00F05D9B">
              <w:rPr>
                <w:szCs w:val="18"/>
              </w:rPr>
              <w:t xml:space="preserve"> </w:t>
            </w:r>
            <w:proofErr w:type="spellStart"/>
            <w:r w:rsidRPr="003D5782" w:rsidR="00F05D9B">
              <w:rPr>
                <w:szCs w:val="18"/>
              </w:rPr>
              <w:t>en</w:t>
            </w:r>
            <w:proofErr w:type="spellEnd"/>
            <w:r w:rsidRPr="003D5782" w:rsidR="00F05D9B">
              <w:rPr>
                <w:szCs w:val="18"/>
              </w:rPr>
              <w:t xml:space="preserve"> </w:t>
            </w:r>
            <w:proofErr w:type="spellStart"/>
            <w:r w:rsidRPr="003D5782" w:rsidR="00F05D9B">
              <w:rPr>
                <w:szCs w:val="18"/>
              </w:rPr>
              <w:t>overige</w:t>
            </w:r>
            <w:proofErr w:type="spellEnd"/>
            <w:r w:rsidRPr="003D5782">
              <w:rPr>
                <w:szCs w:val="18"/>
              </w:rPr>
              <w:t xml:space="preserve"> </w:t>
            </w:r>
            <w:proofErr w:type="spellStart"/>
            <w:r w:rsidRPr="003D5782">
              <w:rPr>
                <w:szCs w:val="18"/>
              </w:rPr>
              <w:t>aspecten</w:t>
            </w:r>
            <w:proofErr w:type="spellEnd"/>
          </w:p>
        </w:tc>
        <w:tc>
          <w:tcPr>
            <w:tcW w:w="7416"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FFFFFF" w:themeFill="background1"/>
          </w:tcPr>
          <w:p w:rsidRPr="003D5782" w:rsidR="00260999" w:rsidP="003D5782" w:rsidRDefault="00813EB3" w14:paraId="79E2DC6E" w14:textId="707D5DFA">
            <w:pPr>
              <w:spacing w:line="276" w:lineRule="auto"/>
              <w:cnfStyle w:val="000000100000" w:firstRow="0" w:lastRow="0" w:firstColumn="0" w:lastColumn="0" w:oddVBand="0" w:evenVBand="0" w:oddHBand="1" w:evenHBand="0" w:firstRowFirstColumn="0" w:firstRowLastColumn="0" w:lastRowFirstColumn="0" w:lastRowLastColumn="0"/>
              <w:rPr>
                <w:szCs w:val="18"/>
                <w:lang w:val="nl-NL"/>
              </w:rPr>
            </w:pPr>
            <w:r w:rsidRPr="003D5782">
              <w:rPr>
                <w:szCs w:val="18"/>
                <w:lang w:val="nl-NL"/>
              </w:rPr>
              <w:t xml:space="preserve">De onderbouwing van </w:t>
            </w:r>
            <w:r w:rsidRPr="003D5782" w:rsidR="00C94915">
              <w:rPr>
                <w:szCs w:val="18"/>
                <w:lang w:val="nl-NL"/>
              </w:rPr>
              <w:t xml:space="preserve">de </w:t>
            </w:r>
            <w:r w:rsidRPr="003D5782">
              <w:rPr>
                <w:szCs w:val="18"/>
                <w:lang w:val="nl-NL"/>
              </w:rPr>
              <w:t>system</w:t>
            </w:r>
            <w:r w:rsidRPr="003D5782" w:rsidR="00C94915">
              <w:rPr>
                <w:szCs w:val="18"/>
                <w:lang w:val="nl-NL"/>
              </w:rPr>
              <w:t>atiek</w:t>
            </w:r>
            <w:r w:rsidRPr="003D5782">
              <w:rPr>
                <w:szCs w:val="18"/>
                <w:lang w:val="nl-NL"/>
              </w:rPr>
              <w:t xml:space="preserve"> van voor 2008 is gegeven bij de aanpassing in 1981.</w:t>
            </w:r>
            <w:r w:rsidRPr="003D5782" w:rsidR="00E506EC">
              <w:rPr>
                <w:rStyle w:val="Voetnootmarkering"/>
                <w:rFonts w:ascii="Verdana" w:hAnsi="Verdana"/>
                <w:szCs w:val="18"/>
                <w:lang w:val="nl-NL"/>
              </w:rPr>
              <w:footnoteReference w:id="8"/>
            </w:r>
            <w:r w:rsidRPr="003D5782">
              <w:rPr>
                <w:szCs w:val="18"/>
                <w:lang w:val="nl-NL"/>
              </w:rPr>
              <w:t xml:space="preserve"> </w:t>
            </w:r>
            <w:r w:rsidRPr="003D5782" w:rsidR="00E506EC">
              <w:rPr>
                <w:szCs w:val="18"/>
                <w:lang w:val="nl-NL"/>
              </w:rPr>
              <w:t xml:space="preserve">Toen bleek dat het totaal van de winsten van roulettespelers die een casino na afloop van een speelperiode met een saldowinst boven de prijzenvrijstelling verlaten, nagenoeg overeenkomt met het </w:t>
            </w:r>
            <w:proofErr w:type="spellStart"/>
            <w:r w:rsidRPr="003D5782" w:rsidR="00E506EC">
              <w:rPr>
                <w:szCs w:val="18"/>
                <w:lang w:val="nl-NL"/>
              </w:rPr>
              <w:t>brutospelresultaat</w:t>
            </w:r>
            <w:proofErr w:type="spellEnd"/>
            <w:r w:rsidRPr="003D5782" w:rsidR="00E506EC">
              <w:rPr>
                <w:szCs w:val="18"/>
                <w:lang w:val="nl-NL"/>
              </w:rPr>
              <w:t xml:space="preserve"> dat door de vergunninghouder met roulette wordt behaald. Omdat de vergunninghouder de belasting ‘overneemt’, werd het standaardtarief voor de berekening van de verschuldigde belasting gebruteerd. Sinds</w:t>
            </w:r>
            <w:r w:rsidRPr="003D5782" w:rsidR="00525D97">
              <w:rPr>
                <w:szCs w:val="18"/>
                <w:lang w:val="nl-NL"/>
              </w:rPr>
              <w:t xml:space="preserve"> 1981 zijn niet alleen maar casinospellen belastingplichtig over het </w:t>
            </w:r>
            <w:proofErr w:type="spellStart"/>
            <w:r w:rsidRPr="003D5782" w:rsidR="00525D97">
              <w:rPr>
                <w:szCs w:val="18"/>
                <w:lang w:val="nl-NL"/>
              </w:rPr>
              <w:t>brutospelresultaat</w:t>
            </w:r>
            <w:proofErr w:type="spellEnd"/>
            <w:r w:rsidRPr="003D5782" w:rsidR="00525D97">
              <w:rPr>
                <w:szCs w:val="18"/>
                <w:lang w:val="nl-NL"/>
              </w:rPr>
              <w:t xml:space="preserve">, maar ook speelautomaten, sportweddenschappen, </w:t>
            </w:r>
            <w:proofErr w:type="spellStart"/>
            <w:r w:rsidRPr="003D5782" w:rsidR="00525D97">
              <w:rPr>
                <w:szCs w:val="18"/>
                <w:lang w:val="nl-NL"/>
              </w:rPr>
              <w:t>paardentotalisatoren</w:t>
            </w:r>
            <w:proofErr w:type="spellEnd"/>
            <w:r w:rsidRPr="003D5782" w:rsidR="00525D97">
              <w:rPr>
                <w:szCs w:val="18"/>
                <w:lang w:val="nl-NL"/>
              </w:rPr>
              <w:t xml:space="preserve"> en online kansspelen. Het is de vraag of de bovengenoemde onderbouwing standhoudt bij deze spellen. </w:t>
            </w:r>
            <w:r w:rsidRPr="003D5782" w:rsidR="004B0AEB">
              <w:rPr>
                <w:szCs w:val="18"/>
                <w:lang w:val="nl-NL"/>
              </w:rPr>
              <w:t>Bij invoering van deze variant zal d</w:t>
            </w:r>
            <w:r w:rsidRPr="003D5782" w:rsidR="00525D97">
              <w:rPr>
                <w:szCs w:val="18"/>
                <w:lang w:val="nl-NL"/>
              </w:rPr>
              <w:t>e onderbouwing</w:t>
            </w:r>
            <w:r w:rsidRPr="003D5782" w:rsidR="004B0AEB">
              <w:rPr>
                <w:szCs w:val="18"/>
                <w:lang w:val="nl-NL"/>
              </w:rPr>
              <w:t xml:space="preserve"> </w:t>
            </w:r>
            <w:r w:rsidRPr="003D5782" w:rsidR="00525D97">
              <w:rPr>
                <w:szCs w:val="18"/>
                <w:lang w:val="nl-NL"/>
              </w:rPr>
              <w:t>dus nader onderzocht moeten worden.</w:t>
            </w:r>
          </w:p>
        </w:tc>
      </w:tr>
    </w:tbl>
    <w:p w:rsidR="00D8684C" w:rsidP="003D5782" w:rsidRDefault="00D8684C" w14:paraId="5F70CA29" w14:textId="77777777">
      <w:pPr>
        <w:spacing w:line="276" w:lineRule="auto"/>
        <w:rPr>
          <w:szCs w:val="18"/>
          <w:lang w:val="nl-NL"/>
        </w:rPr>
      </w:pPr>
    </w:p>
    <w:p w:rsidR="005C23AC" w:rsidP="003D5782" w:rsidRDefault="005C23AC" w14:paraId="492A7F28" w14:textId="77777777">
      <w:pPr>
        <w:spacing w:line="276" w:lineRule="auto"/>
        <w:rPr>
          <w:szCs w:val="18"/>
          <w:lang w:val="nl-NL"/>
        </w:rPr>
      </w:pPr>
    </w:p>
    <w:p w:rsidR="005C23AC" w:rsidP="003D5782" w:rsidRDefault="005C23AC" w14:paraId="2E28852E" w14:textId="77777777">
      <w:pPr>
        <w:spacing w:line="276" w:lineRule="auto"/>
        <w:rPr>
          <w:szCs w:val="18"/>
          <w:lang w:val="nl-NL"/>
        </w:rPr>
      </w:pPr>
    </w:p>
    <w:p w:rsidR="00E61CC7" w:rsidP="003D5782" w:rsidRDefault="00E61CC7" w14:paraId="0564D00D" w14:textId="77777777">
      <w:pPr>
        <w:spacing w:line="276" w:lineRule="auto"/>
        <w:rPr>
          <w:szCs w:val="18"/>
          <w:lang w:val="nl-NL"/>
        </w:rPr>
      </w:pPr>
    </w:p>
    <w:p w:rsidR="00E61CC7" w:rsidP="003D5782" w:rsidRDefault="00E61CC7" w14:paraId="2319F796" w14:textId="77777777">
      <w:pPr>
        <w:spacing w:line="276" w:lineRule="auto"/>
        <w:rPr>
          <w:szCs w:val="18"/>
          <w:lang w:val="nl-NL"/>
        </w:rPr>
      </w:pPr>
    </w:p>
    <w:p w:rsidRPr="003D5782" w:rsidR="00E61CC7" w:rsidP="003D5782" w:rsidRDefault="00E61CC7" w14:paraId="786FFECD" w14:textId="77777777">
      <w:pPr>
        <w:spacing w:line="276" w:lineRule="auto"/>
        <w:rPr>
          <w:szCs w:val="18"/>
          <w:lang w:val="nl-NL"/>
        </w:rPr>
      </w:pPr>
    </w:p>
    <w:p w:rsidRPr="003D5782" w:rsidR="00D8684C" w:rsidP="003D5782" w:rsidRDefault="00D8684C" w14:paraId="290EF276" w14:textId="77777777">
      <w:pPr>
        <w:spacing w:line="276" w:lineRule="auto"/>
        <w:rPr>
          <w:szCs w:val="18"/>
          <w:lang w:val="nl-NL"/>
        </w:rPr>
      </w:pPr>
    </w:p>
    <w:tbl>
      <w:tblPr>
        <w:tblStyle w:val="Rastertabel4-Accent1"/>
        <w:tblW w:w="8754" w:type="dxa"/>
        <w:tblInd w:w="0" w:type="dxa"/>
        <w:tblLook w:val="04A0" w:firstRow="1" w:lastRow="0" w:firstColumn="1" w:lastColumn="0" w:noHBand="0" w:noVBand="1"/>
      </w:tblPr>
      <w:tblGrid>
        <w:gridCol w:w="2286"/>
        <w:gridCol w:w="6468"/>
      </w:tblGrid>
      <w:tr w:rsidRPr="00E76289" w:rsidR="00D3531F" w:rsidTr="00E16D56" w14:paraId="4B75DD2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4" w:type="dxa"/>
            <w:gridSpan w:val="2"/>
            <w:hideMark/>
          </w:tcPr>
          <w:p w:rsidRPr="00D3531F" w:rsidR="00D3531F" w:rsidP="003D5782" w:rsidRDefault="00D3531F" w14:paraId="49AB4B55" w14:textId="77777777">
            <w:pPr>
              <w:spacing w:after="160" w:line="276" w:lineRule="auto"/>
              <w:rPr>
                <w:color w:val="auto"/>
                <w:szCs w:val="18"/>
                <w:lang w:val="nl-NL"/>
              </w:rPr>
            </w:pPr>
            <w:r w:rsidRPr="00D3531F">
              <w:rPr>
                <w:color w:val="auto"/>
                <w:szCs w:val="18"/>
                <w:lang w:val="nl-NL"/>
              </w:rPr>
              <w:t>Afschaffen btw-vrijstelling online kansspelen</w:t>
            </w:r>
          </w:p>
        </w:tc>
      </w:tr>
      <w:tr w:rsidRPr="00D3531F" w:rsidR="00D3531F" w:rsidTr="00E16D56" w14:paraId="45A5258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4" w:type="dxa"/>
            <w:gridSpan w:val="2"/>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hideMark/>
          </w:tcPr>
          <w:p w:rsidRPr="00D3531F" w:rsidR="00D3531F" w:rsidP="003D5782" w:rsidRDefault="00D3531F" w14:paraId="03B158B7" w14:textId="77777777">
            <w:pPr>
              <w:spacing w:after="160" w:line="276" w:lineRule="auto"/>
              <w:rPr>
                <w:szCs w:val="18"/>
              </w:rPr>
            </w:pPr>
            <w:proofErr w:type="spellStart"/>
            <w:r w:rsidRPr="00D3531F">
              <w:rPr>
                <w:szCs w:val="18"/>
              </w:rPr>
              <w:t>Omschrijving</w:t>
            </w:r>
            <w:proofErr w:type="spellEnd"/>
            <w:r w:rsidRPr="00D3531F">
              <w:rPr>
                <w:szCs w:val="18"/>
              </w:rPr>
              <w:t xml:space="preserve"> van de </w:t>
            </w:r>
            <w:proofErr w:type="spellStart"/>
            <w:r w:rsidRPr="00D3531F">
              <w:rPr>
                <w:szCs w:val="18"/>
              </w:rPr>
              <w:t>maatregel</w:t>
            </w:r>
            <w:proofErr w:type="spellEnd"/>
            <w:r w:rsidRPr="00D3531F">
              <w:rPr>
                <w:szCs w:val="18"/>
              </w:rPr>
              <w:tab/>
            </w:r>
          </w:p>
        </w:tc>
      </w:tr>
      <w:tr w:rsidRPr="00E76289" w:rsidR="00D3531F" w:rsidTr="00E16D56" w14:paraId="07B81B73" w14:textId="77777777">
        <w:tc>
          <w:tcPr>
            <w:cnfStyle w:val="001000000000" w:firstRow="0" w:lastRow="0" w:firstColumn="1" w:lastColumn="0" w:oddVBand="0" w:evenVBand="0" w:oddHBand="0" w:evenHBand="0" w:firstRowFirstColumn="0" w:firstRowLastColumn="0" w:lastRowFirstColumn="0" w:lastRowLastColumn="0"/>
            <w:tcW w:w="8754" w:type="dxa"/>
            <w:gridSpan w:val="2"/>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FFFFFF" w:themeFill="background1"/>
          </w:tcPr>
          <w:p w:rsidRPr="00D3531F" w:rsidR="00D3531F" w:rsidP="003D5782" w:rsidRDefault="00D3531F" w14:paraId="6B9D2C44" w14:textId="77777777">
            <w:pPr>
              <w:spacing w:after="160" w:line="276" w:lineRule="auto"/>
              <w:rPr>
                <w:b w:val="0"/>
                <w:bCs w:val="0"/>
                <w:szCs w:val="18"/>
                <w:lang w:val="nl-NL"/>
              </w:rPr>
            </w:pPr>
            <w:r w:rsidRPr="00D3531F">
              <w:rPr>
                <w:b w:val="0"/>
                <w:bCs w:val="0"/>
                <w:szCs w:val="18"/>
                <w:lang w:val="nl-NL"/>
              </w:rPr>
              <w:t xml:space="preserve">Het opheffen van de btw-vrijstelling voor online kansspelen, zodat die naast kansspelbelasting ook aan btw-heffing worden onderworpen. Nadere invulling van deze maatregel vergt een inventarisatie van juridische houdbaarheid en uitvoerbaarheid. </w:t>
            </w:r>
          </w:p>
        </w:tc>
      </w:tr>
      <w:tr w:rsidRPr="00D3531F" w:rsidR="00D3531F" w:rsidTr="00E16D56" w14:paraId="099E764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4" w:type="dxa"/>
            <w:gridSpan w:val="2"/>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tcPr>
          <w:p w:rsidRPr="00D3531F" w:rsidR="00D3531F" w:rsidP="003D5782" w:rsidRDefault="00D3531F" w14:paraId="3D01D03D" w14:textId="77777777">
            <w:pPr>
              <w:spacing w:after="160" w:line="276" w:lineRule="auto"/>
              <w:rPr>
                <w:szCs w:val="18"/>
              </w:rPr>
            </w:pPr>
            <w:proofErr w:type="spellStart"/>
            <w:r w:rsidRPr="00D3531F">
              <w:rPr>
                <w:szCs w:val="18"/>
              </w:rPr>
              <w:t>Achtergrond</w:t>
            </w:r>
            <w:proofErr w:type="spellEnd"/>
            <w:r w:rsidRPr="00D3531F">
              <w:rPr>
                <w:szCs w:val="18"/>
              </w:rPr>
              <w:t>/rationale</w:t>
            </w:r>
          </w:p>
        </w:tc>
      </w:tr>
      <w:tr w:rsidRPr="00E76289" w:rsidR="00D3531F" w:rsidTr="00E16D56" w14:paraId="50BD8CBA" w14:textId="77777777">
        <w:tc>
          <w:tcPr>
            <w:cnfStyle w:val="001000000000" w:firstRow="0" w:lastRow="0" w:firstColumn="1" w:lastColumn="0" w:oddVBand="0" w:evenVBand="0" w:oddHBand="0" w:evenHBand="0" w:firstRowFirstColumn="0" w:firstRowLastColumn="0" w:lastRowFirstColumn="0" w:lastRowLastColumn="0"/>
            <w:tcW w:w="8754" w:type="dxa"/>
            <w:gridSpan w:val="2"/>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FFFFFF" w:themeFill="background1"/>
          </w:tcPr>
          <w:p w:rsidRPr="003D5782" w:rsidR="00D3531F" w:rsidP="003D5782" w:rsidRDefault="00D3531F" w14:paraId="20BBC9D1" w14:textId="77777777">
            <w:pPr>
              <w:numPr>
                <w:ilvl w:val="0"/>
                <w:numId w:val="36"/>
              </w:numPr>
              <w:spacing w:after="160" w:line="276" w:lineRule="auto"/>
              <w:rPr>
                <w:b w:val="0"/>
                <w:bCs w:val="0"/>
                <w:szCs w:val="18"/>
                <w:lang w:val="nl-NL"/>
              </w:rPr>
            </w:pPr>
            <w:r w:rsidRPr="00D3531F">
              <w:rPr>
                <w:b w:val="0"/>
                <w:bCs w:val="0"/>
                <w:szCs w:val="18"/>
                <w:lang w:val="nl-NL"/>
              </w:rPr>
              <w:t xml:space="preserve">Momenteel zijn kansspelen vrijgesteld van btw op basis van de btw-richtlijn en de Nederlandse Wet op de omzetbelasting. De vrijstelling is ingevoerd op grond van praktische overwegingen, zoals de complexiteit van het vaststellen van omzet bij kansspelen. </w:t>
            </w:r>
          </w:p>
          <w:p w:rsidRPr="00D3531F" w:rsidR="00D3531F" w:rsidP="003D5782" w:rsidRDefault="00D3531F" w14:paraId="56F6EB88" w14:textId="0BC85D9B">
            <w:pPr>
              <w:numPr>
                <w:ilvl w:val="0"/>
                <w:numId w:val="36"/>
              </w:numPr>
              <w:spacing w:after="160" w:line="276" w:lineRule="auto"/>
              <w:rPr>
                <w:b w:val="0"/>
                <w:bCs w:val="0"/>
                <w:szCs w:val="18"/>
                <w:lang w:val="nl-NL"/>
              </w:rPr>
            </w:pPr>
            <w:r w:rsidRPr="00D3531F">
              <w:rPr>
                <w:b w:val="0"/>
                <w:bCs w:val="0"/>
                <w:szCs w:val="18"/>
                <w:lang w:val="nl-NL"/>
              </w:rPr>
              <w:t xml:space="preserve">De maatregel zou ervoor zorgen dat online kansspelen niet langer onder deze vrijstelling vallen, waardoor de effectieve belastingdruk wordt gedifferentieerd. Deze opties leiden tot een budgettaire opbrengst. </w:t>
            </w:r>
          </w:p>
          <w:p w:rsidRPr="00D3531F" w:rsidR="00D3531F" w:rsidP="003D5782" w:rsidRDefault="00D3531F" w14:paraId="59B6B152" w14:textId="77777777">
            <w:pPr>
              <w:numPr>
                <w:ilvl w:val="0"/>
                <w:numId w:val="36"/>
              </w:numPr>
              <w:spacing w:after="160" w:line="276" w:lineRule="auto"/>
              <w:rPr>
                <w:szCs w:val="18"/>
                <w:lang w:val="nl-NL"/>
              </w:rPr>
            </w:pPr>
            <w:r w:rsidRPr="00D3531F">
              <w:rPr>
                <w:b w:val="0"/>
                <w:bCs w:val="0"/>
                <w:szCs w:val="18"/>
                <w:lang w:val="nl-NL"/>
              </w:rPr>
              <w:t xml:space="preserve">Bij de vormgeving van deze maatregel ligt een btw-plicht introduceren op het </w:t>
            </w:r>
            <w:proofErr w:type="spellStart"/>
            <w:r w:rsidRPr="00D3531F">
              <w:rPr>
                <w:b w:val="0"/>
                <w:bCs w:val="0"/>
                <w:szCs w:val="18"/>
                <w:lang w:val="nl-NL"/>
              </w:rPr>
              <w:t>brutospelresultaat</w:t>
            </w:r>
            <w:proofErr w:type="spellEnd"/>
            <w:r w:rsidRPr="00D3531F">
              <w:rPr>
                <w:b w:val="0"/>
                <w:bCs w:val="0"/>
                <w:szCs w:val="18"/>
                <w:lang w:val="nl-NL"/>
              </w:rPr>
              <w:t xml:space="preserve"> (BSR - inleg minus uitgekeerde prijzen) het meest voor de hand. Alleen in zeer uitzonderlijke gevallen (zie Hof van Justitie 17 september 2002, C-498/</w:t>
            </w:r>
            <w:r w:rsidRPr="000605DC">
              <w:rPr>
                <w:b w:val="0"/>
                <w:bCs w:val="0"/>
                <w:szCs w:val="18"/>
                <w:lang w:val="nl-NL"/>
              </w:rPr>
              <w:t xml:space="preserve">99, </w:t>
            </w:r>
            <w:r w:rsidRPr="000605DC">
              <w:rPr>
                <w:b w:val="0"/>
                <w:bCs w:val="0"/>
                <w:i/>
                <w:iCs/>
                <w:szCs w:val="18"/>
                <w:lang w:val="nl-NL"/>
              </w:rPr>
              <w:t>ECLI:EU:C:2002:494.</w:t>
            </w:r>
            <w:r w:rsidRPr="000605DC">
              <w:rPr>
                <w:b w:val="0"/>
                <w:bCs w:val="0"/>
                <w:szCs w:val="18"/>
                <w:lang w:val="nl-NL"/>
              </w:rPr>
              <w:t>)</w:t>
            </w:r>
            <w:r w:rsidRPr="00D3531F">
              <w:rPr>
                <w:b w:val="0"/>
                <w:bCs w:val="0"/>
                <w:szCs w:val="18"/>
                <w:lang w:val="nl-NL"/>
              </w:rPr>
              <w:t xml:space="preserve"> zou een heffing over inleg mogelijk zijn.</w:t>
            </w:r>
            <w:r w:rsidRPr="00D3531F">
              <w:rPr>
                <w:szCs w:val="18"/>
                <w:lang w:val="nl-NL"/>
              </w:rPr>
              <w:t xml:space="preserve"> </w:t>
            </w:r>
            <w:r w:rsidRPr="00D3531F">
              <w:rPr>
                <w:b w:val="0"/>
                <w:bCs w:val="0"/>
                <w:szCs w:val="18"/>
                <w:lang w:val="nl-NL"/>
              </w:rPr>
              <w:t>Daarom wordt alleen de btw op het BSR uitgewerkt in dit fiche.</w:t>
            </w:r>
          </w:p>
        </w:tc>
      </w:tr>
      <w:tr w:rsidRPr="00D3531F" w:rsidR="00D3531F" w:rsidTr="00E16D56" w14:paraId="4CFCF54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4" w:type="dxa"/>
            <w:gridSpan w:val="2"/>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hideMark/>
          </w:tcPr>
          <w:p w:rsidRPr="00D3531F" w:rsidR="00D3531F" w:rsidP="003D5782" w:rsidRDefault="00D3531F" w14:paraId="12CC91AA" w14:textId="77777777">
            <w:pPr>
              <w:spacing w:after="160" w:line="276" w:lineRule="auto"/>
              <w:rPr>
                <w:szCs w:val="18"/>
                <w:lang w:val="nl-NL"/>
              </w:rPr>
            </w:pPr>
            <w:r w:rsidRPr="00D3531F">
              <w:rPr>
                <w:szCs w:val="18"/>
                <w:lang w:val="nl-NL"/>
              </w:rPr>
              <w:t>Effecten</w:t>
            </w:r>
          </w:p>
        </w:tc>
      </w:tr>
      <w:tr w:rsidRPr="00E76289" w:rsidR="00D3531F" w:rsidTr="00E16D56" w14:paraId="30E95506" w14:textId="77777777">
        <w:tc>
          <w:tcPr>
            <w:cnfStyle w:val="001000000000" w:firstRow="0" w:lastRow="0" w:firstColumn="1" w:lastColumn="0" w:oddVBand="0" w:evenVBand="0" w:oddHBand="0" w:evenHBand="0" w:firstRowFirstColumn="0" w:firstRowLastColumn="0" w:lastRowFirstColumn="0" w:lastRowLastColumn="0"/>
            <w:tcW w:w="2286"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hideMark/>
          </w:tcPr>
          <w:p w:rsidRPr="00D3531F" w:rsidR="00D3531F" w:rsidP="003D5782" w:rsidRDefault="00D3531F" w14:paraId="1F5AB2C9" w14:textId="77777777">
            <w:pPr>
              <w:spacing w:after="160" w:line="276" w:lineRule="auto"/>
              <w:rPr>
                <w:szCs w:val="18"/>
                <w:lang w:val="nl-NL"/>
              </w:rPr>
            </w:pPr>
            <w:r w:rsidRPr="00D3531F">
              <w:rPr>
                <w:szCs w:val="18"/>
                <w:lang w:val="nl-NL"/>
              </w:rPr>
              <w:t>Gevolgen burgers, bedrijven en kansspelbeleid</w:t>
            </w:r>
          </w:p>
        </w:tc>
        <w:tc>
          <w:tcPr>
            <w:tcW w:w="6468"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FFFFFF" w:themeFill="background1"/>
            <w:hideMark/>
          </w:tcPr>
          <w:p w:rsidRPr="003D5782" w:rsidR="00D3531F" w:rsidP="003D5782" w:rsidRDefault="00D3531F" w14:paraId="661B5A15" w14:textId="1560AEB9">
            <w:pPr>
              <w:spacing w:after="160" w:line="276" w:lineRule="auto"/>
              <w:cnfStyle w:val="000000000000" w:firstRow="0" w:lastRow="0" w:firstColumn="0" w:lastColumn="0" w:oddVBand="0" w:evenVBand="0" w:oddHBand="0" w:evenHBand="0" w:firstRowFirstColumn="0" w:firstRowLastColumn="0" w:lastRowFirstColumn="0" w:lastRowLastColumn="0"/>
              <w:rPr>
                <w:i/>
                <w:iCs/>
                <w:szCs w:val="18"/>
                <w:lang w:val="nl-NL"/>
              </w:rPr>
            </w:pPr>
            <w:r w:rsidRPr="003D5782">
              <w:rPr>
                <w:i/>
                <w:iCs/>
                <w:szCs w:val="18"/>
                <w:lang w:val="nl-NL"/>
              </w:rPr>
              <w:t>Gevolgen voor afdrachten</w:t>
            </w:r>
          </w:p>
          <w:p w:rsidRPr="003D5782" w:rsidR="00D3531F" w:rsidP="003D5782" w:rsidRDefault="00D3531F" w14:paraId="74B2BFF1" w14:textId="14F8E134">
            <w:pPr>
              <w:pStyle w:val="Lijstalinea"/>
              <w:numPr>
                <w:ilvl w:val="0"/>
                <w:numId w:val="37"/>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3D5782">
              <w:rPr>
                <w:rFonts w:ascii="Verdana" w:hAnsi="Verdana"/>
                <w:sz w:val="18"/>
                <w:szCs w:val="18"/>
              </w:rPr>
              <w:t>De opbrengst van € 132 miljoen kan gebruikt worden voor een verlaging van het algemene tarief van de kansspelbelasting. Hierdoor ontstaat er voor loterijen ruimte om meer afdrachten te doen.</w:t>
            </w:r>
          </w:p>
          <w:p w:rsidRPr="00E365BF" w:rsidR="009902D7" w:rsidP="003D5782" w:rsidRDefault="009902D7" w14:paraId="433DE727" w14:textId="77777777">
            <w:pPr>
              <w:spacing w:line="276" w:lineRule="auto"/>
              <w:cnfStyle w:val="000000000000" w:firstRow="0" w:lastRow="0" w:firstColumn="0" w:lastColumn="0" w:oddVBand="0" w:evenVBand="0" w:oddHBand="0" w:evenHBand="0" w:firstRowFirstColumn="0" w:firstRowLastColumn="0" w:lastRowFirstColumn="0" w:lastRowLastColumn="0"/>
              <w:rPr>
                <w:szCs w:val="18"/>
                <w:lang w:val="nl-NL"/>
              </w:rPr>
            </w:pPr>
          </w:p>
          <w:p w:rsidRPr="00D3531F" w:rsidR="00D3531F" w:rsidP="003D5782" w:rsidRDefault="00D3531F" w14:paraId="09551786" w14:textId="77777777">
            <w:pPr>
              <w:spacing w:after="160" w:line="276" w:lineRule="auto"/>
              <w:cnfStyle w:val="000000000000" w:firstRow="0" w:lastRow="0" w:firstColumn="0" w:lastColumn="0" w:oddVBand="0" w:evenVBand="0" w:oddHBand="0" w:evenHBand="0" w:firstRowFirstColumn="0" w:firstRowLastColumn="0" w:lastRowFirstColumn="0" w:lastRowLastColumn="0"/>
              <w:rPr>
                <w:szCs w:val="18"/>
                <w:lang w:val="nl-NL"/>
              </w:rPr>
            </w:pPr>
            <w:r w:rsidRPr="00D3531F">
              <w:rPr>
                <w:i/>
                <w:szCs w:val="18"/>
                <w:lang w:val="nl-NL"/>
              </w:rPr>
              <w:t xml:space="preserve">Gevolgen kansspelbeleid (verslavingsaspecten en bestrijding illegaal aanbod) </w:t>
            </w:r>
          </w:p>
          <w:p w:rsidRPr="009902D7" w:rsidR="009902D7" w:rsidP="003D5782" w:rsidRDefault="009902D7" w14:paraId="69D62B03" w14:textId="6387EB70">
            <w:pPr>
              <w:numPr>
                <w:ilvl w:val="0"/>
                <w:numId w:val="33"/>
              </w:numPr>
              <w:spacing w:after="160" w:line="276" w:lineRule="auto"/>
              <w:cnfStyle w:val="000000000000" w:firstRow="0" w:lastRow="0" w:firstColumn="0" w:lastColumn="0" w:oddVBand="0" w:evenVBand="0" w:oddHBand="0" w:evenHBand="0" w:firstRowFirstColumn="0" w:firstRowLastColumn="0" w:lastRowFirstColumn="0" w:lastRowLastColumn="0"/>
              <w:rPr>
                <w:szCs w:val="18"/>
                <w:lang w:val="nl-NL"/>
              </w:rPr>
            </w:pPr>
            <w:r w:rsidRPr="009902D7">
              <w:rPr>
                <w:szCs w:val="18"/>
                <w:lang w:val="nl-NL"/>
              </w:rPr>
              <w:t xml:space="preserve">Volgens het rapport van Atlas Research uit 2024 zal de huidige verhoging van de kansspelbelasting al grote gevolgen hebben en reorganisaties teweegbrengen, </w:t>
            </w:r>
            <w:r w:rsidR="00410F2B">
              <w:rPr>
                <w:szCs w:val="18"/>
                <w:lang w:val="nl-NL"/>
              </w:rPr>
              <w:t>ook</w:t>
            </w:r>
            <w:r w:rsidRPr="009902D7">
              <w:rPr>
                <w:szCs w:val="18"/>
                <w:lang w:val="nl-NL"/>
              </w:rPr>
              <w:t xml:space="preserve"> als er een nulresultaat bereikt wordt. Dit geeft met name risicospelers, die een grotere mobiliteit naar illegaal aanbod hebben een prikkel om illegaal te spelen. </w:t>
            </w:r>
          </w:p>
          <w:p w:rsidRPr="009902D7" w:rsidR="009902D7" w:rsidP="003D5782" w:rsidRDefault="009902D7" w14:paraId="583D12AA" w14:textId="03EAE235">
            <w:pPr>
              <w:numPr>
                <w:ilvl w:val="0"/>
                <w:numId w:val="33"/>
              </w:numPr>
              <w:spacing w:after="160" w:line="276" w:lineRule="auto"/>
              <w:cnfStyle w:val="000000000000" w:firstRow="0" w:lastRow="0" w:firstColumn="0" w:lastColumn="0" w:oddVBand="0" w:evenVBand="0" w:oddHBand="0" w:evenHBand="0" w:firstRowFirstColumn="0" w:firstRowLastColumn="0" w:lastRowFirstColumn="0" w:lastRowLastColumn="0"/>
              <w:rPr>
                <w:szCs w:val="18"/>
                <w:lang w:val="nl-NL"/>
              </w:rPr>
            </w:pPr>
            <w:r w:rsidRPr="009902D7">
              <w:rPr>
                <w:szCs w:val="18"/>
                <w:lang w:val="nl-NL"/>
              </w:rPr>
              <w:t>Deze verhoogde belastingdruk verslechtert de concurrentiepositie van legale</w:t>
            </w:r>
            <w:r w:rsidRPr="003D5782">
              <w:rPr>
                <w:szCs w:val="18"/>
                <w:lang w:val="nl-NL"/>
              </w:rPr>
              <w:t xml:space="preserve"> online</w:t>
            </w:r>
            <w:r w:rsidRPr="009902D7">
              <w:rPr>
                <w:szCs w:val="18"/>
                <w:lang w:val="nl-NL"/>
              </w:rPr>
              <w:t xml:space="preserve"> aanbieders ten opzichte van illegale aanbieders, omdat er minder investeringen gedaan kunnen worden in het spelaanbod en bedrijfsmatige aanpassingen.</w:t>
            </w:r>
          </w:p>
          <w:p w:rsidRPr="009902D7" w:rsidR="009902D7" w:rsidP="003D5782" w:rsidRDefault="009902D7" w14:paraId="3A01F846" w14:textId="77777777">
            <w:pPr>
              <w:numPr>
                <w:ilvl w:val="0"/>
                <w:numId w:val="33"/>
              </w:numPr>
              <w:spacing w:after="160" w:line="276" w:lineRule="auto"/>
              <w:cnfStyle w:val="000000000000" w:firstRow="0" w:lastRow="0" w:firstColumn="0" w:lastColumn="0" w:oddVBand="0" w:evenVBand="0" w:oddHBand="0" w:evenHBand="0" w:firstRowFirstColumn="0" w:firstRowLastColumn="0" w:lastRowFirstColumn="0" w:lastRowLastColumn="0"/>
              <w:rPr>
                <w:szCs w:val="18"/>
                <w:lang w:val="nl-NL"/>
              </w:rPr>
            </w:pPr>
            <w:r w:rsidRPr="009902D7">
              <w:rPr>
                <w:szCs w:val="18"/>
                <w:lang w:val="nl-NL"/>
              </w:rPr>
              <w:t xml:space="preserve">Een nog hogere belastingdruk voor kansspelaanbieders zal de markt zwaar beïnvloeden en gevolgen hebben voor de kansspeldoelstellingen: bescherming van burgers tegen </w:t>
            </w:r>
            <w:proofErr w:type="spellStart"/>
            <w:r w:rsidRPr="009902D7">
              <w:rPr>
                <w:szCs w:val="18"/>
                <w:lang w:val="nl-NL"/>
              </w:rPr>
              <w:t>kansspelgerelateerde</w:t>
            </w:r>
            <w:proofErr w:type="spellEnd"/>
            <w:r w:rsidRPr="009902D7">
              <w:rPr>
                <w:szCs w:val="18"/>
                <w:lang w:val="nl-NL"/>
              </w:rPr>
              <w:t xml:space="preserve"> schade; tegengaan van </w:t>
            </w:r>
            <w:proofErr w:type="spellStart"/>
            <w:r w:rsidRPr="009902D7">
              <w:rPr>
                <w:szCs w:val="18"/>
                <w:lang w:val="nl-NL"/>
              </w:rPr>
              <w:t>kansspelgerelateerde</w:t>
            </w:r>
            <w:proofErr w:type="spellEnd"/>
            <w:r w:rsidRPr="009902D7">
              <w:rPr>
                <w:szCs w:val="18"/>
                <w:lang w:val="nl-NL"/>
              </w:rPr>
              <w:t xml:space="preserve"> criminaliteit; en het verhinderen van deelname aan illegaal spel en bestrijding van illegaal aanbod.</w:t>
            </w:r>
          </w:p>
          <w:p w:rsidRPr="003D5782" w:rsidR="009902D7" w:rsidP="003D5782" w:rsidRDefault="009902D7" w14:paraId="5DEA0F6D" w14:textId="332C4FE8">
            <w:pPr>
              <w:numPr>
                <w:ilvl w:val="0"/>
                <w:numId w:val="33"/>
              </w:numPr>
              <w:spacing w:after="160" w:line="276" w:lineRule="auto"/>
              <w:cnfStyle w:val="000000000000" w:firstRow="0" w:lastRow="0" w:firstColumn="0" w:lastColumn="0" w:oddVBand="0" w:evenVBand="0" w:oddHBand="0" w:evenHBand="0" w:firstRowFirstColumn="0" w:firstRowLastColumn="0" w:lastRowFirstColumn="0" w:lastRowLastColumn="0"/>
              <w:rPr>
                <w:szCs w:val="18"/>
                <w:lang w:val="nl-NL"/>
              </w:rPr>
            </w:pPr>
            <w:r w:rsidRPr="009902D7">
              <w:rPr>
                <w:szCs w:val="18"/>
                <w:lang w:val="nl-NL"/>
              </w:rPr>
              <w:t xml:space="preserve">Omzetverlaging bij legale aanbieders kan tot gevolg hebben dat aanbieders hun product aantrekkelijker willen maken. Ook als dit binnen de grenzen van de wet gebeurt, is dat </w:t>
            </w:r>
            <w:r w:rsidR="00410F2B">
              <w:rPr>
                <w:szCs w:val="18"/>
                <w:lang w:val="nl-NL"/>
              </w:rPr>
              <w:t>onwenselijk.</w:t>
            </w:r>
            <w:r w:rsidRPr="009902D7">
              <w:rPr>
                <w:szCs w:val="18"/>
                <w:lang w:val="nl-NL"/>
              </w:rPr>
              <w:t xml:space="preserve"> </w:t>
            </w:r>
          </w:p>
          <w:p w:rsidRPr="003D5782" w:rsidR="009902D7" w:rsidP="003D5782" w:rsidRDefault="009902D7" w14:paraId="05A427B0" w14:textId="6A9A76D3">
            <w:pPr>
              <w:spacing w:after="160" w:line="276" w:lineRule="auto"/>
              <w:cnfStyle w:val="000000000000" w:firstRow="0" w:lastRow="0" w:firstColumn="0" w:lastColumn="0" w:oddVBand="0" w:evenVBand="0" w:oddHBand="0" w:evenHBand="0" w:firstRowFirstColumn="0" w:firstRowLastColumn="0" w:lastRowFirstColumn="0" w:lastRowLastColumn="0"/>
              <w:rPr>
                <w:i/>
                <w:iCs/>
                <w:szCs w:val="18"/>
                <w:lang w:val="nl-NL"/>
              </w:rPr>
            </w:pPr>
            <w:r w:rsidRPr="003D5782">
              <w:rPr>
                <w:i/>
                <w:iCs/>
                <w:szCs w:val="18"/>
                <w:lang w:val="nl-NL"/>
              </w:rPr>
              <w:t>Gevolgen voor de kansspelaanbieders</w:t>
            </w:r>
          </w:p>
          <w:p w:rsidRPr="003D5782" w:rsidR="00D3531F" w:rsidP="003D5782" w:rsidRDefault="00D3531F" w14:paraId="185C8865" w14:textId="069A20E7">
            <w:pPr>
              <w:pStyle w:val="Lijstalinea"/>
              <w:numPr>
                <w:ilvl w:val="0"/>
                <w:numId w:val="38"/>
              </w:num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3D5782">
              <w:rPr>
                <w:rFonts w:ascii="Verdana" w:hAnsi="Verdana"/>
                <w:sz w:val="18"/>
                <w:szCs w:val="18"/>
              </w:rPr>
              <w:t>De belastingdruk op online gokken neemt voor bedrijven significant toe. Uitgedrukt als percentage van de opbrengsten zonder belastingen stijgt het van 37,8% in 2027, naar 51% waarbij er nog geen rekening is gehouden met eventuele winstbelastingen of andere belastingen.</w:t>
            </w:r>
          </w:p>
        </w:tc>
      </w:tr>
      <w:tr w:rsidRPr="00E76289" w:rsidR="00D3531F" w:rsidTr="00E16D56" w14:paraId="65E62F9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6"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hideMark/>
          </w:tcPr>
          <w:p w:rsidRPr="00D3531F" w:rsidR="00D3531F" w:rsidP="003D5782" w:rsidRDefault="00D3531F" w14:paraId="026F81DA" w14:textId="5E428F3D">
            <w:pPr>
              <w:spacing w:after="160" w:line="276" w:lineRule="auto"/>
              <w:rPr>
                <w:szCs w:val="18"/>
              </w:rPr>
            </w:pPr>
            <w:r w:rsidRPr="003D5782">
              <w:rPr>
                <w:szCs w:val="18"/>
                <w:lang w:val="nl-NL"/>
              </w:rPr>
              <w:t>Budgettair</w:t>
            </w:r>
          </w:p>
        </w:tc>
        <w:tc>
          <w:tcPr>
            <w:tcW w:w="6468"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FFFFFF" w:themeFill="background1"/>
          </w:tcPr>
          <w:p w:rsidRPr="003D5782" w:rsidR="00D3531F" w:rsidP="003D5782" w:rsidRDefault="00D3531F" w14:paraId="0D09395F" w14:textId="1A22356E">
            <w:pPr>
              <w:spacing w:after="160" w:line="276" w:lineRule="auto"/>
              <w:cnfStyle w:val="000000100000" w:firstRow="0" w:lastRow="0" w:firstColumn="0" w:lastColumn="0" w:oddVBand="0" w:evenVBand="0" w:oddHBand="1" w:evenHBand="0" w:firstRowFirstColumn="0" w:firstRowLastColumn="0" w:lastRowFirstColumn="0" w:lastRowLastColumn="0"/>
              <w:rPr>
                <w:i/>
                <w:iCs/>
                <w:szCs w:val="18"/>
                <w:lang w:val="nl-NL"/>
              </w:rPr>
            </w:pPr>
            <w:r w:rsidRPr="003D5782">
              <w:rPr>
                <w:i/>
                <w:iCs/>
                <w:szCs w:val="18"/>
                <w:lang w:val="nl-NL"/>
              </w:rPr>
              <w:t>Uitleg raming</w:t>
            </w:r>
          </w:p>
          <w:p w:rsidRPr="003D5782" w:rsidR="00D3531F" w:rsidP="003D5782" w:rsidRDefault="00D3531F" w14:paraId="201C45E8" w14:textId="3A7DF412">
            <w:pPr>
              <w:spacing w:after="160" w:line="276" w:lineRule="auto"/>
              <w:cnfStyle w:val="000000100000" w:firstRow="0" w:lastRow="0" w:firstColumn="0" w:lastColumn="0" w:oddVBand="0" w:evenVBand="0" w:oddHBand="1" w:evenHBand="0" w:firstRowFirstColumn="0" w:firstRowLastColumn="0" w:lastRowFirstColumn="0" w:lastRowLastColumn="0"/>
              <w:rPr>
                <w:szCs w:val="18"/>
                <w:lang w:val="nl-NL"/>
              </w:rPr>
            </w:pPr>
            <w:r w:rsidRPr="00D3531F">
              <w:rPr>
                <w:szCs w:val="18"/>
                <w:lang w:val="nl-NL"/>
              </w:rPr>
              <w:t xml:space="preserve">Door de btw-heffing op het BSR ontstaat er een budgettaire opbrengst van €280mln. waardoor het BSR voor de KSB daalt met eenzelfde bedrag. Doordat de BSR kleiner wordt, krimpt de grondslag van de KSB en dus de opbrengsten met €106 mln. De totale opbrengst wordt hierdoor €132 mln. Hierbij wordt rekening gehouden met de gebruikelijke gedragseffecten in de KSB en het aftrekken van de voorbelasting. </w:t>
            </w:r>
          </w:p>
          <w:p w:rsidRPr="009902D7" w:rsidR="009902D7" w:rsidP="003D5782" w:rsidRDefault="009902D7" w14:paraId="24F07CBA" w14:textId="77777777">
            <w:pPr>
              <w:spacing w:after="160" w:line="276" w:lineRule="auto"/>
              <w:cnfStyle w:val="000000100000" w:firstRow="0" w:lastRow="0" w:firstColumn="0" w:lastColumn="0" w:oddVBand="0" w:evenVBand="0" w:oddHBand="1" w:evenHBand="0" w:firstRowFirstColumn="0" w:firstRowLastColumn="0" w:lastRowFirstColumn="0" w:lastRowLastColumn="0"/>
              <w:rPr>
                <w:szCs w:val="18"/>
                <w:lang w:val="nl-NL"/>
              </w:rPr>
            </w:pPr>
            <w:r w:rsidRPr="009902D7">
              <w:rPr>
                <w:szCs w:val="18"/>
                <w:lang w:val="nl-NL"/>
              </w:rPr>
              <w:t>Een btw-heffing op het BSR wordt eerst geheven waarna de KSB wordt berekend op basis van het resterende BSR. De btw-plicht op het BSR heeft geen directe gevolgen voor het uitkeringspercentage omdat het BSR het resultaat van de inleg en het uitkeringspercentage is. Het is wel denkbaar dat sommige gokbedrijven het uitkeringspercentage gaan verlagen om dezelfde omzet na belastingen te behouden. Dit tweede-orde effect is niet meegenomen.</w:t>
            </w:r>
          </w:p>
          <w:p w:rsidRPr="00D3531F" w:rsidR="00D3531F" w:rsidP="003D5782" w:rsidRDefault="00D3531F" w14:paraId="0AD5444B" w14:textId="77777777">
            <w:pPr>
              <w:spacing w:after="160" w:line="276" w:lineRule="auto"/>
              <w:cnfStyle w:val="000000100000" w:firstRow="0" w:lastRow="0" w:firstColumn="0" w:lastColumn="0" w:oddVBand="0" w:evenVBand="0" w:oddHBand="1" w:evenHBand="0" w:firstRowFirstColumn="0" w:firstRowLastColumn="0" w:lastRowFirstColumn="0" w:lastRowLastColumn="0"/>
              <w:rPr>
                <w:szCs w:val="18"/>
                <w:lang w:val="nl-NL"/>
              </w:rPr>
            </w:pPr>
          </w:p>
          <w:tbl>
            <w:tblPr>
              <w:tblW w:w="6242" w:type="dxa"/>
              <w:tblCellMar>
                <w:left w:w="70" w:type="dxa"/>
                <w:right w:w="70" w:type="dxa"/>
              </w:tblCellMar>
              <w:tblLook w:val="04A0" w:firstRow="1" w:lastRow="0" w:firstColumn="1" w:lastColumn="0" w:noHBand="0" w:noVBand="1"/>
            </w:tblPr>
            <w:tblGrid>
              <w:gridCol w:w="2200"/>
              <w:gridCol w:w="600"/>
              <w:gridCol w:w="600"/>
              <w:gridCol w:w="600"/>
              <w:gridCol w:w="600"/>
              <w:gridCol w:w="600"/>
              <w:gridCol w:w="1042"/>
            </w:tblGrid>
            <w:tr w:rsidRPr="00D3531F" w:rsidR="00D3531F" w:rsidTr="00E16D56" w14:paraId="5EEEFDE0" w14:textId="77777777">
              <w:trPr>
                <w:trHeight w:val="300"/>
              </w:trPr>
              <w:tc>
                <w:tcPr>
                  <w:tcW w:w="22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3531F" w:rsidR="00D3531F" w:rsidP="003D5782" w:rsidRDefault="00D3531F" w14:paraId="32A9984A" w14:textId="77777777">
                  <w:pPr>
                    <w:spacing w:line="276" w:lineRule="auto"/>
                    <w:rPr>
                      <w:szCs w:val="18"/>
                      <w:lang w:val="nl-NL"/>
                    </w:rPr>
                  </w:pPr>
                  <w:r w:rsidRPr="00D3531F">
                    <w:rPr>
                      <w:szCs w:val="18"/>
                      <w:lang w:val="nl-NL"/>
                    </w:rPr>
                    <w:t> </w:t>
                  </w:r>
                </w:p>
              </w:tc>
              <w:tc>
                <w:tcPr>
                  <w:tcW w:w="600" w:type="dxa"/>
                  <w:tcBorders>
                    <w:top w:val="single" w:color="auto" w:sz="4" w:space="0"/>
                    <w:left w:val="nil"/>
                    <w:bottom w:val="single" w:color="auto" w:sz="4" w:space="0"/>
                    <w:right w:val="single" w:color="auto" w:sz="4" w:space="0"/>
                  </w:tcBorders>
                  <w:shd w:val="clear" w:color="auto" w:fill="auto"/>
                  <w:noWrap/>
                  <w:vAlign w:val="bottom"/>
                  <w:hideMark/>
                </w:tcPr>
                <w:p w:rsidRPr="00D3531F" w:rsidR="00D3531F" w:rsidP="003D5782" w:rsidRDefault="00D3531F" w14:paraId="2F440B58" w14:textId="77777777">
                  <w:pPr>
                    <w:spacing w:line="276" w:lineRule="auto"/>
                    <w:rPr>
                      <w:szCs w:val="18"/>
                      <w:lang w:val="nl-NL"/>
                    </w:rPr>
                  </w:pPr>
                  <w:r w:rsidRPr="00D3531F">
                    <w:rPr>
                      <w:szCs w:val="18"/>
                      <w:lang w:val="nl-NL"/>
                    </w:rPr>
                    <w:t>2025</w:t>
                  </w:r>
                </w:p>
              </w:tc>
              <w:tc>
                <w:tcPr>
                  <w:tcW w:w="600" w:type="dxa"/>
                  <w:tcBorders>
                    <w:top w:val="single" w:color="auto" w:sz="4" w:space="0"/>
                    <w:left w:val="nil"/>
                    <w:bottom w:val="single" w:color="auto" w:sz="4" w:space="0"/>
                    <w:right w:val="single" w:color="auto" w:sz="4" w:space="0"/>
                  </w:tcBorders>
                  <w:shd w:val="clear" w:color="auto" w:fill="auto"/>
                  <w:noWrap/>
                  <w:vAlign w:val="bottom"/>
                  <w:hideMark/>
                </w:tcPr>
                <w:p w:rsidRPr="00D3531F" w:rsidR="00D3531F" w:rsidP="003D5782" w:rsidRDefault="00D3531F" w14:paraId="6073E999" w14:textId="77777777">
                  <w:pPr>
                    <w:spacing w:line="276" w:lineRule="auto"/>
                    <w:rPr>
                      <w:szCs w:val="18"/>
                      <w:lang w:val="nl-NL"/>
                    </w:rPr>
                  </w:pPr>
                  <w:r w:rsidRPr="00D3531F">
                    <w:rPr>
                      <w:szCs w:val="18"/>
                      <w:lang w:val="nl-NL"/>
                    </w:rPr>
                    <w:t>2026</w:t>
                  </w:r>
                </w:p>
              </w:tc>
              <w:tc>
                <w:tcPr>
                  <w:tcW w:w="600" w:type="dxa"/>
                  <w:tcBorders>
                    <w:top w:val="single" w:color="auto" w:sz="4" w:space="0"/>
                    <w:left w:val="nil"/>
                    <w:bottom w:val="single" w:color="auto" w:sz="4" w:space="0"/>
                    <w:right w:val="single" w:color="auto" w:sz="4" w:space="0"/>
                  </w:tcBorders>
                  <w:shd w:val="clear" w:color="auto" w:fill="auto"/>
                  <w:noWrap/>
                  <w:vAlign w:val="bottom"/>
                  <w:hideMark/>
                </w:tcPr>
                <w:p w:rsidRPr="00D3531F" w:rsidR="00D3531F" w:rsidP="003D5782" w:rsidRDefault="00D3531F" w14:paraId="59D584BC" w14:textId="77777777">
                  <w:pPr>
                    <w:spacing w:line="276" w:lineRule="auto"/>
                    <w:rPr>
                      <w:szCs w:val="18"/>
                      <w:lang w:val="nl-NL"/>
                    </w:rPr>
                  </w:pPr>
                  <w:r w:rsidRPr="00D3531F">
                    <w:rPr>
                      <w:szCs w:val="18"/>
                      <w:lang w:val="nl-NL"/>
                    </w:rPr>
                    <w:t>2027</w:t>
                  </w:r>
                </w:p>
              </w:tc>
              <w:tc>
                <w:tcPr>
                  <w:tcW w:w="600" w:type="dxa"/>
                  <w:tcBorders>
                    <w:top w:val="single" w:color="auto" w:sz="4" w:space="0"/>
                    <w:left w:val="nil"/>
                    <w:bottom w:val="single" w:color="auto" w:sz="4" w:space="0"/>
                    <w:right w:val="single" w:color="auto" w:sz="4" w:space="0"/>
                  </w:tcBorders>
                  <w:shd w:val="clear" w:color="auto" w:fill="auto"/>
                  <w:noWrap/>
                  <w:vAlign w:val="bottom"/>
                  <w:hideMark/>
                </w:tcPr>
                <w:p w:rsidRPr="00D3531F" w:rsidR="00D3531F" w:rsidP="003D5782" w:rsidRDefault="00D3531F" w14:paraId="6F5202E6" w14:textId="77777777">
                  <w:pPr>
                    <w:spacing w:line="276" w:lineRule="auto"/>
                    <w:rPr>
                      <w:szCs w:val="18"/>
                      <w:lang w:val="nl-NL"/>
                    </w:rPr>
                  </w:pPr>
                  <w:r w:rsidRPr="00D3531F">
                    <w:rPr>
                      <w:szCs w:val="18"/>
                      <w:lang w:val="nl-NL"/>
                    </w:rPr>
                    <w:t>2028</w:t>
                  </w:r>
                </w:p>
              </w:tc>
              <w:tc>
                <w:tcPr>
                  <w:tcW w:w="600" w:type="dxa"/>
                  <w:tcBorders>
                    <w:top w:val="single" w:color="auto" w:sz="4" w:space="0"/>
                    <w:left w:val="nil"/>
                    <w:bottom w:val="single" w:color="auto" w:sz="4" w:space="0"/>
                    <w:right w:val="single" w:color="auto" w:sz="4" w:space="0"/>
                  </w:tcBorders>
                  <w:shd w:val="clear" w:color="auto" w:fill="auto"/>
                  <w:noWrap/>
                  <w:vAlign w:val="bottom"/>
                  <w:hideMark/>
                </w:tcPr>
                <w:p w:rsidRPr="00D3531F" w:rsidR="00D3531F" w:rsidP="003D5782" w:rsidRDefault="00D3531F" w14:paraId="38463342" w14:textId="77777777">
                  <w:pPr>
                    <w:spacing w:line="276" w:lineRule="auto"/>
                    <w:rPr>
                      <w:szCs w:val="18"/>
                      <w:lang w:val="nl-NL"/>
                    </w:rPr>
                  </w:pPr>
                  <w:proofErr w:type="spellStart"/>
                  <w:r w:rsidRPr="00D3531F">
                    <w:rPr>
                      <w:szCs w:val="18"/>
                      <w:lang w:val="nl-NL"/>
                    </w:rPr>
                    <w:t>struc</w:t>
                  </w:r>
                  <w:proofErr w:type="spellEnd"/>
                  <w:r w:rsidRPr="00D3531F">
                    <w:rPr>
                      <w:szCs w:val="18"/>
                      <w:lang w:val="nl-NL"/>
                    </w:rPr>
                    <w:t xml:space="preserve"> </w:t>
                  </w:r>
                </w:p>
              </w:tc>
              <w:tc>
                <w:tcPr>
                  <w:tcW w:w="1042" w:type="dxa"/>
                  <w:tcBorders>
                    <w:top w:val="single" w:color="auto" w:sz="4" w:space="0"/>
                    <w:left w:val="nil"/>
                    <w:bottom w:val="single" w:color="auto" w:sz="4" w:space="0"/>
                    <w:right w:val="single" w:color="auto" w:sz="4" w:space="0"/>
                  </w:tcBorders>
                  <w:shd w:val="clear" w:color="auto" w:fill="auto"/>
                  <w:noWrap/>
                  <w:vAlign w:val="bottom"/>
                  <w:hideMark/>
                </w:tcPr>
                <w:p w:rsidRPr="00D3531F" w:rsidR="00D3531F" w:rsidP="003D5782" w:rsidRDefault="00D3531F" w14:paraId="78292EA2" w14:textId="77777777">
                  <w:pPr>
                    <w:spacing w:line="276" w:lineRule="auto"/>
                    <w:rPr>
                      <w:szCs w:val="18"/>
                      <w:lang w:val="nl-NL"/>
                    </w:rPr>
                  </w:pPr>
                  <w:proofErr w:type="spellStart"/>
                  <w:r w:rsidRPr="00D3531F">
                    <w:rPr>
                      <w:szCs w:val="18"/>
                      <w:lang w:val="nl-NL"/>
                    </w:rPr>
                    <w:t>struc</w:t>
                  </w:r>
                  <w:proofErr w:type="spellEnd"/>
                  <w:r w:rsidRPr="00D3531F">
                    <w:rPr>
                      <w:szCs w:val="18"/>
                      <w:lang w:val="nl-NL"/>
                    </w:rPr>
                    <w:t xml:space="preserve"> in</w:t>
                  </w:r>
                </w:p>
              </w:tc>
            </w:tr>
            <w:tr w:rsidRPr="00E76289" w:rsidR="00D3531F" w:rsidTr="00E16D56" w14:paraId="15DCB398" w14:textId="77777777">
              <w:trPr>
                <w:trHeight w:val="600"/>
              </w:trPr>
              <w:tc>
                <w:tcPr>
                  <w:tcW w:w="2200" w:type="dxa"/>
                  <w:tcBorders>
                    <w:top w:val="nil"/>
                    <w:left w:val="single" w:color="auto" w:sz="4" w:space="0"/>
                    <w:bottom w:val="single" w:color="auto" w:sz="4" w:space="0"/>
                    <w:right w:val="single" w:color="auto" w:sz="4" w:space="0"/>
                  </w:tcBorders>
                  <w:shd w:val="clear" w:color="auto" w:fill="auto"/>
                  <w:vAlign w:val="bottom"/>
                  <w:hideMark/>
                </w:tcPr>
                <w:p w:rsidRPr="00D3531F" w:rsidR="00D3531F" w:rsidP="003D5782" w:rsidRDefault="00D3531F" w14:paraId="118E727D" w14:textId="77777777">
                  <w:pPr>
                    <w:spacing w:line="276" w:lineRule="auto"/>
                    <w:rPr>
                      <w:szCs w:val="18"/>
                      <w:lang w:val="nl-NL"/>
                    </w:rPr>
                  </w:pPr>
                  <w:r w:rsidRPr="00D3531F">
                    <w:rPr>
                      <w:szCs w:val="18"/>
                      <w:lang w:val="nl-NL"/>
                    </w:rPr>
                    <w:t>Opbrengst afschaffen btw-vrijstelling BSR</w:t>
                  </w:r>
                </w:p>
              </w:tc>
              <w:tc>
                <w:tcPr>
                  <w:tcW w:w="600" w:type="dxa"/>
                  <w:tcBorders>
                    <w:top w:val="nil"/>
                    <w:left w:val="nil"/>
                    <w:bottom w:val="single" w:color="auto" w:sz="4" w:space="0"/>
                    <w:right w:val="single" w:color="auto" w:sz="4" w:space="0"/>
                  </w:tcBorders>
                  <w:shd w:val="clear" w:color="auto" w:fill="auto"/>
                  <w:noWrap/>
                  <w:vAlign w:val="bottom"/>
                  <w:hideMark/>
                </w:tcPr>
                <w:p w:rsidRPr="00D3531F" w:rsidR="00D3531F" w:rsidP="003D5782" w:rsidRDefault="00D3531F" w14:paraId="20CADF68" w14:textId="77777777">
                  <w:pPr>
                    <w:spacing w:line="276" w:lineRule="auto"/>
                    <w:rPr>
                      <w:szCs w:val="18"/>
                      <w:lang w:val="nl-NL"/>
                    </w:rPr>
                  </w:pPr>
                  <w:r w:rsidRPr="00D3531F">
                    <w:rPr>
                      <w:szCs w:val="18"/>
                      <w:lang w:val="nl-NL"/>
                    </w:rPr>
                    <w:t> </w:t>
                  </w:r>
                </w:p>
              </w:tc>
              <w:tc>
                <w:tcPr>
                  <w:tcW w:w="600" w:type="dxa"/>
                  <w:tcBorders>
                    <w:top w:val="nil"/>
                    <w:left w:val="nil"/>
                    <w:bottom w:val="single" w:color="auto" w:sz="4" w:space="0"/>
                    <w:right w:val="single" w:color="auto" w:sz="4" w:space="0"/>
                  </w:tcBorders>
                  <w:shd w:val="clear" w:color="auto" w:fill="auto"/>
                  <w:noWrap/>
                  <w:vAlign w:val="bottom"/>
                  <w:hideMark/>
                </w:tcPr>
                <w:p w:rsidRPr="00D3531F" w:rsidR="00D3531F" w:rsidP="003D5782" w:rsidRDefault="00D3531F" w14:paraId="21E962E3" w14:textId="77777777">
                  <w:pPr>
                    <w:spacing w:line="276" w:lineRule="auto"/>
                    <w:rPr>
                      <w:szCs w:val="18"/>
                      <w:lang w:val="nl-NL"/>
                    </w:rPr>
                  </w:pPr>
                  <w:r w:rsidRPr="00D3531F">
                    <w:rPr>
                      <w:szCs w:val="18"/>
                      <w:lang w:val="nl-NL"/>
                    </w:rPr>
                    <w:t> </w:t>
                  </w:r>
                </w:p>
              </w:tc>
              <w:tc>
                <w:tcPr>
                  <w:tcW w:w="600" w:type="dxa"/>
                  <w:tcBorders>
                    <w:top w:val="nil"/>
                    <w:left w:val="nil"/>
                    <w:bottom w:val="single" w:color="auto" w:sz="4" w:space="0"/>
                    <w:right w:val="single" w:color="auto" w:sz="4" w:space="0"/>
                  </w:tcBorders>
                  <w:shd w:val="clear" w:color="auto" w:fill="auto"/>
                  <w:noWrap/>
                  <w:vAlign w:val="bottom"/>
                  <w:hideMark/>
                </w:tcPr>
                <w:p w:rsidRPr="00D3531F" w:rsidR="00D3531F" w:rsidP="003D5782" w:rsidRDefault="00D3531F" w14:paraId="11836A98" w14:textId="77777777">
                  <w:pPr>
                    <w:spacing w:line="276" w:lineRule="auto"/>
                    <w:rPr>
                      <w:szCs w:val="18"/>
                      <w:lang w:val="nl-NL"/>
                    </w:rPr>
                  </w:pPr>
                  <w:r w:rsidRPr="00D3531F">
                    <w:rPr>
                      <w:szCs w:val="18"/>
                      <w:lang w:val="nl-NL"/>
                    </w:rPr>
                    <w:t>132</w:t>
                  </w:r>
                </w:p>
              </w:tc>
              <w:tc>
                <w:tcPr>
                  <w:tcW w:w="600" w:type="dxa"/>
                  <w:tcBorders>
                    <w:top w:val="nil"/>
                    <w:left w:val="nil"/>
                    <w:bottom w:val="single" w:color="auto" w:sz="4" w:space="0"/>
                    <w:right w:val="single" w:color="auto" w:sz="4" w:space="0"/>
                  </w:tcBorders>
                  <w:shd w:val="clear" w:color="auto" w:fill="auto"/>
                  <w:noWrap/>
                  <w:vAlign w:val="bottom"/>
                  <w:hideMark/>
                </w:tcPr>
                <w:p w:rsidRPr="00D3531F" w:rsidR="00D3531F" w:rsidP="003D5782" w:rsidRDefault="00D3531F" w14:paraId="799D11AC" w14:textId="77777777">
                  <w:pPr>
                    <w:spacing w:line="276" w:lineRule="auto"/>
                    <w:rPr>
                      <w:szCs w:val="18"/>
                      <w:lang w:val="nl-NL"/>
                    </w:rPr>
                  </w:pPr>
                  <w:r w:rsidRPr="00D3531F">
                    <w:rPr>
                      <w:szCs w:val="18"/>
                      <w:lang w:val="nl-NL"/>
                    </w:rPr>
                    <w:t>132</w:t>
                  </w:r>
                </w:p>
              </w:tc>
              <w:tc>
                <w:tcPr>
                  <w:tcW w:w="600" w:type="dxa"/>
                  <w:tcBorders>
                    <w:top w:val="nil"/>
                    <w:left w:val="nil"/>
                    <w:bottom w:val="single" w:color="auto" w:sz="4" w:space="0"/>
                    <w:right w:val="single" w:color="auto" w:sz="4" w:space="0"/>
                  </w:tcBorders>
                  <w:shd w:val="clear" w:color="auto" w:fill="auto"/>
                  <w:noWrap/>
                  <w:vAlign w:val="bottom"/>
                  <w:hideMark/>
                </w:tcPr>
                <w:p w:rsidRPr="00D3531F" w:rsidR="00D3531F" w:rsidP="003D5782" w:rsidRDefault="00D3531F" w14:paraId="19BBE621" w14:textId="77777777">
                  <w:pPr>
                    <w:spacing w:line="276" w:lineRule="auto"/>
                    <w:rPr>
                      <w:szCs w:val="18"/>
                      <w:lang w:val="nl-NL"/>
                    </w:rPr>
                  </w:pPr>
                  <w:r w:rsidRPr="00D3531F">
                    <w:rPr>
                      <w:szCs w:val="18"/>
                      <w:lang w:val="nl-NL"/>
                    </w:rPr>
                    <w:t>132</w:t>
                  </w:r>
                </w:p>
              </w:tc>
              <w:tc>
                <w:tcPr>
                  <w:tcW w:w="1042" w:type="dxa"/>
                  <w:tcBorders>
                    <w:top w:val="nil"/>
                    <w:left w:val="nil"/>
                    <w:bottom w:val="single" w:color="auto" w:sz="4" w:space="0"/>
                    <w:right w:val="single" w:color="auto" w:sz="4" w:space="0"/>
                  </w:tcBorders>
                  <w:shd w:val="clear" w:color="auto" w:fill="auto"/>
                  <w:noWrap/>
                  <w:vAlign w:val="bottom"/>
                  <w:hideMark/>
                </w:tcPr>
                <w:p w:rsidRPr="00D3531F" w:rsidR="00D3531F" w:rsidP="003D5782" w:rsidRDefault="00D3531F" w14:paraId="5878302A" w14:textId="77777777">
                  <w:pPr>
                    <w:spacing w:line="276" w:lineRule="auto"/>
                    <w:rPr>
                      <w:szCs w:val="18"/>
                      <w:lang w:val="nl-NL"/>
                    </w:rPr>
                  </w:pPr>
                  <w:r w:rsidRPr="00D3531F">
                    <w:rPr>
                      <w:szCs w:val="18"/>
                      <w:lang w:val="nl-NL"/>
                    </w:rPr>
                    <w:t>2027</w:t>
                  </w:r>
                </w:p>
              </w:tc>
            </w:tr>
          </w:tbl>
          <w:p w:rsidRPr="00D3531F" w:rsidR="00D3531F" w:rsidP="003D5782" w:rsidRDefault="00D3531F" w14:paraId="4EE29D1E" w14:textId="77777777">
            <w:pPr>
              <w:spacing w:after="160" w:line="276" w:lineRule="auto"/>
              <w:cnfStyle w:val="000000100000" w:firstRow="0" w:lastRow="0" w:firstColumn="0" w:lastColumn="0" w:oddVBand="0" w:evenVBand="0" w:oddHBand="1" w:evenHBand="0" w:firstRowFirstColumn="0" w:firstRowLastColumn="0" w:lastRowFirstColumn="0" w:lastRowLastColumn="0"/>
              <w:rPr>
                <w:szCs w:val="18"/>
                <w:lang w:val="nl-NL"/>
              </w:rPr>
            </w:pPr>
            <w:r w:rsidRPr="00D3531F">
              <w:rPr>
                <w:szCs w:val="18"/>
                <w:lang w:val="nl-NL"/>
              </w:rPr>
              <w:t>Alle ramingen zijn in prijzen 2025 en gaat uit van invoering per 1-1-2027.</w:t>
            </w:r>
          </w:p>
          <w:p w:rsidRPr="00D3531F" w:rsidR="00D3531F" w:rsidP="003D5782" w:rsidRDefault="00D3531F" w14:paraId="66B26C00" w14:textId="77777777">
            <w:pPr>
              <w:spacing w:after="160" w:line="276" w:lineRule="auto"/>
              <w:cnfStyle w:val="000000100000" w:firstRow="0" w:lastRow="0" w:firstColumn="0" w:lastColumn="0" w:oddVBand="0" w:evenVBand="0" w:oddHBand="1" w:evenHBand="0" w:firstRowFirstColumn="0" w:firstRowLastColumn="0" w:lastRowFirstColumn="0" w:lastRowLastColumn="0"/>
              <w:rPr>
                <w:szCs w:val="18"/>
                <w:lang w:val="nl-NL"/>
              </w:rPr>
            </w:pPr>
          </w:p>
        </w:tc>
      </w:tr>
      <w:tr w:rsidRPr="00E76289" w:rsidR="00D3531F" w:rsidTr="00E16D56" w14:paraId="03BFB319" w14:textId="77777777">
        <w:tc>
          <w:tcPr>
            <w:cnfStyle w:val="001000000000" w:firstRow="0" w:lastRow="0" w:firstColumn="1" w:lastColumn="0" w:oddVBand="0" w:evenVBand="0" w:oddHBand="0" w:evenHBand="0" w:firstRowFirstColumn="0" w:firstRowLastColumn="0" w:lastRowFirstColumn="0" w:lastRowLastColumn="0"/>
            <w:tcW w:w="2286"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hideMark/>
          </w:tcPr>
          <w:p w:rsidRPr="00D3531F" w:rsidR="00D3531F" w:rsidP="003D5782" w:rsidRDefault="00D3531F" w14:paraId="4ABD7E4A" w14:textId="77777777">
            <w:pPr>
              <w:spacing w:after="160" w:line="276" w:lineRule="auto"/>
              <w:rPr>
                <w:szCs w:val="18"/>
                <w:lang w:val="nl-NL"/>
              </w:rPr>
            </w:pPr>
            <w:r w:rsidRPr="00D3531F">
              <w:rPr>
                <w:szCs w:val="18"/>
                <w:lang w:val="nl-NL"/>
              </w:rPr>
              <w:t>Uitvoeringsaspecten</w:t>
            </w:r>
          </w:p>
        </w:tc>
        <w:tc>
          <w:tcPr>
            <w:tcW w:w="6468"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FFFFFF" w:themeFill="background1"/>
            <w:hideMark/>
          </w:tcPr>
          <w:p w:rsidRPr="00D3531F" w:rsidR="00D3531F" w:rsidP="003D5782" w:rsidRDefault="00D3531F" w14:paraId="62A2B812" w14:textId="77777777">
            <w:pPr>
              <w:spacing w:after="160" w:line="276" w:lineRule="auto"/>
              <w:cnfStyle w:val="000000000000" w:firstRow="0" w:lastRow="0" w:firstColumn="0" w:lastColumn="0" w:oddVBand="0" w:evenVBand="0" w:oddHBand="0" w:evenHBand="0" w:firstRowFirstColumn="0" w:firstRowLastColumn="0" w:lastRowFirstColumn="0" w:lastRowLastColumn="0"/>
              <w:rPr>
                <w:i/>
                <w:iCs/>
                <w:szCs w:val="18"/>
                <w:lang w:val="nl-NL"/>
              </w:rPr>
            </w:pPr>
            <w:r w:rsidRPr="00D3531F">
              <w:rPr>
                <w:i/>
                <w:iCs/>
                <w:szCs w:val="18"/>
                <w:lang w:val="nl-NL"/>
              </w:rPr>
              <w:t>Uitvoerbaarheid bedrijven</w:t>
            </w:r>
          </w:p>
          <w:p w:rsidRPr="000605DC" w:rsidR="00D3531F" w:rsidP="003D5782" w:rsidRDefault="00575D8A" w14:paraId="177C668E" w14:textId="46025012">
            <w:pPr>
              <w:spacing w:after="160" w:line="276" w:lineRule="auto"/>
              <w:cnfStyle w:val="000000000000" w:firstRow="0" w:lastRow="0" w:firstColumn="0" w:lastColumn="0" w:oddVBand="0" w:evenVBand="0" w:oddHBand="0" w:evenHBand="0" w:firstRowFirstColumn="0" w:firstRowLastColumn="0" w:lastRowFirstColumn="0" w:lastRowLastColumn="0"/>
              <w:rPr>
                <w:szCs w:val="18"/>
                <w:lang w:val="nl-NL"/>
              </w:rPr>
            </w:pPr>
            <w:r>
              <w:rPr>
                <w:szCs w:val="18"/>
                <w:lang w:val="nl-NL"/>
              </w:rPr>
              <w:t>Bij deze variant zullen de aanbieders van online kansspelen</w:t>
            </w:r>
            <w:r w:rsidR="00592359">
              <w:rPr>
                <w:szCs w:val="18"/>
                <w:lang w:val="nl-NL"/>
              </w:rPr>
              <w:t xml:space="preserve"> aanpassingen moeten doen, zodat zij</w:t>
            </w:r>
            <w:r>
              <w:rPr>
                <w:szCs w:val="18"/>
                <w:lang w:val="nl-NL"/>
              </w:rPr>
              <w:t xml:space="preserve"> btw over het BSR per tijdvak</w:t>
            </w:r>
            <w:r w:rsidR="00592359">
              <w:rPr>
                <w:szCs w:val="18"/>
                <w:lang w:val="nl-NL"/>
              </w:rPr>
              <w:t xml:space="preserve"> kunnen afdragen</w:t>
            </w:r>
            <w:r>
              <w:rPr>
                <w:szCs w:val="18"/>
                <w:lang w:val="nl-NL"/>
              </w:rPr>
              <w:t xml:space="preserve"> en voorbelasting in aftrek </w:t>
            </w:r>
            <w:r w:rsidR="00592359">
              <w:rPr>
                <w:szCs w:val="18"/>
                <w:lang w:val="nl-NL"/>
              </w:rPr>
              <w:t xml:space="preserve">kunnen </w:t>
            </w:r>
            <w:r>
              <w:rPr>
                <w:szCs w:val="18"/>
                <w:lang w:val="nl-NL"/>
              </w:rPr>
              <w:t>brengen.</w:t>
            </w:r>
            <w:r w:rsidRPr="00592359" w:rsidR="00592359">
              <w:rPr>
                <w:rFonts w:eastAsia="SymbolMT" w:cs="Verdana"/>
                <w:szCs w:val="18"/>
                <w:lang w:val="nl-NL"/>
              </w:rPr>
              <w:t xml:space="preserve"> </w:t>
            </w:r>
            <w:r w:rsidRPr="00592359" w:rsidR="00592359">
              <w:rPr>
                <w:szCs w:val="18"/>
                <w:lang w:val="nl-NL"/>
              </w:rPr>
              <w:t xml:space="preserve">De business case van bedrijven die </w:t>
            </w:r>
            <w:proofErr w:type="spellStart"/>
            <w:r w:rsidRPr="00592359" w:rsidR="00592359">
              <w:rPr>
                <w:szCs w:val="18"/>
                <w:lang w:val="nl-NL"/>
              </w:rPr>
              <w:t>hoogrisicospelen</w:t>
            </w:r>
            <w:proofErr w:type="spellEnd"/>
            <w:r w:rsidRPr="00592359" w:rsidR="00592359">
              <w:rPr>
                <w:szCs w:val="18"/>
                <w:lang w:val="nl-NL"/>
              </w:rPr>
              <w:t xml:space="preserve"> aanbieden, zal verder worden bemoeilijkt, met mogelijk uitval en negatieve effecten op de kansspeldoelstellingen als gevolg.</w:t>
            </w:r>
          </w:p>
          <w:p w:rsidRPr="00D3531F" w:rsidR="00D3531F" w:rsidP="003D5782" w:rsidRDefault="003D5782" w14:paraId="219F0F61" w14:textId="32829893">
            <w:pPr>
              <w:spacing w:after="160" w:line="276" w:lineRule="auto"/>
              <w:cnfStyle w:val="000000000000" w:firstRow="0" w:lastRow="0" w:firstColumn="0" w:lastColumn="0" w:oddVBand="0" w:evenVBand="0" w:oddHBand="0" w:evenHBand="0" w:firstRowFirstColumn="0" w:firstRowLastColumn="0" w:lastRowFirstColumn="0" w:lastRowLastColumn="0"/>
              <w:rPr>
                <w:i/>
                <w:iCs/>
                <w:szCs w:val="18"/>
                <w:lang w:val="nl-NL"/>
              </w:rPr>
            </w:pPr>
            <w:r>
              <w:rPr>
                <w:i/>
                <w:iCs/>
                <w:szCs w:val="18"/>
                <w:lang w:val="nl-NL"/>
              </w:rPr>
              <w:t>Uitvoerbaarheid BD</w:t>
            </w:r>
          </w:p>
          <w:p w:rsidRPr="00D3531F" w:rsidR="00D3531F" w:rsidP="003D5782" w:rsidRDefault="00D3531F" w14:paraId="6E1DAE96" w14:textId="77777777">
            <w:pPr>
              <w:spacing w:after="160" w:line="276" w:lineRule="auto"/>
              <w:cnfStyle w:val="000000000000" w:firstRow="0" w:lastRow="0" w:firstColumn="0" w:lastColumn="0" w:oddVBand="0" w:evenVBand="0" w:oddHBand="0" w:evenHBand="0" w:firstRowFirstColumn="0" w:firstRowLastColumn="0" w:lastRowFirstColumn="0" w:lastRowLastColumn="0"/>
              <w:rPr>
                <w:i/>
                <w:iCs/>
                <w:szCs w:val="18"/>
                <w:lang w:val="nl-NL"/>
              </w:rPr>
            </w:pPr>
            <w:r w:rsidRPr="00D3531F">
              <w:rPr>
                <w:szCs w:val="18"/>
                <w:lang w:val="nl-NL"/>
              </w:rPr>
              <w:t>Er bestaan praktische bezwaren die zien op de uitvoering en handhaving door de Belastingdienst die niet eenvoudig zijn weg te nemen. Dat ziet met name op de vraag hoe de maatstaf van heffing moet worden berekend en hoe de plaats van de prestatie moet worden bepaald. Ook kunnen er afbakeningsdiscussies ontstaan over het begrip ‘online kansspelen’. De Belastingdienst kan bovendien niet in alle gevallen de (illegale) aanbieders buiten Nederland die belastingplichtig zijn in Nederland opsporen. Ook is het bij deze groep erg lastig om de beschikking te krijgen over de voor de heffing benodigde gegevens en ten slotte kan het zeer moeilijk zijn om eventuele aanslagen in te vorderen bij deze aanbieders. Dit maakt de handhaving bij de (illegale) aanbieders van online kansspelen, waar niet altijd medewerking zal zijn van de autoriteiten ter plaatse), vrijwel onmogelijk.</w:t>
            </w:r>
          </w:p>
        </w:tc>
      </w:tr>
      <w:tr w:rsidRPr="00E76289" w:rsidR="00D3531F" w:rsidTr="00E16D56" w14:paraId="72097A3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6"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hideMark/>
          </w:tcPr>
          <w:p w:rsidRPr="00D3531F" w:rsidR="00D3531F" w:rsidP="003D5782" w:rsidRDefault="00D3531F" w14:paraId="6C466A45" w14:textId="2807A9E7">
            <w:pPr>
              <w:spacing w:after="160" w:line="276" w:lineRule="auto"/>
              <w:rPr>
                <w:szCs w:val="18"/>
                <w:lang w:val="nl-NL"/>
              </w:rPr>
            </w:pPr>
            <w:proofErr w:type="spellStart"/>
            <w:r w:rsidRPr="00D3531F">
              <w:rPr>
                <w:szCs w:val="18"/>
              </w:rPr>
              <w:t>Juridische</w:t>
            </w:r>
            <w:proofErr w:type="spellEnd"/>
            <w:r w:rsidRPr="003D5782" w:rsidR="009902D7">
              <w:rPr>
                <w:szCs w:val="18"/>
              </w:rPr>
              <w:t xml:space="preserve"> </w:t>
            </w:r>
            <w:proofErr w:type="spellStart"/>
            <w:r w:rsidRPr="003D5782" w:rsidR="009902D7">
              <w:rPr>
                <w:szCs w:val="18"/>
              </w:rPr>
              <w:t>en</w:t>
            </w:r>
            <w:proofErr w:type="spellEnd"/>
            <w:r w:rsidRPr="003D5782" w:rsidR="009902D7">
              <w:rPr>
                <w:szCs w:val="18"/>
              </w:rPr>
              <w:t xml:space="preserve"> </w:t>
            </w:r>
            <w:proofErr w:type="spellStart"/>
            <w:r w:rsidRPr="003D5782" w:rsidR="009902D7">
              <w:rPr>
                <w:szCs w:val="18"/>
              </w:rPr>
              <w:t>overige</w:t>
            </w:r>
            <w:proofErr w:type="spellEnd"/>
            <w:r w:rsidRPr="00D3531F">
              <w:rPr>
                <w:szCs w:val="18"/>
              </w:rPr>
              <w:t xml:space="preserve"> </w:t>
            </w:r>
            <w:proofErr w:type="spellStart"/>
            <w:r w:rsidRPr="00D3531F">
              <w:rPr>
                <w:szCs w:val="18"/>
              </w:rPr>
              <w:t>aspecten</w:t>
            </w:r>
            <w:proofErr w:type="spellEnd"/>
          </w:p>
        </w:tc>
        <w:tc>
          <w:tcPr>
            <w:tcW w:w="6468" w:type="dxa"/>
            <w:tc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tcBorders>
            <w:shd w:val="clear" w:color="auto" w:fill="FFFFFF" w:themeFill="background1"/>
          </w:tcPr>
          <w:p w:rsidRPr="003D5782" w:rsidR="009902D7" w:rsidP="003D5782" w:rsidRDefault="009902D7" w14:paraId="32931EE5" w14:textId="267EE6E6">
            <w:pPr>
              <w:spacing w:after="160" w:line="276" w:lineRule="auto"/>
              <w:cnfStyle w:val="000000100000" w:firstRow="0" w:lastRow="0" w:firstColumn="0" w:lastColumn="0" w:oddVBand="0" w:evenVBand="0" w:oddHBand="1" w:evenHBand="0" w:firstRowFirstColumn="0" w:firstRowLastColumn="0" w:lastRowFirstColumn="0" w:lastRowLastColumn="0"/>
              <w:rPr>
                <w:szCs w:val="18"/>
                <w:lang w:val="nl-NL"/>
              </w:rPr>
            </w:pPr>
            <w:r w:rsidRPr="003D5782">
              <w:rPr>
                <w:szCs w:val="18"/>
                <w:lang w:val="nl-NL"/>
              </w:rPr>
              <w:t xml:space="preserve">Deze variant </w:t>
            </w:r>
            <w:r w:rsidRPr="003D5782" w:rsidR="003D5782">
              <w:rPr>
                <w:szCs w:val="18"/>
                <w:lang w:val="nl-NL"/>
              </w:rPr>
              <w:t>leidt</w:t>
            </w:r>
            <w:r w:rsidRPr="003D5782">
              <w:rPr>
                <w:szCs w:val="18"/>
                <w:lang w:val="nl-NL"/>
              </w:rPr>
              <w:t xml:space="preserve"> tot de volgende</w:t>
            </w:r>
            <w:r w:rsidRPr="003D5782" w:rsidR="003D5782">
              <w:rPr>
                <w:szCs w:val="18"/>
                <w:lang w:val="nl-NL"/>
              </w:rPr>
              <w:t xml:space="preserve"> vraagstukken:</w:t>
            </w:r>
          </w:p>
          <w:p w:rsidRPr="003D5782" w:rsidR="003D5782" w:rsidP="003D5782" w:rsidRDefault="003D5782" w14:paraId="0BA2438B" w14:textId="649FD460">
            <w:pPr>
              <w:pStyle w:val="Lijstalinea"/>
              <w:numPr>
                <w:ilvl w:val="0"/>
                <w:numId w:val="6"/>
              </w:num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stheme="minorBidi"/>
                <w:kern w:val="0"/>
                <w:sz w:val="18"/>
                <w:szCs w:val="18"/>
                <w14:ligatures w14:val="none"/>
              </w:rPr>
            </w:pPr>
            <w:r w:rsidRPr="003D5782">
              <w:rPr>
                <w:rFonts w:ascii="Verdana" w:hAnsi="Verdana" w:cstheme="minorBidi"/>
                <w:kern w:val="0"/>
                <w:sz w:val="18"/>
                <w:szCs w:val="18"/>
                <w14:ligatures w14:val="none"/>
              </w:rPr>
              <w:t xml:space="preserve">Er is een potentiële strijdigheid met EU-recht en risico op </w:t>
            </w:r>
            <w:r w:rsidR="008C697B">
              <w:rPr>
                <w:rFonts w:ascii="Verdana" w:hAnsi="Verdana" w:cstheme="minorBidi"/>
                <w:kern w:val="0"/>
                <w:sz w:val="18"/>
                <w:szCs w:val="18"/>
                <w14:ligatures w14:val="none"/>
              </w:rPr>
              <w:t>(ongeoorloofde)</w:t>
            </w:r>
            <w:r w:rsidRPr="003D5782">
              <w:rPr>
                <w:rFonts w:ascii="Verdana" w:hAnsi="Verdana" w:cstheme="minorBidi"/>
                <w:kern w:val="0"/>
                <w:sz w:val="18"/>
                <w:szCs w:val="18"/>
                <w14:ligatures w14:val="none"/>
              </w:rPr>
              <w:t xml:space="preserve"> staatssteun. </w:t>
            </w:r>
          </w:p>
          <w:p w:rsidRPr="00D3531F" w:rsidR="00D3531F" w:rsidP="003D5782" w:rsidRDefault="00D3531F" w14:paraId="7D7D2F9A" w14:textId="3FA081D9">
            <w:pPr>
              <w:numPr>
                <w:ilvl w:val="0"/>
                <w:numId w:val="6"/>
              </w:numPr>
              <w:spacing w:after="160" w:line="276" w:lineRule="auto"/>
              <w:cnfStyle w:val="000000100000" w:firstRow="0" w:lastRow="0" w:firstColumn="0" w:lastColumn="0" w:oddVBand="0" w:evenVBand="0" w:oddHBand="1" w:evenHBand="0" w:firstRowFirstColumn="0" w:firstRowLastColumn="0" w:lastRowFirstColumn="0" w:lastRowLastColumn="0"/>
              <w:rPr>
                <w:szCs w:val="18"/>
                <w:lang w:val="nl-NL"/>
              </w:rPr>
            </w:pPr>
            <w:r w:rsidRPr="00D3531F">
              <w:rPr>
                <w:szCs w:val="18"/>
                <w:lang w:val="nl-NL"/>
              </w:rPr>
              <w:t>Afbakeningsvraagstukken (definiëren online kansspelen)</w:t>
            </w:r>
          </w:p>
          <w:p w:rsidRPr="00D3531F" w:rsidR="00D3531F" w:rsidP="003D5782" w:rsidRDefault="00D3531F" w14:paraId="469829C5" w14:textId="77777777">
            <w:pPr>
              <w:numPr>
                <w:ilvl w:val="0"/>
                <w:numId w:val="6"/>
              </w:numPr>
              <w:spacing w:after="160" w:line="276" w:lineRule="auto"/>
              <w:cnfStyle w:val="000000100000" w:firstRow="0" w:lastRow="0" w:firstColumn="0" w:lastColumn="0" w:oddVBand="0" w:evenVBand="0" w:oddHBand="1" w:evenHBand="0" w:firstRowFirstColumn="0" w:firstRowLastColumn="0" w:lastRowFirstColumn="0" w:lastRowLastColumn="0"/>
              <w:rPr>
                <w:szCs w:val="18"/>
                <w:lang w:val="nl-NL"/>
              </w:rPr>
            </w:pPr>
            <w:r w:rsidRPr="00D3531F">
              <w:rPr>
                <w:szCs w:val="18"/>
                <w:lang w:val="nl-NL"/>
              </w:rPr>
              <w:t>Budgettaire effecten. Ontstaan recht op aftrek voorbelasting wat btw-inkomsten kan beperken.</w:t>
            </w:r>
          </w:p>
          <w:p w:rsidRPr="00D3531F" w:rsidR="00D3531F" w:rsidP="003D5782" w:rsidRDefault="00D3531F" w14:paraId="1F3291A0" w14:textId="3C7420A9">
            <w:pPr>
              <w:numPr>
                <w:ilvl w:val="0"/>
                <w:numId w:val="6"/>
              </w:numPr>
              <w:spacing w:after="160" w:line="276" w:lineRule="auto"/>
              <w:cnfStyle w:val="000000100000" w:firstRow="0" w:lastRow="0" w:firstColumn="0" w:lastColumn="0" w:oddVBand="0" w:evenVBand="0" w:oddHBand="1" w:evenHBand="0" w:firstRowFirstColumn="0" w:firstRowLastColumn="0" w:lastRowFirstColumn="0" w:lastRowLastColumn="0"/>
              <w:rPr>
                <w:szCs w:val="18"/>
                <w:lang w:val="nl-NL"/>
              </w:rPr>
            </w:pPr>
            <w:r w:rsidRPr="00D3531F">
              <w:rPr>
                <w:szCs w:val="18"/>
                <w:lang w:val="nl-NL"/>
              </w:rPr>
              <w:t xml:space="preserve">Complexe aanpassingen in de wetgeving, met name rondom de berekening van de maatstaf van heffing en het bepalen van de plaats van de prestatie. </w:t>
            </w:r>
          </w:p>
        </w:tc>
      </w:tr>
    </w:tbl>
    <w:p w:rsidRPr="00D3531F" w:rsidR="00D3531F" w:rsidP="003D5782" w:rsidRDefault="00D3531F" w14:paraId="70A2A10A" w14:textId="77777777">
      <w:pPr>
        <w:spacing w:line="276" w:lineRule="auto"/>
        <w:rPr>
          <w:szCs w:val="18"/>
          <w:lang w:val="nl-NL"/>
        </w:rPr>
      </w:pPr>
    </w:p>
    <w:p w:rsidRPr="003D5782" w:rsidR="00261FDD" w:rsidP="003D5782" w:rsidRDefault="00261FDD" w14:paraId="7990734A" w14:textId="77777777">
      <w:pPr>
        <w:spacing w:line="276" w:lineRule="auto"/>
        <w:rPr>
          <w:szCs w:val="18"/>
          <w:lang w:val="nl-NL"/>
        </w:rPr>
      </w:pPr>
    </w:p>
    <w:sectPr w:rsidRPr="003D5782" w:rsidR="00261FDD"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3A8A" w14:textId="77777777" w:rsidR="00AC4C50" w:rsidRDefault="00AC4C50" w:rsidP="00860819">
      <w:pPr>
        <w:spacing w:after="0" w:line="240" w:lineRule="auto"/>
      </w:pPr>
      <w:r>
        <w:separator/>
      </w:r>
    </w:p>
  </w:endnote>
  <w:endnote w:type="continuationSeparator" w:id="0">
    <w:p w14:paraId="33BD9B41" w14:textId="77777777" w:rsidR="00AC4C50" w:rsidRDefault="00AC4C50" w:rsidP="00860819">
      <w:pPr>
        <w:spacing w:after="0" w:line="240" w:lineRule="auto"/>
      </w:pPr>
      <w:r>
        <w:continuationSeparator/>
      </w:r>
    </w:p>
  </w:endnote>
  <w:endnote w:type="continuationNotice" w:id="1">
    <w:p w14:paraId="08C0B338" w14:textId="77777777" w:rsidR="00AC4C50" w:rsidRDefault="00AC4C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50E53" w14:textId="77777777" w:rsidR="00AC4C50" w:rsidRDefault="00AC4C50" w:rsidP="00860819">
      <w:pPr>
        <w:spacing w:after="0" w:line="240" w:lineRule="auto"/>
      </w:pPr>
      <w:r>
        <w:separator/>
      </w:r>
    </w:p>
  </w:footnote>
  <w:footnote w:type="continuationSeparator" w:id="0">
    <w:p w14:paraId="5B9D5DE8" w14:textId="77777777" w:rsidR="00AC4C50" w:rsidRDefault="00AC4C50" w:rsidP="00860819">
      <w:pPr>
        <w:spacing w:after="0" w:line="240" w:lineRule="auto"/>
      </w:pPr>
      <w:r>
        <w:continuationSeparator/>
      </w:r>
    </w:p>
  </w:footnote>
  <w:footnote w:type="continuationNotice" w:id="1">
    <w:p w14:paraId="10A64CC9" w14:textId="77777777" w:rsidR="00AC4C50" w:rsidRDefault="00AC4C50">
      <w:pPr>
        <w:spacing w:after="0" w:line="240" w:lineRule="auto"/>
      </w:pPr>
    </w:p>
  </w:footnote>
  <w:footnote w:id="2">
    <w:p w14:paraId="4CA4347D" w14:textId="76ED8E3F" w:rsidR="00DB2959" w:rsidRPr="00795F7F" w:rsidRDefault="00DB2959">
      <w:pPr>
        <w:pStyle w:val="Voetnoottekst"/>
        <w:rPr>
          <w:rFonts w:ascii="Verdana" w:hAnsi="Verdana"/>
          <w:sz w:val="13"/>
          <w:szCs w:val="13"/>
        </w:rPr>
      </w:pPr>
      <w:r w:rsidRPr="00795F7F">
        <w:rPr>
          <w:rStyle w:val="Voetnootmarkering"/>
          <w:rFonts w:ascii="Verdana" w:hAnsi="Verdana"/>
          <w:sz w:val="13"/>
          <w:szCs w:val="13"/>
        </w:rPr>
        <w:footnoteRef/>
      </w:r>
      <w:r w:rsidRPr="00795F7F">
        <w:rPr>
          <w:rFonts w:ascii="Verdana" w:hAnsi="Verdana"/>
          <w:sz w:val="13"/>
          <w:szCs w:val="13"/>
        </w:rPr>
        <w:t xml:space="preserve"> Opbrengst bij Staatsloterij, </w:t>
      </w:r>
      <w:proofErr w:type="spellStart"/>
      <w:r w:rsidRPr="00795F7F">
        <w:rPr>
          <w:rFonts w:ascii="Verdana" w:hAnsi="Verdana"/>
          <w:sz w:val="13"/>
          <w:szCs w:val="13"/>
        </w:rPr>
        <w:t>Goededoelenloterijen</w:t>
      </w:r>
      <w:proofErr w:type="spellEnd"/>
      <w:r w:rsidRPr="00795F7F">
        <w:rPr>
          <w:rFonts w:ascii="Verdana" w:hAnsi="Verdana"/>
          <w:sz w:val="13"/>
          <w:szCs w:val="13"/>
        </w:rPr>
        <w:t>, Lotto en Krasloten = (aantal verkochte deelnamebewijzen x verkoopprijs deelnamebewijzen) – prijzen en noodzakelijke kosten.</w:t>
      </w:r>
    </w:p>
  </w:footnote>
  <w:footnote w:id="3">
    <w:p w14:paraId="6DA96E30" w14:textId="311F4DB9" w:rsidR="00DB2959" w:rsidRDefault="00DB2959">
      <w:pPr>
        <w:pStyle w:val="Voetnoottekst"/>
      </w:pPr>
      <w:r w:rsidRPr="00795F7F">
        <w:rPr>
          <w:rStyle w:val="Voetnootmarkering"/>
          <w:rFonts w:ascii="Verdana" w:hAnsi="Verdana"/>
          <w:sz w:val="13"/>
          <w:szCs w:val="13"/>
        </w:rPr>
        <w:footnoteRef/>
      </w:r>
      <w:r w:rsidRPr="00795F7F">
        <w:rPr>
          <w:rFonts w:ascii="Verdana" w:hAnsi="Verdana"/>
          <w:sz w:val="13"/>
          <w:szCs w:val="13"/>
        </w:rPr>
        <w:t xml:space="preserve"> Opbrengst bij sportweddenschappen (Toto) = totale inzetten – prijzen en noodzakelijke kosten.</w:t>
      </w:r>
      <w:r>
        <w:t xml:space="preserve"> </w:t>
      </w:r>
    </w:p>
  </w:footnote>
  <w:footnote w:id="4">
    <w:p w14:paraId="5E7FEF7B" w14:textId="1CD156BF" w:rsidR="006A6471" w:rsidRPr="00F01D8B" w:rsidRDefault="006A6471">
      <w:pPr>
        <w:pStyle w:val="Voetnoottekst"/>
        <w:rPr>
          <w:rFonts w:ascii="Verdana" w:hAnsi="Verdana"/>
          <w:sz w:val="13"/>
          <w:szCs w:val="13"/>
        </w:rPr>
      </w:pPr>
      <w:r w:rsidRPr="00F01D8B">
        <w:rPr>
          <w:rStyle w:val="Voetnootmarkering"/>
          <w:rFonts w:ascii="Verdana" w:hAnsi="Verdana"/>
          <w:sz w:val="13"/>
          <w:szCs w:val="13"/>
        </w:rPr>
        <w:footnoteRef/>
      </w:r>
      <w:r w:rsidRPr="00F01D8B">
        <w:rPr>
          <w:rFonts w:ascii="Verdana" w:hAnsi="Verdana"/>
          <w:sz w:val="13"/>
          <w:szCs w:val="13"/>
        </w:rPr>
        <w:t xml:space="preserve"> Zie</w:t>
      </w:r>
      <w:r w:rsidR="000605DC" w:rsidRPr="000605DC">
        <w:rPr>
          <w:rFonts w:ascii="Verdana" w:eastAsiaTheme="minorHAnsi" w:hAnsi="Verdana" w:cstheme="minorBidi"/>
          <w:kern w:val="0"/>
          <w:szCs w:val="22"/>
          <w:lang w:eastAsia="en-US"/>
          <w14:ligatures w14:val="none"/>
        </w:rPr>
        <w:t xml:space="preserve"> </w:t>
      </w:r>
      <w:proofErr w:type="spellStart"/>
      <w:r w:rsidR="000605DC" w:rsidRPr="000605DC">
        <w:rPr>
          <w:rFonts w:ascii="Verdana" w:hAnsi="Verdana"/>
          <w:sz w:val="13"/>
          <w:szCs w:val="13"/>
        </w:rPr>
        <w:t>Halbersma</w:t>
      </w:r>
      <w:proofErr w:type="spellEnd"/>
      <w:r w:rsidR="000605DC" w:rsidRPr="000605DC">
        <w:rPr>
          <w:rFonts w:ascii="Verdana" w:hAnsi="Verdana"/>
          <w:sz w:val="13"/>
          <w:szCs w:val="13"/>
        </w:rPr>
        <w:t xml:space="preserve">, R., Poort, J., &amp; Burema, F. (2024). </w:t>
      </w:r>
      <w:proofErr w:type="spellStart"/>
      <w:r w:rsidR="000605DC" w:rsidRPr="000605DC">
        <w:rPr>
          <w:rFonts w:ascii="Verdana" w:hAnsi="Verdana"/>
          <w:sz w:val="13"/>
          <w:szCs w:val="13"/>
        </w:rPr>
        <w:t>Raise</w:t>
      </w:r>
      <w:proofErr w:type="spellEnd"/>
      <w:r w:rsidR="000605DC" w:rsidRPr="000605DC">
        <w:rPr>
          <w:rFonts w:ascii="Verdana" w:hAnsi="Verdana"/>
          <w:sz w:val="13"/>
          <w:szCs w:val="13"/>
        </w:rPr>
        <w:t xml:space="preserve"> of </w:t>
      </w:r>
      <w:proofErr w:type="spellStart"/>
      <w:r w:rsidR="000605DC" w:rsidRPr="000605DC">
        <w:rPr>
          <w:rFonts w:ascii="Verdana" w:hAnsi="Verdana"/>
          <w:sz w:val="13"/>
          <w:szCs w:val="13"/>
        </w:rPr>
        <w:t>fold</w:t>
      </w:r>
      <w:proofErr w:type="spellEnd"/>
      <w:r w:rsidR="000605DC" w:rsidRPr="000605DC">
        <w:rPr>
          <w:rFonts w:ascii="Verdana" w:hAnsi="Verdana"/>
          <w:sz w:val="13"/>
          <w:szCs w:val="13"/>
        </w:rPr>
        <w:t xml:space="preserve">? Verhoging van de kansspelbelasting en de impact op de publieke belangen. </w:t>
      </w:r>
      <w:r w:rsidR="000605DC" w:rsidRPr="008C697B">
        <w:rPr>
          <w:rFonts w:ascii="Verdana" w:hAnsi="Verdana"/>
          <w:sz w:val="13"/>
          <w:szCs w:val="13"/>
        </w:rPr>
        <w:t>Atlas Research (bijlage bij Kamerstukken II 2024/25, 24557, nr. 242)</w:t>
      </w:r>
      <w:r w:rsidRPr="00F01D8B">
        <w:rPr>
          <w:rFonts w:ascii="Verdana" w:hAnsi="Verdana"/>
          <w:sz w:val="13"/>
          <w:szCs w:val="13"/>
        </w:rPr>
        <w:t xml:space="preserve">, pp 21 </w:t>
      </w:r>
      <w:r w:rsidR="00261FDD">
        <w:rPr>
          <w:rFonts w:ascii="Verdana" w:hAnsi="Verdana"/>
          <w:sz w:val="13"/>
          <w:szCs w:val="13"/>
        </w:rPr>
        <w:t>–</w:t>
      </w:r>
      <w:r w:rsidRPr="00F01D8B">
        <w:rPr>
          <w:rFonts w:ascii="Verdana" w:hAnsi="Verdana"/>
          <w:sz w:val="13"/>
          <w:szCs w:val="13"/>
        </w:rPr>
        <w:t xml:space="preserve"> 22</w:t>
      </w:r>
      <w:r w:rsidR="00261FDD">
        <w:rPr>
          <w:rFonts w:ascii="Verdana" w:hAnsi="Verdana"/>
          <w:sz w:val="13"/>
          <w:szCs w:val="13"/>
        </w:rPr>
        <w:t>.</w:t>
      </w:r>
    </w:p>
  </w:footnote>
  <w:footnote w:id="5">
    <w:p w14:paraId="4F2567B1" w14:textId="77777777" w:rsidR="00E253FE" w:rsidRPr="00F01D8B" w:rsidRDefault="00E253FE" w:rsidP="00E253FE">
      <w:pPr>
        <w:pStyle w:val="Voetnoottekst"/>
        <w:rPr>
          <w:rFonts w:ascii="Verdana" w:hAnsi="Verdana"/>
          <w:sz w:val="13"/>
          <w:szCs w:val="13"/>
        </w:rPr>
      </w:pPr>
      <w:r w:rsidRPr="00F01D8B">
        <w:rPr>
          <w:rStyle w:val="Voetnootmarkering"/>
          <w:rFonts w:ascii="Verdana" w:hAnsi="Verdana"/>
          <w:sz w:val="13"/>
          <w:szCs w:val="13"/>
        </w:rPr>
        <w:footnoteRef/>
      </w:r>
      <w:r w:rsidRPr="00F01D8B">
        <w:rPr>
          <w:rFonts w:ascii="Verdana" w:hAnsi="Verdana"/>
          <w:sz w:val="13"/>
          <w:szCs w:val="13"/>
        </w:rPr>
        <w:t xml:space="preserve"> Kamerstukken II 2024/25, 36602, nr. 3.</w:t>
      </w:r>
    </w:p>
  </w:footnote>
  <w:footnote w:id="6">
    <w:p w14:paraId="140A14D7" w14:textId="116AD4F2" w:rsidR="004047DF" w:rsidRPr="000605DC" w:rsidRDefault="004047DF">
      <w:pPr>
        <w:pStyle w:val="Voetnoottekst"/>
        <w:rPr>
          <w:rFonts w:ascii="Verdana" w:hAnsi="Verdana"/>
          <w:sz w:val="13"/>
          <w:szCs w:val="13"/>
        </w:rPr>
      </w:pPr>
      <w:r w:rsidRPr="000605DC">
        <w:rPr>
          <w:rStyle w:val="Voetnootmarkering"/>
          <w:rFonts w:ascii="Verdana" w:hAnsi="Verdana" w:cstheme="minorHAnsi"/>
          <w:sz w:val="13"/>
          <w:szCs w:val="13"/>
        </w:rPr>
        <w:footnoteRef/>
      </w:r>
      <w:r w:rsidRPr="000605DC">
        <w:rPr>
          <w:rFonts w:ascii="Verdana" w:hAnsi="Verdana" w:cstheme="minorHAnsi"/>
          <w:sz w:val="13"/>
          <w:szCs w:val="13"/>
        </w:rPr>
        <w:t xml:space="preserve"> In 2025: 1 - 1/0,658 bij een standaardtarief van 34,2%.</w:t>
      </w:r>
    </w:p>
  </w:footnote>
  <w:footnote w:id="7">
    <w:p w14:paraId="3BB0A80B" w14:textId="49C33F0A" w:rsidR="00592BE5" w:rsidRPr="000605DC" w:rsidRDefault="00592BE5">
      <w:pPr>
        <w:pStyle w:val="Voetnoottekst"/>
        <w:rPr>
          <w:rFonts w:ascii="Verdana" w:hAnsi="Verdana"/>
          <w:sz w:val="13"/>
          <w:szCs w:val="13"/>
        </w:rPr>
      </w:pPr>
      <w:r w:rsidRPr="000605DC">
        <w:rPr>
          <w:rFonts w:ascii="Verdana" w:hAnsi="Verdana" w:cstheme="minorHAnsi"/>
          <w:sz w:val="13"/>
          <w:szCs w:val="13"/>
        </w:rPr>
        <w:footnoteRef/>
      </w:r>
      <w:r w:rsidRPr="000605DC">
        <w:rPr>
          <w:rFonts w:ascii="Verdana" w:hAnsi="Verdana" w:cstheme="minorHAnsi"/>
          <w:sz w:val="13"/>
          <w:szCs w:val="13"/>
          <w:vertAlign w:val="superscript"/>
        </w:rPr>
        <w:t xml:space="preserve"> </w:t>
      </w:r>
      <w:r w:rsidRPr="000605DC">
        <w:rPr>
          <w:rFonts w:ascii="Verdana" w:hAnsi="Verdana" w:cstheme="minorHAnsi"/>
          <w:sz w:val="13"/>
          <w:szCs w:val="13"/>
        </w:rPr>
        <w:t>In 2026 van 37,8% naar 28,4%.</w:t>
      </w:r>
    </w:p>
  </w:footnote>
  <w:footnote w:id="8">
    <w:p w14:paraId="64B3BF20" w14:textId="2E02D7C4" w:rsidR="00E506EC" w:rsidRPr="00F01D8B" w:rsidRDefault="00E506EC">
      <w:pPr>
        <w:pStyle w:val="Voetnoottekst"/>
        <w:rPr>
          <w:rFonts w:ascii="Verdana" w:hAnsi="Verdana"/>
          <w:sz w:val="13"/>
          <w:szCs w:val="13"/>
        </w:rPr>
      </w:pPr>
      <w:r w:rsidRPr="00F01D8B">
        <w:rPr>
          <w:rStyle w:val="Voetnootmarkering"/>
          <w:rFonts w:ascii="Verdana" w:hAnsi="Verdana"/>
          <w:sz w:val="13"/>
          <w:szCs w:val="13"/>
        </w:rPr>
        <w:footnoteRef/>
      </w:r>
      <w:r w:rsidRPr="00F01D8B">
        <w:rPr>
          <w:rFonts w:ascii="Verdana" w:hAnsi="Verdana"/>
          <w:sz w:val="13"/>
          <w:szCs w:val="13"/>
        </w:rPr>
        <w:t xml:space="preserve"> Kamerstukken II 1978/79, nr. 3, o.a. </w:t>
      </w:r>
      <w:r>
        <w:rPr>
          <w:rFonts w:ascii="Verdana" w:hAnsi="Verdana"/>
          <w:sz w:val="13"/>
          <w:szCs w:val="13"/>
        </w:rPr>
        <w:t>p</w:t>
      </w:r>
      <w:r w:rsidRPr="00F01D8B">
        <w:rPr>
          <w:rFonts w:ascii="Verdana" w:hAnsi="Verdana"/>
          <w:sz w:val="13"/>
          <w:szCs w:val="13"/>
        </w:rPr>
        <w:t>. 8</w:t>
      </w:r>
      <w:r>
        <w:rPr>
          <w:rFonts w:ascii="Verdana" w:hAnsi="Verdana"/>
          <w:sz w:val="13"/>
          <w:szCs w:val="13"/>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134B"/>
    <w:multiLevelType w:val="hybridMultilevel"/>
    <w:tmpl w:val="4F9EED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742F98"/>
    <w:multiLevelType w:val="hybridMultilevel"/>
    <w:tmpl w:val="1B88B4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DC700D"/>
    <w:multiLevelType w:val="hybridMultilevel"/>
    <w:tmpl w:val="EE3C0A9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F37761"/>
    <w:multiLevelType w:val="hybridMultilevel"/>
    <w:tmpl w:val="42809A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3337BE"/>
    <w:multiLevelType w:val="hybridMultilevel"/>
    <w:tmpl w:val="44C49D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1218A9"/>
    <w:multiLevelType w:val="hybridMultilevel"/>
    <w:tmpl w:val="67A001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A25FE3"/>
    <w:multiLevelType w:val="hybridMultilevel"/>
    <w:tmpl w:val="6D1059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A6B272C"/>
    <w:multiLevelType w:val="hybridMultilevel"/>
    <w:tmpl w:val="F07C6B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6A3519"/>
    <w:multiLevelType w:val="hybridMultilevel"/>
    <w:tmpl w:val="57EEA318"/>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9" w15:restartNumberingAfterBreak="0">
    <w:nsid w:val="1CFF086F"/>
    <w:multiLevelType w:val="hybridMultilevel"/>
    <w:tmpl w:val="AA365822"/>
    <w:lvl w:ilvl="0" w:tplc="E7A8CEB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1E4B5472"/>
    <w:multiLevelType w:val="hybridMultilevel"/>
    <w:tmpl w:val="BE460A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0CD2198"/>
    <w:multiLevelType w:val="hybridMultilevel"/>
    <w:tmpl w:val="EAAED0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6B5246C"/>
    <w:multiLevelType w:val="hybridMultilevel"/>
    <w:tmpl w:val="90E8AA9E"/>
    <w:lvl w:ilvl="0" w:tplc="4C26C88A">
      <w:numFmt w:val="bullet"/>
      <w:lvlText w:val="-"/>
      <w:lvlJc w:val="left"/>
      <w:pPr>
        <w:ind w:left="360" w:hanging="360"/>
      </w:pPr>
      <w:rPr>
        <w:rFonts w:ascii="Calibri" w:eastAsiaTheme="minorHAnsi" w:hAnsi="Calibri" w:cs="Calibri"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15:restartNumberingAfterBreak="0">
    <w:nsid w:val="27313B0C"/>
    <w:multiLevelType w:val="hybridMultilevel"/>
    <w:tmpl w:val="F762FE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FBF61FF"/>
    <w:multiLevelType w:val="hybridMultilevel"/>
    <w:tmpl w:val="64AC7E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61867EE"/>
    <w:multiLevelType w:val="hybridMultilevel"/>
    <w:tmpl w:val="C76AC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8A845D7"/>
    <w:multiLevelType w:val="hybridMultilevel"/>
    <w:tmpl w:val="10E20B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A004777"/>
    <w:multiLevelType w:val="hybridMultilevel"/>
    <w:tmpl w:val="64B4B4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A6D2034"/>
    <w:multiLevelType w:val="hybridMultilevel"/>
    <w:tmpl w:val="49FA8E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ACC69DA"/>
    <w:multiLevelType w:val="hybridMultilevel"/>
    <w:tmpl w:val="85AEEFC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CB06BA3"/>
    <w:multiLevelType w:val="hybridMultilevel"/>
    <w:tmpl w:val="27FA0C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3D63821"/>
    <w:multiLevelType w:val="hybridMultilevel"/>
    <w:tmpl w:val="EAFC65F4"/>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4291FDE"/>
    <w:multiLevelType w:val="hybridMultilevel"/>
    <w:tmpl w:val="5FA6FD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0B97D6E"/>
    <w:multiLevelType w:val="hybridMultilevel"/>
    <w:tmpl w:val="07A212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39656EA"/>
    <w:multiLevelType w:val="hybridMultilevel"/>
    <w:tmpl w:val="213AF2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B021E28"/>
    <w:multiLevelType w:val="hybridMultilevel"/>
    <w:tmpl w:val="32F06F6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6" w15:restartNumberingAfterBreak="0">
    <w:nsid w:val="5DC35D71"/>
    <w:multiLevelType w:val="hybridMultilevel"/>
    <w:tmpl w:val="10F630D0"/>
    <w:lvl w:ilvl="0" w:tplc="4C26C88A">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7" w15:restartNumberingAfterBreak="0">
    <w:nsid w:val="5EB20CC2"/>
    <w:multiLevelType w:val="hybridMultilevel"/>
    <w:tmpl w:val="D76618E0"/>
    <w:lvl w:ilvl="0" w:tplc="18A019DE">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2010884"/>
    <w:multiLevelType w:val="hybridMultilevel"/>
    <w:tmpl w:val="D252208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62FE6572"/>
    <w:multiLevelType w:val="hybridMultilevel"/>
    <w:tmpl w:val="27CE62E2"/>
    <w:lvl w:ilvl="0" w:tplc="FAD454C2">
      <w:numFmt w:val="bullet"/>
      <w:lvlText w:val="-"/>
      <w:lvlJc w:val="left"/>
      <w:pPr>
        <w:ind w:left="720" w:hanging="360"/>
      </w:pPr>
      <w:rPr>
        <w:rFonts w:ascii="Verdana" w:eastAsiaTheme="minorHAnsi" w:hAnsi="Verdana" w:cs="Verdan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3AE5527"/>
    <w:multiLevelType w:val="hybridMultilevel"/>
    <w:tmpl w:val="CCE89B8C"/>
    <w:lvl w:ilvl="0" w:tplc="14D0BB7A">
      <w:start w:val="3"/>
      <w:numFmt w:val="bullet"/>
      <w:lvlText w:val="-"/>
      <w:lvlJc w:val="left"/>
      <w:pPr>
        <w:ind w:left="720" w:hanging="360"/>
      </w:pPr>
      <w:rPr>
        <w:rFonts w:ascii="Verdana" w:eastAsiaTheme="minorHAnsi" w:hAnsi="Verdana" w:cstheme="minorBidi" w:hint="default"/>
        <w:b w:val="0"/>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78C28E5"/>
    <w:multiLevelType w:val="hybridMultilevel"/>
    <w:tmpl w:val="F3A2211E"/>
    <w:lvl w:ilvl="0" w:tplc="CEE4911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95A78D9"/>
    <w:multiLevelType w:val="hybridMultilevel"/>
    <w:tmpl w:val="2F9A8906"/>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F10765C"/>
    <w:multiLevelType w:val="hybridMultilevel"/>
    <w:tmpl w:val="E508E1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18E1DF3"/>
    <w:multiLevelType w:val="hybridMultilevel"/>
    <w:tmpl w:val="3BA469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29342F0"/>
    <w:multiLevelType w:val="hybridMultilevel"/>
    <w:tmpl w:val="874CD9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9A57E7B"/>
    <w:multiLevelType w:val="hybridMultilevel"/>
    <w:tmpl w:val="2EEA31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A061C53"/>
    <w:multiLevelType w:val="hybridMultilevel"/>
    <w:tmpl w:val="7F9AA8A0"/>
    <w:lvl w:ilvl="0" w:tplc="FAD454C2">
      <w:numFmt w:val="bullet"/>
      <w:lvlText w:val="-"/>
      <w:lvlJc w:val="left"/>
      <w:pPr>
        <w:ind w:left="1080" w:hanging="360"/>
      </w:pPr>
      <w:rPr>
        <w:rFonts w:ascii="Verdana" w:eastAsiaTheme="minorHAnsi" w:hAnsi="Verdana" w:cs="Verdan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816218649">
    <w:abstractNumId w:val="9"/>
  </w:num>
  <w:num w:numId="2" w16cid:durableId="1131479659">
    <w:abstractNumId w:val="26"/>
  </w:num>
  <w:num w:numId="3" w16cid:durableId="318045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6741040">
    <w:abstractNumId w:val="30"/>
  </w:num>
  <w:num w:numId="5" w16cid:durableId="1389768734">
    <w:abstractNumId w:val="8"/>
  </w:num>
  <w:num w:numId="6" w16cid:durableId="1854105009">
    <w:abstractNumId w:val="29"/>
  </w:num>
  <w:num w:numId="7" w16cid:durableId="510606571">
    <w:abstractNumId w:val="24"/>
  </w:num>
  <w:num w:numId="8" w16cid:durableId="555315050">
    <w:abstractNumId w:val="35"/>
  </w:num>
  <w:num w:numId="9" w16cid:durableId="1833984023">
    <w:abstractNumId w:val="19"/>
  </w:num>
  <w:num w:numId="10" w16cid:durableId="979261920">
    <w:abstractNumId w:val="18"/>
  </w:num>
  <w:num w:numId="11" w16cid:durableId="147090616">
    <w:abstractNumId w:val="11"/>
  </w:num>
  <w:num w:numId="12" w16cid:durableId="2080900553">
    <w:abstractNumId w:val="4"/>
  </w:num>
  <w:num w:numId="13" w16cid:durableId="1980377663">
    <w:abstractNumId w:val="34"/>
  </w:num>
  <w:num w:numId="14" w16cid:durableId="95443343">
    <w:abstractNumId w:val="6"/>
  </w:num>
  <w:num w:numId="15" w16cid:durableId="626155899">
    <w:abstractNumId w:val="31"/>
  </w:num>
  <w:num w:numId="16" w16cid:durableId="1448236067">
    <w:abstractNumId w:val="37"/>
  </w:num>
  <w:num w:numId="17" w16cid:durableId="1643271384">
    <w:abstractNumId w:val="16"/>
  </w:num>
  <w:num w:numId="18" w16cid:durableId="2093351584">
    <w:abstractNumId w:val="28"/>
  </w:num>
  <w:num w:numId="19" w16cid:durableId="1058406536">
    <w:abstractNumId w:val="5"/>
  </w:num>
  <w:num w:numId="20" w16cid:durableId="271864671">
    <w:abstractNumId w:val="13"/>
  </w:num>
  <w:num w:numId="21" w16cid:durableId="1186480369">
    <w:abstractNumId w:val="10"/>
  </w:num>
  <w:num w:numId="22" w16cid:durableId="1192524498">
    <w:abstractNumId w:val="14"/>
  </w:num>
  <w:num w:numId="23" w16cid:durableId="2135172434">
    <w:abstractNumId w:val="21"/>
  </w:num>
  <w:num w:numId="24" w16cid:durableId="582226624">
    <w:abstractNumId w:val="3"/>
  </w:num>
  <w:num w:numId="25" w16cid:durableId="1191341559">
    <w:abstractNumId w:val="36"/>
  </w:num>
  <w:num w:numId="26" w16cid:durableId="2041734674">
    <w:abstractNumId w:val="1"/>
  </w:num>
  <w:num w:numId="27" w16cid:durableId="1533683780">
    <w:abstractNumId w:val="33"/>
  </w:num>
  <w:num w:numId="28" w16cid:durableId="1328947384">
    <w:abstractNumId w:val="25"/>
  </w:num>
  <w:num w:numId="29" w16cid:durableId="1405300676">
    <w:abstractNumId w:val="15"/>
  </w:num>
  <w:num w:numId="30" w16cid:durableId="622922512">
    <w:abstractNumId w:val="7"/>
  </w:num>
  <w:num w:numId="31" w16cid:durableId="1238327525">
    <w:abstractNumId w:val="0"/>
  </w:num>
  <w:num w:numId="32" w16cid:durableId="1353918841">
    <w:abstractNumId w:val="20"/>
  </w:num>
  <w:num w:numId="33" w16cid:durableId="1803384597">
    <w:abstractNumId w:val="17"/>
  </w:num>
  <w:num w:numId="34" w16cid:durableId="53743082">
    <w:abstractNumId w:val="27"/>
  </w:num>
  <w:num w:numId="35" w16cid:durableId="1825244096">
    <w:abstractNumId w:val="32"/>
  </w:num>
  <w:num w:numId="36" w16cid:durableId="1973904253">
    <w:abstractNumId w:val="2"/>
  </w:num>
  <w:num w:numId="37" w16cid:durableId="1662851011">
    <w:abstractNumId w:val="22"/>
  </w:num>
  <w:num w:numId="38" w16cid:durableId="586400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19"/>
    <w:rsid w:val="00002453"/>
    <w:rsid w:val="00003325"/>
    <w:rsid w:val="00004B9C"/>
    <w:rsid w:val="0000663A"/>
    <w:rsid w:val="00006B00"/>
    <w:rsid w:val="00007EDC"/>
    <w:rsid w:val="0002345F"/>
    <w:rsid w:val="0004358A"/>
    <w:rsid w:val="000458EA"/>
    <w:rsid w:val="00046BF2"/>
    <w:rsid w:val="000605DC"/>
    <w:rsid w:val="00060FE5"/>
    <w:rsid w:val="000659B5"/>
    <w:rsid w:val="000743EB"/>
    <w:rsid w:val="00075DBD"/>
    <w:rsid w:val="00082F66"/>
    <w:rsid w:val="00084108"/>
    <w:rsid w:val="00085306"/>
    <w:rsid w:val="00085571"/>
    <w:rsid w:val="00087F2C"/>
    <w:rsid w:val="000954F7"/>
    <w:rsid w:val="000B08A9"/>
    <w:rsid w:val="000B653D"/>
    <w:rsid w:val="000B739D"/>
    <w:rsid w:val="000D10C6"/>
    <w:rsid w:val="000D7D92"/>
    <w:rsid w:val="000E46BC"/>
    <w:rsid w:val="000F6FF0"/>
    <w:rsid w:val="00103EF6"/>
    <w:rsid w:val="00107397"/>
    <w:rsid w:val="001112CC"/>
    <w:rsid w:val="001158D1"/>
    <w:rsid w:val="00117C37"/>
    <w:rsid w:val="00117EF0"/>
    <w:rsid w:val="001221BA"/>
    <w:rsid w:val="001242A3"/>
    <w:rsid w:val="001244E4"/>
    <w:rsid w:val="00142B7A"/>
    <w:rsid w:val="0015754E"/>
    <w:rsid w:val="001614A5"/>
    <w:rsid w:val="00174DF1"/>
    <w:rsid w:val="0018103A"/>
    <w:rsid w:val="001A093F"/>
    <w:rsid w:val="001A1E21"/>
    <w:rsid w:val="001A2B89"/>
    <w:rsid w:val="001A3E61"/>
    <w:rsid w:val="001C3343"/>
    <w:rsid w:val="001E6A24"/>
    <w:rsid w:val="001F4058"/>
    <w:rsid w:val="00207139"/>
    <w:rsid w:val="00216BC2"/>
    <w:rsid w:val="00241973"/>
    <w:rsid w:val="00243C71"/>
    <w:rsid w:val="0024761C"/>
    <w:rsid w:val="00254158"/>
    <w:rsid w:val="00260999"/>
    <w:rsid w:val="00261FDD"/>
    <w:rsid w:val="002646B0"/>
    <w:rsid w:val="002700D8"/>
    <w:rsid w:val="00281A0A"/>
    <w:rsid w:val="00283257"/>
    <w:rsid w:val="00283A4E"/>
    <w:rsid w:val="002841B1"/>
    <w:rsid w:val="002842BC"/>
    <w:rsid w:val="00290E18"/>
    <w:rsid w:val="002913DE"/>
    <w:rsid w:val="00292F8D"/>
    <w:rsid w:val="00293881"/>
    <w:rsid w:val="002A26C7"/>
    <w:rsid w:val="002A4FF9"/>
    <w:rsid w:val="002A734B"/>
    <w:rsid w:val="002B116A"/>
    <w:rsid w:val="002B1D64"/>
    <w:rsid w:val="002C14AD"/>
    <w:rsid w:val="002C22F9"/>
    <w:rsid w:val="002D3CF0"/>
    <w:rsid w:val="00301941"/>
    <w:rsid w:val="003055D8"/>
    <w:rsid w:val="00311C1E"/>
    <w:rsid w:val="00314513"/>
    <w:rsid w:val="00314867"/>
    <w:rsid w:val="0031572F"/>
    <w:rsid w:val="00315767"/>
    <w:rsid w:val="00315B1D"/>
    <w:rsid w:val="00326DED"/>
    <w:rsid w:val="00331329"/>
    <w:rsid w:val="003325CE"/>
    <w:rsid w:val="00333834"/>
    <w:rsid w:val="00333999"/>
    <w:rsid w:val="00336110"/>
    <w:rsid w:val="00341F14"/>
    <w:rsid w:val="00350D65"/>
    <w:rsid w:val="003602BE"/>
    <w:rsid w:val="00363831"/>
    <w:rsid w:val="00365A23"/>
    <w:rsid w:val="003660A9"/>
    <w:rsid w:val="00366B67"/>
    <w:rsid w:val="00383B57"/>
    <w:rsid w:val="00387951"/>
    <w:rsid w:val="003904E5"/>
    <w:rsid w:val="003A7D97"/>
    <w:rsid w:val="003B2E01"/>
    <w:rsid w:val="003B3015"/>
    <w:rsid w:val="003B466F"/>
    <w:rsid w:val="003C1165"/>
    <w:rsid w:val="003D0A10"/>
    <w:rsid w:val="003D5782"/>
    <w:rsid w:val="003E497A"/>
    <w:rsid w:val="003E5E1E"/>
    <w:rsid w:val="003F2230"/>
    <w:rsid w:val="003F2A5D"/>
    <w:rsid w:val="003F2B83"/>
    <w:rsid w:val="003F3A96"/>
    <w:rsid w:val="004017EB"/>
    <w:rsid w:val="004047DF"/>
    <w:rsid w:val="00404EA2"/>
    <w:rsid w:val="00405DE5"/>
    <w:rsid w:val="00410296"/>
    <w:rsid w:val="00410F2B"/>
    <w:rsid w:val="00417585"/>
    <w:rsid w:val="00426FEB"/>
    <w:rsid w:val="00432075"/>
    <w:rsid w:val="00434E5A"/>
    <w:rsid w:val="004357D6"/>
    <w:rsid w:val="004443B6"/>
    <w:rsid w:val="00444EE3"/>
    <w:rsid w:val="00447819"/>
    <w:rsid w:val="004500F9"/>
    <w:rsid w:val="0045086F"/>
    <w:rsid w:val="00457922"/>
    <w:rsid w:val="00466D99"/>
    <w:rsid w:val="00471C0C"/>
    <w:rsid w:val="004754CE"/>
    <w:rsid w:val="0049107D"/>
    <w:rsid w:val="00492D19"/>
    <w:rsid w:val="004934D2"/>
    <w:rsid w:val="004A3D1C"/>
    <w:rsid w:val="004A6552"/>
    <w:rsid w:val="004B0AEB"/>
    <w:rsid w:val="004B5AE0"/>
    <w:rsid w:val="004C6D4C"/>
    <w:rsid w:val="004D0526"/>
    <w:rsid w:val="004D0CF2"/>
    <w:rsid w:val="004D61A2"/>
    <w:rsid w:val="004D7596"/>
    <w:rsid w:val="004D7B67"/>
    <w:rsid w:val="004E32C9"/>
    <w:rsid w:val="004E4D28"/>
    <w:rsid w:val="004E5E69"/>
    <w:rsid w:val="00500A7D"/>
    <w:rsid w:val="00505C1F"/>
    <w:rsid w:val="00514931"/>
    <w:rsid w:val="00520103"/>
    <w:rsid w:val="00525D97"/>
    <w:rsid w:val="005300BC"/>
    <w:rsid w:val="0053195C"/>
    <w:rsid w:val="005348A3"/>
    <w:rsid w:val="00542D25"/>
    <w:rsid w:val="0055059F"/>
    <w:rsid w:val="00550683"/>
    <w:rsid w:val="00550FA5"/>
    <w:rsid w:val="00554C04"/>
    <w:rsid w:val="00555974"/>
    <w:rsid w:val="00555FDF"/>
    <w:rsid w:val="00566B39"/>
    <w:rsid w:val="005709A2"/>
    <w:rsid w:val="00575D8A"/>
    <w:rsid w:val="00576134"/>
    <w:rsid w:val="00576249"/>
    <w:rsid w:val="00591F27"/>
    <w:rsid w:val="00592359"/>
    <w:rsid w:val="00592BE5"/>
    <w:rsid w:val="00593E3A"/>
    <w:rsid w:val="005A008F"/>
    <w:rsid w:val="005A17CE"/>
    <w:rsid w:val="005A1C42"/>
    <w:rsid w:val="005A332A"/>
    <w:rsid w:val="005A461A"/>
    <w:rsid w:val="005B1D7F"/>
    <w:rsid w:val="005C0F66"/>
    <w:rsid w:val="005C23AC"/>
    <w:rsid w:val="005C364A"/>
    <w:rsid w:val="005C6CA7"/>
    <w:rsid w:val="005D18E5"/>
    <w:rsid w:val="005D4DCB"/>
    <w:rsid w:val="005F21DE"/>
    <w:rsid w:val="005F267A"/>
    <w:rsid w:val="005F2798"/>
    <w:rsid w:val="006013E1"/>
    <w:rsid w:val="00603528"/>
    <w:rsid w:val="0060708E"/>
    <w:rsid w:val="006111A1"/>
    <w:rsid w:val="00611C5C"/>
    <w:rsid w:val="006214BC"/>
    <w:rsid w:val="006267A8"/>
    <w:rsid w:val="00632E0A"/>
    <w:rsid w:val="00633247"/>
    <w:rsid w:val="0064518C"/>
    <w:rsid w:val="006559D7"/>
    <w:rsid w:val="006640DC"/>
    <w:rsid w:val="0066709F"/>
    <w:rsid w:val="0067187E"/>
    <w:rsid w:val="00690195"/>
    <w:rsid w:val="00693BAF"/>
    <w:rsid w:val="00694E50"/>
    <w:rsid w:val="00695CE2"/>
    <w:rsid w:val="006A1354"/>
    <w:rsid w:val="006A23CB"/>
    <w:rsid w:val="006A6471"/>
    <w:rsid w:val="006A6FEC"/>
    <w:rsid w:val="006A75BA"/>
    <w:rsid w:val="006B2052"/>
    <w:rsid w:val="006B55BE"/>
    <w:rsid w:val="006C1A9C"/>
    <w:rsid w:val="006C1CC8"/>
    <w:rsid w:val="006C39DE"/>
    <w:rsid w:val="006D2C44"/>
    <w:rsid w:val="006D3A4F"/>
    <w:rsid w:val="006D43E2"/>
    <w:rsid w:val="006D4776"/>
    <w:rsid w:val="006E3BE1"/>
    <w:rsid w:val="006F17E5"/>
    <w:rsid w:val="006F504B"/>
    <w:rsid w:val="007159FC"/>
    <w:rsid w:val="00715B85"/>
    <w:rsid w:val="00735FBB"/>
    <w:rsid w:val="007416E2"/>
    <w:rsid w:val="00742C66"/>
    <w:rsid w:val="00745885"/>
    <w:rsid w:val="00753288"/>
    <w:rsid w:val="0075375C"/>
    <w:rsid w:val="007609EE"/>
    <w:rsid w:val="00773263"/>
    <w:rsid w:val="007875A6"/>
    <w:rsid w:val="00787828"/>
    <w:rsid w:val="0079169F"/>
    <w:rsid w:val="00791F3A"/>
    <w:rsid w:val="00794719"/>
    <w:rsid w:val="00795F7F"/>
    <w:rsid w:val="007A167D"/>
    <w:rsid w:val="007A3E95"/>
    <w:rsid w:val="007B1FD5"/>
    <w:rsid w:val="007B3E6D"/>
    <w:rsid w:val="007C396E"/>
    <w:rsid w:val="007C52FE"/>
    <w:rsid w:val="007C67AC"/>
    <w:rsid w:val="007C6CD2"/>
    <w:rsid w:val="007D5D88"/>
    <w:rsid w:val="007F399F"/>
    <w:rsid w:val="00805E00"/>
    <w:rsid w:val="008125AA"/>
    <w:rsid w:val="00813EB3"/>
    <w:rsid w:val="00822BD9"/>
    <w:rsid w:val="00823501"/>
    <w:rsid w:val="00830B3F"/>
    <w:rsid w:val="00833886"/>
    <w:rsid w:val="00846C42"/>
    <w:rsid w:val="008520DA"/>
    <w:rsid w:val="008566E8"/>
    <w:rsid w:val="00860819"/>
    <w:rsid w:val="00861FEC"/>
    <w:rsid w:val="008665E7"/>
    <w:rsid w:val="00866DC6"/>
    <w:rsid w:val="008729B2"/>
    <w:rsid w:val="00882C23"/>
    <w:rsid w:val="0088541C"/>
    <w:rsid w:val="0089131E"/>
    <w:rsid w:val="00894C81"/>
    <w:rsid w:val="008A20A5"/>
    <w:rsid w:val="008A2922"/>
    <w:rsid w:val="008B0CF9"/>
    <w:rsid w:val="008C0056"/>
    <w:rsid w:val="008C61AA"/>
    <w:rsid w:val="008C697B"/>
    <w:rsid w:val="008C7DBE"/>
    <w:rsid w:val="008D22D6"/>
    <w:rsid w:val="008D45B7"/>
    <w:rsid w:val="008D79DE"/>
    <w:rsid w:val="008E0B13"/>
    <w:rsid w:val="008E5FF9"/>
    <w:rsid w:val="008F1576"/>
    <w:rsid w:val="008F2875"/>
    <w:rsid w:val="008F70D4"/>
    <w:rsid w:val="00907C16"/>
    <w:rsid w:val="009118C2"/>
    <w:rsid w:val="00912C9F"/>
    <w:rsid w:val="00924C22"/>
    <w:rsid w:val="00926536"/>
    <w:rsid w:val="00930E1C"/>
    <w:rsid w:val="009310BF"/>
    <w:rsid w:val="0093321A"/>
    <w:rsid w:val="00934455"/>
    <w:rsid w:val="009612B6"/>
    <w:rsid w:val="00964AB7"/>
    <w:rsid w:val="00965BFB"/>
    <w:rsid w:val="009700A7"/>
    <w:rsid w:val="00970CDC"/>
    <w:rsid w:val="009902D7"/>
    <w:rsid w:val="00991D4F"/>
    <w:rsid w:val="009A05C5"/>
    <w:rsid w:val="009A3092"/>
    <w:rsid w:val="009B08AA"/>
    <w:rsid w:val="009B2295"/>
    <w:rsid w:val="009D54B3"/>
    <w:rsid w:val="009E1C0E"/>
    <w:rsid w:val="009F4987"/>
    <w:rsid w:val="00A114E9"/>
    <w:rsid w:val="00A16854"/>
    <w:rsid w:val="00A169A4"/>
    <w:rsid w:val="00A17244"/>
    <w:rsid w:val="00A2465F"/>
    <w:rsid w:val="00A26F84"/>
    <w:rsid w:val="00A27DA6"/>
    <w:rsid w:val="00A3142C"/>
    <w:rsid w:val="00A37263"/>
    <w:rsid w:val="00A41885"/>
    <w:rsid w:val="00A41FCB"/>
    <w:rsid w:val="00A623A3"/>
    <w:rsid w:val="00A736D0"/>
    <w:rsid w:val="00A75BDA"/>
    <w:rsid w:val="00A765C6"/>
    <w:rsid w:val="00A77135"/>
    <w:rsid w:val="00A81EF4"/>
    <w:rsid w:val="00A826D6"/>
    <w:rsid w:val="00A920F6"/>
    <w:rsid w:val="00A92E0A"/>
    <w:rsid w:val="00A979BA"/>
    <w:rsid w:val="00A97D17"/>
    <w:rsid w:val="00A97F1F"/>
    <w:rsid w:val="00AA5596"/>
    <w:rsid w:val="00AB3FF8"/>
    <w:rsid w:val="00AC4C50"/>
    <w:rsid w:val="00AC5D0B"/>
    <w:rsid w:val="00AD153E"/>
    <w:rsid w:val="00AE2EC5"/>
    <w:rsid w:val="00B030C5"/>
    <w:rsid w:val="00B03475"/>
    <w:rsid w:val="00B06701"/>
    <w:rsid w:val="00B07302"/>
    <w:rsid w:val="00B17055"/>
    <w:rsid w:val="00B24F67"/>
    <w:rsid w:val="00B2711B"/>
    <w:rsid w:val="00B3113D"/>
    <w:rsid w:val="00B32EF3"/>
    <w:rsid w:val="00B4048C"/>
    <w:rsid w:val="00B42F25"/>
    <w:rsid w:val="00B43BC3"/>
    <w:rsid w:val="00B463A3"/>
    <w:rsid w:val="00B57686"/>
    <w:rsid w:val="00B62BB3"/>
    <w:rsid w:val="00B67F01"/>
    <w:rsid w:val="00B75E07"/>
    <w:rsid w:val="00B779E8"/>
    <w:rsid w:val="00B77C0F"/>
    <w:rsid w:val="00B85BFD"/>
    <w:rsid w:val="00B90F7C"/>
    <w:rsid w:val="00B93FDE"/>
    <w:rsid w:val="00B9449A"/>
    <w:rsid w:val="00BA1588"/>
    <w:rsid w:val="00BB4FC5"/>
    <w:rsid w:val="00BB57E6"/>
    <w:rsid w:val="00BB6A44"/>
    <w:rsid w:val="00BC5C61"/>
    <w:rsid w:val="00BC7E2D"/>
    <w:rsid w:val="00BE1828"/>
    <w:rsid w:val="00BE5704"/>
    <w:rsid w:val="00BF0237"/>
    <w:rsid w:val="00BF6BE7"/>
    <w:rsid w:val="00BF6F49"/>
    <w:rsid w:val="00C22D1F"/>
    <w:rsid w:val="00C23D98"/>
    <w:rsid w:val="00C26D46"/>
    <w:rsid w:val="00C4084B"/>
    <w:rsid w:val="00C5341C"/>
    <w:rsid w:val="00C62252"/>
    <w:rsid w:val="00C6571E"/>
    <w:rsid w:val="00C7735C"/>
    <w:rsid w:val="00C77714"/>
    <w:rsid w:val="00C80C4C"/>
    <w:rsid w:val="00C84D79"/>
    <w:rsid w:val="00C93CC2"/>
    <w:rsid w:val="00C94915"/>
    <w:rsid w:val="00C95680"/>
    <w:rsid w:val="00C9654B"/>
    <w:rsid w:val="00CB566F"/>
    <w:rsid w:val="00CB5E43"/>
    <w:rsid w:val="00CD4823"/>
    <w:rsid w:val="00CD7484"/>
    <w:rsid w:val="00CE11B2"/>
    <w:rsid w:val="00CE592F"/>
    <w:rsid w:val="00CF2F3C"/>
    <w:rsid w:val="00CF2F98"/>
    <w:rsid w:val="00CF7439"/>
    <w:rsid w:val="00D03944"/>
    <w:rsid w:val="00D04910"/>
    <w:rsid w:val="00D06BF9"/>
    <w:rsid w:val="00D073E4"/>
    <w:rsid w:val="00D07C8D"/>
    <w:rsid w:val="00D11AD5"/>
    <w:rsid w:val="00D130FA"/>
    <w:rsid w:val="00D23D4C"/>
    <w:rsid w:val="00D274FF"/>
    <w:rsid w:val="00D32F86"/>
    <w:rsid w:val="00D3531F"/>
    <w:rsid w:val="00D355D4"/>
    <w:rsid w:val="00D36D6A"/>
    <w:rsid w:val="00D3749E"/>
    <w:rsid w:val="00D376DD"/>
    <w:rsid w:val="00D4008B"/>
    <w:rsid w:val="00D42F23"/>
    <w:rsid w:val="00D464D9"/>
    <w:rsid w:val="00D47DBE"/>
    <w:rsid w:val="00D6709F"/>
    <w:rsid w:val="00D70141"/>
    <w:rsid w:val="00D753E3"/>
    <w:rsid w:val="00D7613D"/>
    <w:rsid w:val="00D8684C"/>
    <w:rsid w:val="00D87A45"/>
    <w:rsid w:val="00D9323F"/>
    <w:rsid w:val="00D952F2"/>
    <w:rsid w:val="00D97C5F"/>
    <w:rsid w:val="00DB2959"/>
    <w:rsid w:val="00DB2A08"/>
    <w:rsid w:val="00DC067A"/>
    <w:rsid w:val="00DC4FAB"/>
    <w:rsid w:val="00DD2961"/>
    <w:rsid w:val="00DE5266"/>
    <w:rsid w:val="00DF145A"/>
    <w:rsid w:val="00E02275"/>
    <w:rsid w:val="00E060D4"/>
    <w:rsid w:val="00E22BF0"/>
    <w:rsid w:val="00E253FE"/>
    <w:rsid w:val="00E35129"/>
    <w:rsid w:val="00E35604"/>
    <w:rsid w:val="00E365BF"/>
    <w:rsid w:val="00E41788"/>
    <w:rsid w:val="00E46467"/>
    <w:rsid w:val="00E506EC"/>
    <w:rsid w:val="00E53CD8"/>
    <w:rsid w:val="00E567AE"/>
    <w:rsid w:val="00E61CC7"/>
    <w:rsid w:val="00E65180"/>
    <w:rsid w:val="00E7079E"/>
    <w:rsid w:val="00E71E00"/>
    <w:rsid w:val="00E76289"/>
    <w:rsid w:val="00E80FA3"/>
    <w:rsid w:val="00E8334D"/>
    <w:rsid w:val="00E87360"/>
    <w:rsid w:val="00EA53D5"/>
    <w:rsid w:val="00EA65B9"/>
    <w:rsid w:val="00ED301C"/>
    <w:rsid w:val="00ED4EC7"/>
    <w:rsid w:val="00ED734C"/>
    <w:rsid w:val="00ED7815"/>
    <w:rsid w:val="00EE38C0"/>
    <w:rsid w:val="00EE641C"/>
    <w:rsid w:val="00EF6EC3"/>
    <w:rsid w:val="00F016E4"/>
    <w:rsid w:val="00F01D8B"/>
    <w:rsid w:val="00F05D9B"/>
    <w:rsid w:val="00F1215B"/>
    <w:rsid w:val="00F1379A"/>
    <w:rsid w:val="00F32E8C"/>
    <w:rsid w:val="00F4221D"/>
    <w:rsid w:val="00F43DA8"/>
    <w:rsid w:val="00F52916"/>
    <w:rsid w:val="00F5375E"/>
    <w:rsid w:val="00F60F30"/>
    <w:rsid w:val="00F6310A"/>
    <w:rsid w:val="00F633FF"/>
    <w:rsid w:val="00F67EB1"/>
    <w:rsid w:val="00F70C0D"/>
    <w:rsid w:val="00F722EE"/>
    <w:rsid w:val="00F767FD"/>
    <w:rsid w:val="00F832E7"/>
    <w:rsid w:val="00F90B73"/>
    <w:rsid w:val="00FA5028"/>
    <w:rsid w:val="00FB23FB"/>
    <w:rsid w:val="00FD028C"/>
    <w:rsid w:val="00FD6968"/>
    <w:rsid w:val="00FE193D"/>
    <w:rsid w:val="00FE1E40"/>
    <w:rsid w:val="00FE4831"/>
    <w:rsid w:val="00FF6B02"/>
    <w:rsid w:val="00FF6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751D5"/>
  <w15:chartTrackingRefBased/>
  <w15:docId w15:val="{96F82247-8620-4578-99EF-A3B20192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0819"/>
    <w:pPr>
      <w:spacing w:line="256" w:lineRule="auto"/>
    </w:pPr>
    <w:rPr>
      <w:kern w:val="0"/>
      <w14:ligatures w14:val="none"/>
    </w:rPr>
  </w:style>
  <w:style w:type="paragraph" w:styleId="Kop2">
    <w:name w:val="heading 2"/>
    <w:basedOn w:val="Standaard"/>
    <w:next w:val="Standaard"/>
    <w:link w:val="Kop2Char"/>
    <w:uiPriority w:val="9"/>
    <w:semiHidden/>
    <w:unhideWhenUsed/>
    <w:qFormat/>
    <w:rsid w:val="00860819"/>
    <w:pPr>
      <w:keepNext/>
      <w:keepLines/>
      <w:spacing w:before="40" w:after="0" w:line="254" w:lineRule="auto"/>
      <w:outlineLvl w:val="1"/>
    </w:pPr>
    <w:rPr>
      <w:rFonts w:eastAsiaTheme="majorEastAsia" w:cstheme="majorBidi"/>
      <w:color w:val="FFFFFF" w:themeColor="background1"/>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860819"/>
    <w:rPr>
      <w:rFonts w:eastAsiaTheme="majorEastAsia" w:cstheme="majorBidi"/>
      <w:color w:val="FFFFFF" w:themeColor="background1"/>
      <w:kern w:val="0"/>
      <w:szCs w:val="26"/>
      <w14:ligatures w14:val="none"/>
    </w:rPr>
  </w:style>
  <w:style w:type="character" w:styleId="Hyperlink">
    <w:name w:val="Hyperlink"/>
    <w:basedOn w:val="Standaardalinea-lettertype"/>
    <w:uiPriority w:val="99"/>
    <w:unhideWhenUsed/>
    <w:rsid w:val="00860819"/>
    <w:rPr>
      <w:color w:val="0563C1" w:themeColor="hyperlink"/>
      <w:u w:val="single"/>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semiHidden/>
    <w:locked/>
    <w:rsid w:val="00860819"/>
    <w:rPr>
      <w:rFonts w:ascii="Times New Roman" w:eastAsia="Times New Roman" w:hAnsi="Times New Roman" w:cs="Times New Roman"/>
      <w:szCs w:val="18"/>
      <w:lang w:val="nl-NL" w:eastAsia="zh-CN"/>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Char"/>
    <w:basedOn w:val="Standaard"/>
    <w:link w:val="VoetnoottekstChar"/>
    <w:uiPriority w:val="99"/>
    <w:semiHidden/>
    <w:unhideWhenUsed/>
    <w:qFormat/>
    <w:rsid w:val="00860819"/>
    <w:pPr>
      <w:snapToGrid w:val="0"/>
      <w:spacing w:after="0" w:line="240" w:lineRule="auto"/>
    </w:pPr>
    <w:rPr>
      <w:rFonts w:ascii="Times New Roman" w:eastAsia="Times New Roman" w:hAnsi="Times New Roman" w:cs="Times New Roman"/>
      <w:kern w:val="2"/>
      <w:szCs w:val="18"/>
      <w:lang w:val="nl-NL" w:eastAsia="zh-CN"/>
      <w14:ligatures w14:val="standardContextual"/>
    </w:rPr>
  </w:style>
  <w:style w:type="character" w:customStyle="1" w:styleId="VoetnoottekstChar1">
    <w:name w:val="Voetnoottekst Char1"/>
    <w:basedOn w:val="Standaardalinea-lettertype"/>
    <w:uiPriority w:val="99"/>
    <w:semiHidden/>
    <w:rsid w:val="00860819"/>
    <w:rPr>
      <w:kern w:val="0"/>
      <w:sz w:val="20"/>
      <w:szCs w:val="20"/>
      <w14:ligatures w14:val="none"/>
    </w:rPr>
  </w:style>
  <w:style w:type="character" w:customStyle="1" w:styleId="GeenafstandChar">
    <w:name w:val="Geen afstand Char"/>
    <w:basedOn w:val="Standaardalinea-lettertype"/>
    <w:link w:val="Geenafstand"/>
    <w:uiPriority w:val="1"/>
    <w:locked/>
    <w:rsid w:val="00860819"/>
    <w:rPr>
      <w:rFonts w:asciiTheme="minorHAnsi" w:hAnsiTheme="minorHAnsi" w:cs="Calibri"/>
      <w:sz w:val="22"/>
      <w:lang w:val="nl-NL"/>
    </w:rPr>
  </w:style>
  <w:style w:type="paragraph" w:styleId="Geenafstand">
    <w:name w:val="No Spacing"/>
    <w:link w:val="GeenafstandChar"/>
    <w:uiPriority w:val="1"/>
    <w:qFormat/>
    <w:rsid w:val="00860819"/>
    <w:pPr>
      <w:spacing w:after="0" w:line="240" w:lineRule="auto"/>
    </w:pPr>
    <w:rPr>
      <w:rFonts w:asciiTheme="minorHAnsi" w:hAnsiTheme="minorHAnsi" w:cs="Calibri"/>
      <w:sz w:val="22"/>
      <w:lang w:val="nl-N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860819"/>
    <w:rPr>
      <w:rFonts w:asciiTheme="minorHAnsi" w:hAnsiTheme="minorHAnsi" w:cs="Calibri"/>
      <w:sz w:val="22"/>
      <w:lang w:val="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860819"/>
    <w:pPr>
      <w:ind w:left="720"/>
      <w:contextualSpacing/>
    </w:pPr>
    <w:rPr>
      <w:rFonts w:asciiTheme="minorHAnsi" w:hAnsiTheme="minorHAnsi" w:cs="Calibri"/>
      <w:kern w:val="2"/>
      <w:sz w:val="22"/>
      <w:lang w:val="nl-NL"/>
      <w14:ligatures w14:val="standardContextual"/>
    </w:rPr>
  </w:style>
  <w:style w:type="paragraph" w:customStyle="1" w:styleId="lid">
    <w:name w:val="lid"/>
    <w:basedOn w:val="Standaard"/>
    <w:rsid w:val="00860819"/>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Voetnootmarkering">
    <w:name w:val="footnote reference"/>
    <w:aliases w:val="Voetnootmarkering CE Delft,Footnote symbol,Times 10 Point,Exposant 3 Point,Voetnootmarkering boek STT,Footnotemark,Footnotemark1,FR,Footnotemark2,FR1,Footnotemark3,FR2,Footnotemark4,FR3,Footnotemark5,FR4,Footnotemark6,Footnotemark7,FR5"/>
    <w:basedOn w:val="Standaardalinea-lettertype"/>
    <w:link w:val="Char1CharCharCarCarCarCarCarCarCarCarCarCar"/>
    <w:uiPriority w:val="99"/>
    <w:unhideWhenUsed/>
    <w:qFormat/>
    <w:rsid w:val="00860819"/>
    <w:rPr>
      <w:rFonts w:ascii="Times New Roman" w:hAnsi="Times New Roman" w:cs="Times New Roman"/>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860819"/>
    <w:pPr>
      <w:spacing w:line="240" w:lineRule="exact"/>
    </w:pPr>
    <w:rPr>
      <w:rFonts w:ascii="Times New Roman" w:hAnsi="Times New Roman" w:cs="Times New Roman"/>
      <w:kern w:val="2"/>
      <w:vertAlign w:val="superscript"/>
      <w14:ligatures w14:val="standardContextual"/>
    </w:rPr>
  </w:style>
  <w:style w:type="table" w:styleId="Tabelraster">
    <w:name w:val="Table Grid"/>
    <w:basedOn w:val="Standaardtabel"/>
    <w:uiPriority w:val="39"/>
    <w:rsid w:val="00860819"/>
    <w:pPr>
      <w:spacing w:after="0" w:line="240" w:lineRule="auto"/>
    </w:pPr>
    <w:rPr>
      <w:kern w:val="0"/>
      <w:szCs w:val="1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860819"/>
    <w:pPr>
      <w:spacing w:after="0" w:line="240" w:lineRule="auto"/>
    </w:pPr>
    <w:rPr>
      <w:kern w:val="0"/>
      <w14:ligatures w14:val="none"/>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e">
    <w:name w:val="Revision"/>
    <w:hidden/>
    <w:uiPriority w:val="99"/>
    <w:semiHidden/>
    <w:rsid w:val="002C22F9"/>
    <w:pPr>
      <w:spacing w:after="0" w:line="240" w:lineRule="auto"/>
    </w:pPr>
    <w:rPr>
      <w:kern w:val="0"/>
      <w14:ligatures w14:val="none"/>
    </w:rPr>
  </w:style>
  <w:style w:type="character" w:styleId="Verwijzingopmerking">
    <w:name w:val="annotation reference"/>
    <w:basedOn w:val="Standaardalinea-lettertype"/>
    <w:uiPriority w:val="99"/>
    <w:semiHidden/>
    <w:unhideWhenUsed/>
    <w:rsid w:val="006A6FEC"/>
    <w:rPr>
      <w:sz w:val="16"/>
      <w:szCs w:val="16"/>
    </w:rPr>
  </w:style>
  <w:style w:type="paragraph" w:styleId="Tekstopmerking">
    <w:name w:val="annotation text"/>
    <w:basedOn w:val="Standaard"/>
    <w:link w:val="TekstopmerkingChar"/>
    <w:uiPriority w:val="99"/>
    <w:unhideWhenUsed/>
    <w:rsid w:val="006A6FEC"/>
    <w:pPr>
      <w:spacing w:line="240" w:lineRule="auto"/>
    </w:pPr>
    <w:rPr>
      <w:sz w:val="20"/>
      <w:szCs w:val="20"/>
    </w:rPr>
  </w:style>
  <w:style w:type="character" w:customStyle="1" w:styleId="TekstopmerkingChar">
    <w:name w:val="Tekst opmerking Char"/>
    <w:basedOn w:val="Standaardalinea-lettertype"/>
    <w:link w:val="Tekstopmerking"/>
    <w:uiPriority w:val="99"/>
    <w:rsid w:val="006A6FEC"/>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6A6FEC"/>
    <w:rPr>
      <w:b/>
      <w:bCs/>
    </w:rPr>
  </w:style>
  <w:style w:type="character" w:customStyle="1" w:styleId="OnderwerpvanopmerkingChar">
    <w:name w:val="Onderwerp van opmerking Char"/>
    <w:basedOn w:val="TekstopmerkingChar"/>
    <w:link w:val="Onderwerpvanopmerking"/>
    <w:uiPriority w:val="99"/>
    <w:semiHidden/>
    <w:rsid w:val="006A6FEC"/>
    <w:rPr>
      <w:b/>
      <w:bCs/>
      <w:kern w:val="0"/>
      <w:sz w:val="20"/>
      <w:szCs w:val="20"/>
      <w14:ligatures w14:val="none"/>
    </w:rPr>
  </w:style>
  <w:style w:type="paragraph" w:styleId="Koptekst">
    <w:name w:val="header"/>
    <w:basedOn w:val="Standaard"/>
    <w:link w:val="KoptekstChar"/>
    <w:uiPriority w:val="99"/>
    <w:unhideWhenUsed/>
    <w:rsid w:val="00E80FA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80FA3"/>
    <w:rPr>
      <w:kern w:val="0"/>
      <w14:ligatures w14:val="none"/>
    </w:rPr>
  </w:style>
  <w:style w:type="paragraph" w:styleId="Voettekst">
    <w:name w:val="footer"/>
    <w:basedOn w:val="Standaard"/>
    <w:link w:val="VoettekstChar"/>
    <w:uiPriority w:val="99"/>
    <w:unhideWhenUsed/>
    <w:rsid w:val="00E80FA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80FA3"/>
    <w:rPr>
      <w:kern w:val="0"/>
      <w14:ligatures w14:val="none"/>
    </w:rPr>
  </w:style>
  <w:style w:type="character" w:customStyle="1" w:styleId="cf01">
    <w:name w:val="cf01"/>
    <w:basedOn w:val="Standaardalinea-lettertype"/>
    <w:rsid w:val="00EA65B9"/>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124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77764">
      <w:bodyDiv w:val="1"/>
      <w:marLeft w:val="0"/>
      <w:marRight w:val="0"/>
      <w:marTop w:val="0"/>
      <w:marBottom w:val="0"/>
      <w:divBdr>
        <w:top w:val="none" w:sz="0" w:space="0" w:color="auto"/>
        <w:left w:val="none" w:sz="0" w:space="0" w:color="auto"/>
        <w:bottom w:val="none" w:sz="0" w:space="0" w:color="auto"/>
        <w:right w:val="none" w:sz="0" w:space="0" w:color="auto"/>
      </w:divBdr>
    </w:div>
    <w:div w:id="134638551">
      <w:bodyDiv w:val="1"/>
      <w:marLeft w:val="0"/>
      <w:marRight w:val="0"/>
      <w:marTop w:val="0"/>
      <w:marBottom w:val="0"/>
      <w:divBdr>
        <w:top w:val="none" w:sz="0" w:space="0" w:color="auto"/>
        <w:left w:val="none" w:sz="0" w:space="0" w:color="auto"/>
        <w:bottom w:val="none" w:sz="0" w:space="0" w:color="auto"/>
        <w:right w:val="none" w:sz="0" w:space="0" w:color="auto"/>
      </w:divBdr>
    </w:div>
    <w:div w:id="210846153">
      <w:bodyDiv w:val="1"/>
      <w:marLeft w:val="0"/>
      <w:marRight w:val="0"/>
      <w:marTop w:val="0"/>
      <w:marBottom w:val="0"/>
      <w:divBdr>
        <w:top w:val="none" w:sz="0" w:space="0" w:color="auto"/>
        <w:left w:val="none" w:sz="0" w:space="0" w:color="auto"/>
        <w:bottom w:val="none" w:sz="0" w:space="0" w:color="auto"/>
        <w:right w:val="none" w:sz="0" w:space="0" w:color="auto"/>
      </w:divBdr>
    </w:div>
    <w:div w:id="271128201">
      <w:bodyDiv w:val="1"/>
      <w:marLeft w:val="0"/>
      <w:marRight w:val="0"/>
      <w:marTop w:val="0"/>
      <w:marBottom w:val="0"/>
      <w:divBdr>
        <w:top w:val="none" w:sz="0" w:space="0" w:color="auto"/>
        <w:left w:val="none" w:sz="0" w:space="0" w:color="auto"/>
        <w:bottom w:val="none" w:sz="0" w:space="0" w:color="auto"/>
        <w:right w:val="none" w:sz="0" w:space="0" w:color="auto"/>
      </w:divBdr>
    </w:div>
    <w:div w:id="799037963">
      <w:bodyDiv w:val="1"/>
      <w:marLeft w:val="0"/>
      <w:marRight w:val="0"/>
      <w:marTop w:val="0"/>
      <w:marBottom w:val="0"/>
      <w:divBdr>
        <w:top w:val="none" w:sz="0" w:space="0" w:color="auto"/>
        <w:left w:val="none" w:sz="0" w:space="0" w:color="auto"/>
        <w:bottom w:val="none" w:sz="0" w:space="0" w:color="auto"/>
        <w:right w:val="none" w:sz="0" w:space="0" w:color="auto"/>
      </w:divBdr>
    </w:div>
    <w:div w:id="1144470551">
      <w:bodyDiv w:val="1"/>
      <w:marLeft w:val="0"/>
      <w:marRight w:val="0"/>
      <w:marTop w:val="0"/>
      <w:marBottom w:val="0"/>
      <w:divBdr>
        <w:top w:val="none" w:sz="0" w:space="0" w:color="auto"/>
        <w:left w:val="none" w:sz="0" w:space="0" w:color="auto"/>
        <w:bottom w:val="none" w:sz="0" w:space="0" w:color="auto"/>
        <w:right w:val="none" w:sz="0" w:space="0" w:color="auto"/>
      </w:divBdr>
    </w:div>
    <w:div w:id="1811552930">
      <w:bodyDiv w:val="1"/>
      <w:marLeft w:val="0"/>
      <w:marRight w:val="0"/>
      <w:marTop w:val="0"/>
      <w:marBottom w:val="0"/>
      <w:divBdr>
        <w:top w:val="none" w:sz="0" w:space="0" w:color="auto"/>
        <w:left w:val="none" w:sz="0" w:space="0" w:color="auto"/>
        <w:bottom w:val="none" w:sz="0" w:space="0" w:color="auto"/>
        <w:right w:val="none" w:sz="0" w:space="0" w:color="auto"/>
      </w:divBdr>
    </w:div>
    <w:div w:id="1816482122">
      <w:bodyDiv w:val="1"/>
      <w:marLeft w:val="0"/>
      <w:marRight w:val="0"/>
      <w:marTop w:val="0"/>
      <w:marBottom w:val="0"/>
      <w:divBdr>
        <w:top w:val="none" w:sz="0" w:space="0" w:color="auto"/>
        <w:left w:val="none" w:sz="0" w:space="0" w:color="auto"/>
        <w:bottom w:val="none" w:sz="0" w:space="0" w:color="auto"/>
        <w:right w:val="none" w:sz="0" w:space="0" w:color="auto"/>
      </w:divBdr>
    </w:div>
    <w:div w:id="1854490389">
      <w:bodyDiv w:val="1"/>
      <w:marLeft w:val="0"/>
      <w:marRight w:val="0"/>
      <w:marTop w:val="0"/>
      <w:marBottom w:val="0"/>
      <w:divBdr>
        <w:top w:val="none" w:sz="0" w:space="0" w:color="auto"/>
        <w:left w:val="none" w:sz="0" w:space="0" w:color="auto"/>
        <w:bottom w:val="none" w:sz="0" w:space="0" w:color="auto"/>
        <w:right w:val="none" w:sz="0" w:space="0" w:color="auto"/>
      </w:divBdr>
    </w:div>
    <w:div w:id="213817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4998</ap:Words>
  <ap:Characters>27493</ap:Characters>
  <ap:DocSecurity>0</ap:DocSecurity>
  <ap:Lines>229</ap:Lines>
  <ap:Paragraphs>64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32427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2025-05-15T13:46:00.0000000Z</dcterms:created>
  <dcterms:modified xsi:type="dcterms:W3CDTF">2025-05-15T13:46:00.0000000Z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2024-10-24T14:00:03Z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5af09928-ef1f-4e3d-9a41-63487e34e5b8</vt:lpwstr>
  </property>
  <property fmtid="{D5CDD505-2E9C-101B-9397-08002B2CF9AE}" pid="8" name="MSIP_Label_b2aa6e22-2c82-48c6-bf24-1790f4b9c128_ContentBits">
    <vt:lpwstr>0</vt:lpwstr>
  </property>
</Properties>
</file>