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30FB" w:rsidR="007D30FB" w:rsidP="007D30FB" w:rsidRDefault="008D07EA" w14:paraId="2DAB7B24" w14:textId="2BFBC6C3">
      <w:pPr>
        <w:ind w:left="1416" w:hanging="1416"/>
        <w:rPr>
          <w:rFonts w:ascii="Calibri" w:hAnsi="Calibri" w:cs="Calibri"/>
        </w:rPr>
      </w:pPr>
      <w:r w:rsidRPr="007D30FB">
        <w:rPr>
          <w:rFonts w:ascii="Calibri" w:hAnsi="Calibri" w:cs="Calibri"/>
        </w:rPr>
        <w:t>36</w:t>
      </w:r>
      <w:r w:rsidRPr="007D30FB" w:rsidR="007D30FB">
        <w:rPr>
          <w:rFonts w:ascii="Calibri" w:hAnsi="Calibri" w:cs="Calibri"/>
        </w:rPr>
        <w:t xml:space="preserve"> </w:t>
      </w:r>
      <w:r w:rsidRPr="007D30FB">
        <w:rPr>
          <w:rFonts w:ascii="Calibri" w:hAnsi="Calibri" w:cs="Calibri"/>
        </w:rPr>
        <w:t>578</w:t>
      </w:r>
      <w:r w:rsidRPr="007D30FB" w:rsidR="007D30FB">
        <w:rPr>
          <w:rFonts w:ascii="Calibri" w:hAnsi="Calibri" w:cs="Calibri"/>
        </w:rPr>
        <w:tab/>
      </w:r>
      <w:r w:rsidRPr="007D30FB" w:rsidR="007D30FB">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7D30FB" w:rsidR="007D30FB" w:rsidP="00D80872" w:rsidRDefault="007D30FB" w14:paraId="2477259A" w14:textId="77777777">
      <w:pPr>
        <w:rPr>
          <w:rFonts w:ascii="Calibri" w:hAnsi="Calibri" w:cs="Calibri"/>
        </w:rPr>
      </w:pPr>
      <w:r w:rsidRPr="007D30FB">
        <w:rPr>
          <w:rFonts w:ascii="Calibri" w:hAnsi="Calibri" w:cs="Calibri"/>
        </w:rPr>
        <w:t xml:space="preserve">Nr. </w:t>
      </w:r>
      <w:r w:rsidRPr="007D30FB" w:rsidR="008D07EA">
        <w:rPr>
          <w:rFonts w:ascii="Calibri" w:hAnsi="Calibri" w:cs="Calibri"/>
        </w:rPr>
        <w:t>29</w:t>
      </w:r>
      <w:r w:rsidRPr="007D30FB">
        <w:rPr>
          <w:rFonts w:ascii="Calibri" w:hAnsi="Calibri" w:cs="Calibri"/>
        </w:rPr>
        <w:tab/>
      </w:r>
      <w:r w:rsidRPr="007D30FB">
        <w:rPr>
          <w:rFonts w:ascii="Calibri" w:hAnsi="Calibri" w:cs="Calibri"/>
        </w:rPr>
        <w:tab/>
        <w:t>Brief van de minister van Sociale Zaken en Werkgelegenheid</w:t>
      </w:r>
    </w:p>
    <w:p w:rsidRPr="007D30FB" w:rsidR="007D30FB" w:rsidP="008D07EA" w:rsidRDefault="007D30FB" w14:paraId="09D0F663" w14:textId="77777777">
      <w:pPr>
        <w:spacing w:after="120"/>
        <w:rPr>
          <w:rFonts w:ascii="Calibri" w:hAnsi="Calibri" w:cs="Calibri"/>
        </w:rPr>
      </w:pPr>
      <w:r w:rsidRPr="007D30FB">
        <w:rPr>
          <w:rFonts w:ascii="Calibri" w:hAnsi="Calibri" w:cs="Calibri"/>
        </w:rPr>
        <w:t>Aan de Voorzitter van de Tweede Kamer der Staten-Generaal</w:t>
      </w:r>
    </w:p>
    <w:p w:rsidRPr="007D30FB" w:rsidR="008D07EA" w:rsidP="008D07EA" w:rsidRDefault="007D30FB" w14:paraId="2085B6ED" w14:textId="0B076623">
      <w:pPr>
        <w:spacing w:after="120"/>
        <w:rPr>
          <w:rFonts w:ascii="Calibri" w:hAnsi="Calibri" w:cs="Calibri"/>
        </w:rPr>
      </w:pPr>
      <w:r w:rsidRPr="007D30FB">
        <w:rPr>
          <w:rFonts w:ascii="Calibri" w:hAnsi="Calibri" w:cs="Calibri"/>
        </w:rPr>
        <w:t>Den Haag, 14 mei 2025</w:t>
      </w:r>
      <w:r w:rsidRPr="007D30FB" w:rsidR="008D07EA">
        <w:rPr>
          <w:rFonts w:ascii="Calibri" w:hAnsi="Calibri" w:cs="Calibri"/>
        </w:rPr>
        <w:br/>
      </w:r>
      <w:r w:rsidRPr="007D30FB" w:rsidR="008D07EA">
        <w:rPr>
          <w:rFonts w:ascii="Calibri" w:hAnsi="Calibri" w:cs="Calibri"/>
        </w:rPr>
        <w:br/>
        <w:t>Uw Kamer heeft mij gevraagd om een schriftelijke reactie op het tweede nader gewijzigd amendement van het lid Joseph c.s.</w:t>
      </w:r>
      <w:r w:rsidRPr="007D30FB" w:rsidR="008D07EA">
        <w:rPr>
          <w:rStyle w:val="Voetnootmarkering"/>
          <w:rFonts w:ascii="Calibri" w:hAnsi="Calibri" w:cs="Calibri"/>
        </w:rPr>
        <w:footnoteReference w:id="1"/>
      </w:r>
      <w:r w:rsidRPr="007D30FB" w:rsidR="008D07EA">
        <w:rPr>
          <w:rFonts w:ascii="Calibri" w:hAnsi="Calibri" w:cs="Calibri"/>
        </w:rPr>
        <w:t xml:space="preserve"> Met deze brief kom ik hieraan tegemoet. </w:t>
      </w:r>
    </w:p>
    <w:p w:rsidRPr="007D30FB" w:rsidR="008D07EA" w:rsidP="008D07EA" w:rsidRDefault="008D07EA" w14:paraId="44C7556C" w14:textId="77777777">
      <w:pPr>
        <w:spacing w:after="120"/>
        <w:rPr>
          <w:rFonts w:ascii="Calibri" w:hAnsi="Calibri" w:cs="Calibri"/>
        </w:rPr>
      </w:pPr>
      <w:r w:rsidRPr="007D30FB">
        <w:rPr>
          <w:rFonts w:ascii="Calibri" w:hAnsi="Calibri" w:cs="Calibri"/>
        </w:rPr>
        <w:t>Het voorliggende amendement omvat een aantal technische aanpassingen die zien op de uitvoerbaarheid van het amendement. Het beoogde doel van het amendement, namelijk de introductie van het individueel bezwaarrecht dan wel referendum bij invaren, blijft onveranderd. In de reactie op het nader gewijzigd amendement Joseph c.s. is het kabinetsstandpunt uitvoerig toegelicht, onder meer over het belang om de collectiviteit van het stelsel te borgen en om de voordelen van het nieuwe stelsel zo snel mogelijk voor alle deelnemers te realiseren.</w:t>
      </w:r>
      <w:r w:rsidRPr="007D30FB">
        <w:rPr>
          <w:rStyle w:val="Voetnootmarkering"/>
          <w:rFonts w:ascii="Calibri" w:hAnsi="Calibri" w:cs="Calibri"/>
        </w:rPr>
        <w:footnoteReference w:id="2"/>
      </w:r>
      <w:r w:rsidRPr="007D30FB">
        <w:rPr>
          <w:rFonts w:ascii="Calibri" w:hAnsi="Calibri" w:cs="Calibri"/>
        </w:rPr>
        <w:t xml:space="preserve"> Ook is hierin gewezen op de budgettaire gevolgen en risico’s. Het aangepaste amendement leidt dan ook niet tot een ander kabinetsoordeel.</w:t>
      </w:r>
    </w:p>
    <w:p w:rsidRPr="007D30FB" w:rsidR="008D07EA" w:rsidP="008D07EA" w:rsidRDefault="008D07EA" w14:paraId="2E24FA56" w14:textId="77777777">
      <w:pPr>
        <w:spacing w:after="120"/>
        <w:rPr>
          <w:rFonts w:ascii="Calibri" w:hAnsi="Calibri" w:cs="Calibri"/>
        </w:rPr>
      </w:pPr>
      <w:r w:rsidRPr="007D30FB">
        <w:rPr>
          <w:rFonts w:ascii="Calibri" w:hAnsi="Calibri" w:cs="Calibri"/>
        </w:rPr>
        <w:t>Daarnaast wordt in het voorliggende amendement verwezen naar de door mij genoemde aanvullende wetgeving die noodzakelijk is om het amendement uitvoerbaar te maken voor de pensioensector en de toezichthouders.</w:t>
      </w:r>
      <w:r w:rsidRPr="007D30FB">
        <w:rPr>
          <w:rStyle w:val="Voetnootmarkering"/>
          <w:rFonts w:ascii="Calibri" w:hAnsi="Calibri" w:cs="Calibri"/>
        </w:rPr>
        <w:footnoteReference w:id="3"/>
      </w:r>
      <w:r w:rsidRPr="007D30FB">
        <w:rPr>
          <w:rFonts w:ascii="Calibri" w:hAnsi="Calibri" w:cs="Calibri"/>
        </w:rPr>
        <w:t xml:space="preserve"> Het amendement is op de volgende punten nog niet (volledig) aangevuld: punt 2 (wettelijk kader rondom toedelen vermogen), punt 4 (keuze voor bezwaarrecht of referendum), punt 5 (aanpassen transitieplan en evenwichtigheid voor bezwaarmakers), punt 7 (voorschriften voor informatieverstrekking en keuzebegeleiding) en punt 8 (voorwaarden transitie-ftk). Daarmee blijft het tweede nader gewijzigd amendement op uitvoeringsaspecten onvoldoende uitgewerkt.</w:t>
      </w:r>
    </w:p>
    <w:p w:rsidRPr="007D30FB" w:rsidR="008D07EA" w:rsidP="008D07EA" w:rsidRDefault="008D07EA" w14:paraId="5BA47082" w14:textId="77777777">
      <w:pPr>
        <w:spacing w:after="120"/>
        <w:rPr>
          <w:rFonts w:ascii="Calibri" w:hAnsi="Calibri" w:cs="Calibri"/>
        </w:rPr>
      </w:pPr>
      <w:r w:rsidRPr="007D30FB">
        <w:rPr>
          <w:rFonts w:ascii="Calibri" w:hAnsi="Calibri" w:cs="Calibri"/>
        </w:rPr>
        <w:t>Ik heb in mijn brief van 9 mei jl.</w:t>
      </w:r>
      <w:r w:rsidRPr="007D30FB">
        <w:rPr>
          <w:rStyle w:val="Voetnootmarkering"/>
          <w:rFonts w:ascii="Calibri" w:hAnsi="Calibri" w:cs="Calibri"/>
        </w:rPr>
        <w:footnoteReference w:id="4"/>
      </w:r>
      <w:r w:rsidRPr="007D30FB">
        <w:rPr>
          <w:rFonts w:ascii="Calibri" w:hAnsi="Calibri" w:cs="Calibri"/>
        </w:rPr>
        <w:t xml:space="preserve"> aangegeven dat om de uitvoerbaarheid te waarborgen – gegeven de impact van de voorgestelde wijziging – een zorgvuldiger wetgevingsproces noodzakelijk is.</w:t>
      </w:r>
      <w:r w:rsidRPr="007D30FB">
        <w:rPr>
          <w:rStyle w:val="Voetnootmarkering"/>
          <w:rFonts w:ascii="Calibri" w:hAnsi="Calibri" w:cs="Calibri"/>
        </w:rPr>
        <w:footnoteReference w:id="5"/>
      </w:r>
      <w:r w:rsidRPr="007D30FB">
        <w:rPr>
          <w:rFonts w:ascii="Calibri" w:hAnsi="Calibri" w:cs="Calibri"/>
        </w:rPr>
        <w:t xml:space="preserve"> Hiervoor is tijd nodig voor consultatie van de pensioenuitvoerders en advisering door sociale partners en toezichthouders. </w:t>
      </w:r>
    </w:p>
    <w:p w:rsidRPr="007D30FB" w:rsidR="008D07EA" w:rsidP="008D07EA" w:rsidRDefault="008D07EA" w14:paraId="4E7D1F11" w14:textId="77777777">
      <w:pPr>
        <w:spacing w:after="120"/>
        <w:rPr>
          <w:rFonts w:ascii="Calibri" w:hAnsi="Calibri" w:cs="Calibri"/>
        </w:rPr>
      </w:pPr>
      <w:r w:rsidRPr="007D30FB">
        <w:rPr>
          <w:rFonts w:ascii="Calibri" w:hAnsi="Calibri" w:cs="Calibri"/>
        </w:rPr>
        <w:lastRenderedPageBreak/>
        <w:t>Voor de wijziging is een nieuw advies door de Afdeling advisering van de Raad van State nodig.</w:t>
      </w:r>
      <w:r w:rsidRPr="007D30FB">
        <w:rPr>
          <w:rStyle w:val="Voetnootmarkering"/>
          <w:rFonts w:ascii="Calibri" w:hAnsi="Calibri" w:cs="Calibri"/>
        </w:rPr>
        <w:footnoteReference w:id="6"/>
      </w:r>
      <w:r w:rsidRPr="007D30FB">
        <w:rPr>
          <w:rFonts w:ascii="Calibri" w:hAnsi="Calibri" w:cs="Calibri"/>
        </w:rPr>
        <w:t xml:space="preserve"> Hieraan is met dit amendement niet voldaan. De verwachting van het benodigde tijdsbeslag hiervoor blijft dan ook ongewijzigd. </w:t>
      </w:r>
    </w:p>
    <w:p w:rsidRPr="007D30FB" w:rsidR="007D30FB" w:rsidP="008D07EA" w:rsidRDefault="007D30FB" w14:paraId="3C741165" w14:textId="77777777">
      <w:pPr>
        <w:spacing w:after="120"/>
        <w:rPr>
          <w:rFonts w:ascii="Calibri" w:hAnsi="Calibri" w:cs="Calibri"/>
        </w:rPr>
      </w:pPr>
    </w:p>
    <w:p w:rsidRPr="007D30FB" w:rsidR="008D07EA" w:rsidP="007D30FB" w:rsidRDefault="008D07EA" w14:paraId="311DA1F9" w14:textId="5F0E0B33">
      <w:pPr>
        <w:pStyle w:val="Geenafstand"/>
        <w:rPr>
          <w:rFonts w:ascii="Calibri" w:hAnsi="Calibri" w:cs="Calibri"/>
        </w:rPr>
      </w:pPr>
      <w:r w:rsidRPr="007D30FB">
        <w:rPr>
          <w:rFonts w:ascii="Calibri" w:hAnsi="Calibri" w:cs="Calibri"/>
        </w:rPr>
        <w:t xml:space="preserve">De </w:t>
      </w:r>
      <w:r w:rsidRPr="007D30FB" w:rsidR="007D30FB">
        <w:rPr>
          <w:rFonts w:ascii="Calibri" w:hAnsi="Calibri" w:cs="Calibri"/>
        </w:rPr>
        <w:t>m</w:t>
      </w:r>
      <w:r w:rsidRPr="007D30FB">
        <w:rPr>
          <w:rFonts w:ascii="Calibri" w:hAnsi="Calibri" w:cs="Calibri"/>
        </w:rPr>
        <w:t>inister van Sociale Zaken en Werkgelegenheid,</w:t>
      </w:r>
    </w:p>
    <w:p w:rsidRPr="007D30FB" w:rsidR="008D07EA" w:rsidP="007D30FB" w:rsidRDefault="008D07EA" w14:paraId="4013359E" w14:textId="77777777">
      <w:pPr>
        <w:pStyle w:val="Geenafstand"/>
        <w:rPr>
          <w:rFonts w:ascii="Calibri" w:hAnsi="Calibri" w:cs="Calibri"/>
        </w:rPr>
      </w:pPr>
      <w:r w:rsidRPr="007D30FB">
        <w:rPr>
          <w:rFonts w:ascii="Calibri" w:hAnsi="Calibri" w:cs="Calibri"/>
        </w:rPr>
        <w:t>Y.J. van Hijum</w:t>
      </w:r>
    </w:p>
    <w:p w:rsidRPr="007D30FB" w:rsidR="00F80165" w:rsidP="008D07EA" w:rsidRDefault="00F80165" w14:paraId="3BFCD26E" w14:textId="77777777">
      <w:pPr>
        <w:spacing w:after="120"/>
        <w:rPr>
          <w:rFonts w:ascii="Calibri" w:hAnsi="Calibri" w:cs="Calibri"/>
        </w:rPr>
      </w:pPr>
    </w:p>
    <w:sectPr w:rsidRPr="007D30FB" w:rsidR="00F80165" w:rsidSect="0037649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95740" w14:textId="77777777" w:rsidR="008D07EA" w:rsidRDefault="008D07EA" w:rsidP="008D07EA">
      <w:pPr>
        <w:spacing w:after="0" w:line="240" w:lineRule="auto"/>
      </w:pPr>
      <w:r>
        <w:separator/>
      </w:r>
    </w:p>
  </w:endnote>
  <w:endnote w:type="continuationSeparator" w:id="0">
    <w:p w14:paraId="0D6799D3" w14:textId="77777777" w:rsidR="008D07EA" w:rsidRDefault="008D07EA" w:rsidP="008D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B099" w14:textId="77777777" w:rsidR="008D07EA" w:rsidRPr="008D07EA" w:rsidRDefault="008D07EA" w:rsidP="008D07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3ACC" w14:textId="77777777" w:rsidR="008D07EA" w:rsidRPr="008D07EA" w:rsidRDefault="008D07EA" w:rsidP="008D07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77FD" w14:textId="77777777" w:rsidR="008D07EA" w:rsidRPr="008D07EA" w:rsidRDefault="008D07EA" w:rsidP="008D07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7C0C7" w14:textId="77777777" w:rsidR="008D07EA" w:rsidRDefault="008D07EA" w:rsidP="008D07EA">
      <w:pPr>
        <w:spacing w:after="0" w:line="240" w:lineRule="auto"/>
      </w:pPr>
      <w:r>
        <w:separator/>
      </w:r>
    </w:p>
  </w:footnote>
  <w:footnote w:type="continuationSeparator" w:id="0">
    <w:p w14:paraId="5921C6AB" w14:textId="77777777" w:rsidR="008D07EA" w:rsidRDefault="008D07EA" w:rsidP="008D07EA">
      <w:pPr>
        <w:spacing w:after="0" w:line="240" w:lineRule="auto"/>
      </w:pPr>
      <w:r>
        <w:continuationSeparator/>
      </w:r>
    </w:p>
  </w:footnote>
  <w:footnote w:id="1">
    <w:p w14:paraId="34D1DC30" w14:textId="2F37EB6F" w:rsidR="008D07EA" w:rsidRPr="007D30FB" w:rsidRDefault="008D07EA" w:rsidP="008D07EA">
      <w:pPr>
        <w:pStyle w:val="Voetnoottekst"/>
        <w:rPr>
          <w:rFonts w:ascii="Calibri" w:hAnsi="Calibri" w:cs="Calibri"/>
        </w:rPr>
      </w:pPr>
      <w:r w:rsidRPr="007D30FB">
        <w:rPr>
          <w:rStyle w:val="Voetnootmarkering"/>
          <w:rFonts w:ascii="Calibri" w:hAnsi="Calibri" w:cs="Calibri"/>
        </w:rPr>
        <w:footnoteRef/>
      </w:r>
      <w:r w:rsidRPr="007D30FB">
        <w:rPr>
          <w:rFonts w:ascii="Calibri" w:hAnsi="Calibri" w:cs="Calibri"/>
        </w:rPr>
        <w:t xml:space="preserve"> Kamerstukken II 2024-2025, 36 578, nr. 27 </w:t>
      </w:r>
    </w:p>
  </w:footnote>
  <w:footnote w:id="2">
    <w:p w14:paraId="71F8FA1F" w14:textId="0247B216" w:rsidR="008D07EA" w:rsidRPr="007D30FB" w:rsidRDefault="008D07EA" w:rsidP="008D07EA">
      <w:pPr>
        <w:pStyle w:val="Voetnoottekst"/>
        <w:rPr>
          <w:rFonts w:ascii="Calibri" w:hAnsi="Calibri" w:cs="Calibri"/>
        </w:rPr>
      </w:pPr>
      <w:r w:rsidRPr="007D30FB">
        <w:rPr>
          <w:rStyle w:val="Voetnootmarkering"/>
          <w:rFonts w:ascii="Calibri" w:hAnsi="Calibri" w:cs="Calibri"/>
        </w:rPr>
        <w:footnoteRef/>
      </w:r>
      <w:r w:rsidRPr="007D30FB">
        <w:rPr>
          <w:rFonts w:ascii="Calibri" w:hAnsi="Calibri" w:cs="Calibri"/>
        </w:rPr>
        <w:t xml:space="preserve"> Kamerstukken II 2024-2025, 36 578, nr. 15 </w:t>
      </w:r>
    </w:p>
  </w:footnote>
  <w:footnote w:id="3">
    <w:p w14:paraId="77A06B8C" w14:textId="54A2E79B" w:rsidR="008D07EA" w:rsidRPr="007D30FB" w:rsidRDefault="008D07EA" w:rsidP="008D07EA">
      <w:pPr>
        <w:pStyle w:val="Voetnoottekst"/>
        <w:rPr>
          <w:rFonts w:ascii="Calibri" w:hAnsi="Calibri" w:cs="Calibri"/>
        </w:rPr>
      </w:pPr>
      <w:r w:rsidRPr="007D30FB">
        <w:rPr>
          <w:rStyle w:val="Voetnootmarkering"/>
          <w:rFonts w:ascii="Calibri" w:hAnsi="Calibri" w:cs="Calibri"/>
        </w:rPr>
        <w:footnoteRef/>
      </w:r>
      <w:r w:rsidRPr="007D30FB">
        <w:rPr>
          <w:rFonts w:ascii="Calibri" w:hAnsi="Calibri" w:cs="Calibri"/>
        </w:rPr>
        <w:t xml:space="preserve"> Kamerstukken II 2024-2025, 36 578, nr. 26</w:t>
      </w:r>
    </w:p>
  </w:footnote>
  <w:footnote w:id="4">
    <w:p w14:paraId="604AD677" w14:textId="656411C8" w:rsidR="008D07EA" w:rsidRPr="007D30FB" w:rsidRDefault="008D07EA" w:rsidP="008D07EA">
      <w:pPr>
        <w:pStyle w:val="Voetnoottekst"/>
        <w:rPr>
          <w:rFonts w:ascii="Calibri" w:hAnsi="Calibri" w:cs="Calibri"/>
        </w:rPr>
      </w:pPr>
      <w:r w:rsidRPr="007D30FB">
        <w:rPr>
          <w:rStyle w:val="Voetnootmarkering"/>
          <w:rFonts w:ascii="Calibri" w:hAnsi="Calibri" w:cs="Calibri"/>
        </w:rPr>
        <w:footnoteRef/>
      </w:r>
      <w:r w:rsidRPr="007D30FB">
        <w:rPr>
          <w:rFonts w:ascii="Calibri" w:hAnsi="Calibri" w:cs="Calibri"/>
        </w:rPr>
        <w:t xml:space="preserve"> Kamerstukken II 2024-2025, 36 578, nr. 26</w:t>
      </w:r>
    </w:p>
  </w:footnote>
  <w:footnote w:id="5">
    <w:p w14:paraId="32126FC5" w14:textId="77777777" w:rsidR="008D07EA" w:rsidRPr="007D30FB" w:rsidRDefault="008D07EA" w:rsidP="008D07EA">
      <w:pPr>
        <w:pStyle w:val="Voetnoottekst"/>
        <w:rPr>
          <w:rFonts w:ascii="Calibri" w:hAnsi="Calibri" w:cs="Calibri"/>
        </w:rPr>
      </w:pPr>
      <w:r w:rsidRPr="007D30FB">
        <w:rPr>
          <w:rStyle w:val="Voetnootmarkering"/>
          <w:rFonts w:ascii="Calibri" w:hAnsi="Calibri" w:cs="Calibri"/>
        </w:rPr>
        <w:footnoteRef/>
      </w:r>
      <w:r w:rsidRPr="007D30FB">
        <w:rPr>
          <w:rFonts w:ascii="Calibri" w:hAnsi="Calibri" w:cs="Calibri"/>
        </w:rPr>
        <w:t xml:space="preserve"> Aanwijzingen voor de regelgeving, oa aanwijzing 2.2, 2.3, 2.7, 2.8, 2.9, 2.10, 2.11 en 2.15</w:t>
      </w:r>
    </w:p>
  </w:footnote>
  <w:footnote w:id="6">
    <w:p w14:paraId="0856988F" w14:textId="77777777" w:rsidR="008D07EA" w:rsidRPr="007D30FB" w:rsidRDefault="008D07EA" w:rsidP="008D07EA">
      <w:pPr>
        <w:pStyle w:val="Voetnoottekst"/>
        <w:rPr>
          <w:rFonts w:ascii="Calibri" w:hAnsi="Calibri" w:cs="Calibri"/>
        </w:rPr>
      </w:pPr>
      <w:r w:rsidRPr="007D30FB">
        <w:rPr>
          <w:rStyle w:val="Voetnootmarkering"/>
          <w:rFonts w:ascii="Calibri" w:hAnsi="Calibri" w:cs="Calibri"/>
        </w:rPr>
        <w:footnoteRef/>
      </w:r>
      <w:r w:rsidRPr="007D30FB">
        <w:rPr>
          <w:rFonts w:ascii="Calibri" w:hAnsi="Calibri" w:cs="Calibri"/>
        </w:rPr>
        <w:t xml:space="preserve"> Aanwijzingen voor de regelgeving, aanwijzing 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79C8" w14:textId="77777777" w:rsidR="008D07EA" w:rsidRPr="008D07EA" w:rsidRDefault="008D07EA" w:rsidP="008D07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95CE" w14:textId="77777777" w:rsidR="008D07EA" w:rsidRPr="008D07EA" w:rsidRDefault="008D07EA" w:rsidP="008D07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80F2" w14:textId="77777777" w:rsidR="008D07EA" w:rsidRPr="008D07EA" w:rsidRDefault="008D07EA" w:rsidP="008D07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EA"/>
    <w:rsid w:val="00376490"/>
    <w:rsid w:val="005A5B08"/>
    <w:rsid w:val="007D30FB"/>
    <w:rsid w:val="008D07EA"/>
    <w:rsid w:val="00C75C33"/>
    <w:rsid w:val="00C87A2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E28B"/>
  <w15:chartTrackingRefBased/>
  <w15:docId w15:val="{24F799CB-D59A-4180-A5E4-20C1DA64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0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0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07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07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07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07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07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07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07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07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07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07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07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07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07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07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07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07EA"/>
    <w:rPr>
      <w:rFonts w:eastAsiaTheme="majorEastAsia" w:cstheme="majorBidi"/>
      <w:color w:val="272727" w:themeColor="text1" w:themeTint="D8"/>
    </w:rPr>
  </w:style>
  <w:style w:type="paragraph" w:styleId="Titel">
    <w:name w:val="Title"/>
    <w:basedOn w:val="Standaard"/>
    <w:next w:val="Standaard"/>
    <w:link w:val="TitelChar"/>
    <w:uiPriority w:val="10"/>
    <w:qFormat/>
    <w:rsid w:val="008D0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07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07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07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07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07EA"/>
    <w:rPr>
      <w:i/>
      <w:iCs/>
      <w:color w:val="404040" w:themeColor="text1" w:themeTint="BF"/>
    </w:rPr>
  </w:style>
  <w:style w:type="paragraph" w:styleId="Lijstalinea">
    <w:name w:val="List Paragraph"/>
    <w:basedOn w:val="Standaard"/>
    <w:uiPriority w:val="34"/>
    <w:qFormat/>
    <w:rsid w:val="008D07EA"/>
    <w:pPr>
      <w:ind w:left="720"/>
      <w:contextualSpacing/>
    </w:pPr>
  </w:style>
  <w:style w:type="character" w:styleId="Intensievebenadrukking">
    <w:name w:val="Intense Emphasis"/>
    <w:basedOn w:val="Standaardalinea-lettertype"/>
    <w:uiPriority w:val="21"/>
    <w:qFormat/>
    <w:rsid w:val="008D07EA"/>
    <w:rPr>
      <w:i/>
      <w:iCs/>
      <w:color w:val="0F4761" w:themeColor="accent1" w:themeShade="BF"/>
    </w:rPr>
  </w:style>
  <w:style w:type="paragraph" w:styleId="Duidelijkcitaat">
    <w:name w:val="Intense Quote"/>
    <w:basedOn w:val="Standaard"/>
    <w:next w:val="Standaard"/>
    <w:link w:val="DuidelijkcitaatChar"/>
    <w:uiPriority w:val="30"/>
    <w:qFormat/>
    <w:rsid w:val="008D0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07EA"/>
    <w:rPr>
      <w:i/>
      <w:iCs/>
      <w:color w:val="0F4761" w:themeColor="accent1" w:themeShade="BF"/>
    </w:rPr>
  </w:style>
  <w:style w:type="character" w:styleId="Intensieveverwijzing">
    <w:name w:val="Intense Reference"/>
    <w:basedOn w:val="Standaardalinea-lettertype"/>
    <w:uiPriority w:val="32"/>
    <w:qFormat/>
    <w:rsid w:val="008D07EA"/>
    <w:rPr>
      <w:b/>
      <w:bCs/>
      <w:smallCaps/>
      <w:color w:val="0F4761" w:themeColor="accent1" w:themeShade="BF"/>
      <w:spacing w:val="5"/>
    </w:rPr>
  </w:style>
  <w:style w:type="paragraph" w:styleId="Koptekst">
    <w:name w:val="header"/>
    <w:basedOn w:val="Standaard"/>
    <w:next w:val="Standaard"/>
    <w:link w:val="KoptekstChar"/>
    <w:rsid w:val="008D07E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D07E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8D07E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D07EA"/>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8D07E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D07E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D07EA"/>
    <w:rPr>
      <w:vertAlign w:val="superscript"/>
    </w:rPr>
  </w:style>
  <w:style w:type="paragraph" w:styleId="Geenafstand">
    <w:name w:val="No Spacing"/>
    <w:uiPriority w:val="1"/>
    <w:qFormat/>
    <w:rsid w:val="007D3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374</ap:Words>
  <ap:Characters>2063</ap:Characters>
  <ap:DocSecurity>0</ap:DocSecurity>
  <ap:Lines>17</ap:Lines>
  <ap:Paragraphs>4</ap:Paragraphs>
  <ap:ScaleCrop>false</ap:ScaleCrop>
  <ap:LinksUpToDate>false</ap:LinksUpToDate>
  <ap:CharactersWithSpaces>2433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2025-05-15T14:54:00.0000000Z</dcterms:created>
  <dcterms:modified xsi:type="dcterms:W3CDTF">2025-05-15T14:54:00.0000000Z</dcterms:modified>
  <version/>
  <category/>
</coreProperties>
</file>