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266A" w:rsidP="003E41FC" w:rsidRDefault="47FD1738" w14:paraId="67A00751" w14:textId="687F3523">
      <w:pPr>
        <w:spacing w:line="276" w:lineRule="auto"/>
        <w:rPr>
          <w:b/>
          <w:bCs/>
          <w:szCs w:val="18"/>
        </w:rPr>
      </w:pPr>
      <w:r w:rsidRPr="005D11CE">
        <w:rPr>
          <w:b/>
          <w:bCs/>
          <w:szCs w:val="18"/>
        </w:rPr>
        <w:t>Beleidsreactie</w:t>
      </w:r>
      <w:r w:rsidRPr="005D11CE" w:rsidR="00F0266A">
        <w:rPr>
          <w:b/>
          <w:bCs/>
          <w:szCs w:val="18"/>
        </w:rPr>
        <w:t xml:space="preserve"> ‘</w:t>
      </w:r>
      <w:r w:rsidRPr="005D11CE" w:rsidR="00F0266A">
        <w:rPr>
          <w:b/>
          <w:bCs/>
          <w:i/>
          <w:iCs/>
          <w:szCs w:val="18"/>
        </w:rPr>
        <w:t>Krachten Gebundeld - Naar een effectievere en efficiëntere invulling van de poortwachtersrol in Nederland</w:t>
      </w:r>
      <w:r w:rsidRPr="005D11CE" w:rsidR="00F0266A">
        <w:rPr>
          <w:b/>
          <w:bCs/>
          <w:szCs w:val="18"/>
        </w:rPr>
        <w:t>’ - KPMG</w:t>
      </w:r>
    </w:p>
    <w:p w:rsidRPr="00F25D29" w:rsidR="001C024B" w:rsidP="003E41FC" w:rsidRDefault="001C024B" w14:paraId="07FE5631" w14:textId="7C747425">
      <w:pPr>
        <w:spacing w:line="276" w:lineRule="auto"/>
        <w:rPr>
          <w:szCs w:val="18"/>
        </w:rPr>
      </w:pPr>
      <w:r w:rsidRPr="00F25D29">
        <w:rPr>
          <w:szCs w:val="18"/>
        </w:rPr>
        <w:t>In 2023 heeft KPMG in opdracht van een brede groep belangenvertegenwoordigers</w:t>
      </w:r>
      <w:r w:rsidR="007B7733">
        <w:rPr>
          <w:szCs w:val="18"/>
        </w:rPr>
        <w:t xml:space="preserve"> en </w:t>
      </w:r>
      <w:r w:rsidR="00710E7F">
        <w:rPr>
          <w:szCs w:val="18"/>
        </w:rPr>
        <w:t>poortwachters</w:t>
      </w:r>
      <w:r w:rsidRPr="00F25D29">
        <w:rPr>
          <w:szCs w:val="18"/>
        </w:rPr>
        <w:t xml:space="preserve"> het rapport ‘Krachten gebundeld’ opgeleverd.</w:t>
      </w:r>
      <w:r w:rsidRPr="00F25D29">
        <w:rPr>
          <w:rStyle w:val="Voetnootmarkering"/>
          <w:szCs w:val="18"/>
        </w:rPr>
        <w:footnoteReference w:id="2"/>
      </w:r>
      <w:r w:rsidRPr="00F25D29">
        <w:rPr>
          <w:szCs w:val="18"/>
        </w:rPr>
        <w:t xml:space="preserve"> Hieronder vindt u in de rechter</w:t>
      </w:r>
      <w:r w:rsidR="00710E7F">
        <w:rPr>
          <w:szCs w:val="18"/>
        </w:rPr>
        <w:t>kolom</w:t>
      </w:r>
      <w:r w:rsidRPr="00F25D29">
        <w:rPr>
          <w:szCs w:val="18"/>
        </w:rPr>
        <w:t xml:space="preserve"> van alle tabellen onze reactie op de aanbevelingen uit dit rapport.</w:t>
      </w:r>
    </w:p>
    <w:p w:rsidRPr="005D11CE" w:rsidR="00222343" w:rsidP="003E41FC" w:rsidRDefault="0F823621" w14:paraId="2656F2F6" w14:textId="68A06FCF">
      <w:pPr>
        <w:pStyle w:val="Lijstalinea"/>
        <w:numPr>
          <w:ilvl w:val="0"/>
          <w:numId w:val="8"/>
        </w:numPr>
        <w:spacing w:line="276" w:lineRule="auto"/>
        <w:rPr>
          <w:b/>
          <w:bCs/>
          <w:szCs w:val="18"/>
        </w:rPr>
      </w:pPr>
      <w:r w:rsidRPr="005D11CE">
        <w:rPr>
          <w:b/>
          <w:bCs/>
          <w:szCs w:val="18"/>
        </w:rPr>
        <w:t>Voor poortwachters</w:t>
      </w:r>
    </w:p>
    <w:tbl>
      <w:tblPr>
        <w:tblStyle w:val="Tabelraster"/>
        <w:tblW w:w="9017" w:type="dxa"/>
        <w:tblLayout w:type="fixed"/>
        <w:tblLook w:val="04A0" w:firstRow="1" w:lastRow="0" w:firstColumn="1" w:lastColumn="0" w:noHBand="0" w:noVBand="1"/>
      </w:tblPr>
      <w:tblGrid>
        <w:gridCol w:w="2689"/>
        <w:gridCol w:w="6328"/>
      </w:tblGrid>
      <w:tr w:rsidRPr="005D11CE" w:rsidR="005D11CE" w:rsidTr="00291B7D" w14:paraId="6A33EEE7" w14:textId="77777777">
        <w:tc>
          <w:tcPr>
            <w:tcW w:w="2689" w:type="dxa"/>
          </w:tcPr>
          <w:p w:rsidRPr="005D11CE" w:rsidR="00222343" w:rsidP="00D964FB" w:rsidRDefault="00291B7D" w14:paraId="5C0B5586" w14:textId="5DAC1428">
            <w:pPr>
              <w:spacing w:line="276" w:lineRule="auto"/>
              <w:rPr>
                <w:b/>
                <w:bCs/>
                <w:szCs w:val="18"/>
              </w:rPr>
            </w:pPr>
            <w:r>
              <w:rPr>
                <w:szCs w:val="18"/>
              </w:rPr>
              <w:t xml:space="preserve">Ontwikkel een gezamenlijke standaard op het gebied van KYC: </w:t>
            </w:r>
            <w:r w:rsidRPr="005D11CE" w:rsidR="0F823621">
              <w:rPr>
                <w:szCs w:val="18"/>
              </w:rPr>
              <w:t>KYC taxonomie</w:t>
            </w:r>
            <w:r>
              <w:rPr>
                <w:szCs w:val="18"/>
              </w:rPr>
              <w:t>. Dit betreft een gezamenlijke interpretatie van wettelijke vereisten, bijbehorende datapunten en onderliggende documentatie</w:t>
            </w:r>
            <w:r w:rsidR="00D964FB">
              <w:rPr>
                <w:szCs w:val="18"/>
              </w:rPr>
              <w:t>.</w:t>
            </w:r>
          </w:p>
        </w:tc>
        <w:tc>
          <w:tcPr>
            <w:tcW w:w="6328" w:type="dxa"/>
          </w:tcPr>
          <w:p w:rsidRPr="005D11CE" w:rsidR="00222343" w:rsidP="003E41FC" w:rsidRDefault="0F823621" w14:paraId="198CEA77" w14:textId="28A7743D">
            <w:pPr>
              <w:pStyle w:val="Lijstalinea"/>
              <w:numPr>
                <w:ilvl w:val="0"/>
                <w:numId w:val="18"/>
              </w:numPr>
              <w:spacing w:line="276" w:lineRule="auto"/>
              <w:rPr>
                <w:szCs w:val="18"/>
              </w:rPr>
            </w:pPr>
            <w:r w:rsidRPr="005D11CE">
              <w:rPr>
                <w:rFonts w:eastAsiaTheme="minorEastAsia"/>
                <w:szCs w:val="18"/>
              </w:rPr>
              <w:t xml:space="preserve">Een gedeelde taxonomie </w:t>
            </w:r>
            <w:r w:rsidR="005F55BE">
              <w:rPr>
                <w:rFonts w:eastAsiaTheme="minorEastAsia"/>
                <w:szCs w:val="18"/>
              </w:rPr>
              <w:t xml:space="preserve">zorgt ervoor dat poortwachters dezelfde interpretatie hebben van de wettelijke verplichtingen. Dit </w:t>
            </w:r>
            <w:r w:rsidRPr="005D11CE">
              <w:rPr>
                <w:rFonts w:eastAsiaTheme="minorEastAsia"/>
                <w:szCs w:val="18"/>
              </w:rPr>
              <w:t xml:space="preserve">zal de harmonisatie van informatieverzameling verbeteren waardoor deze efficiënter gedeeld kan worden. Dit </w:t>
            </w:r>
            <w:r w:rsidRPr="005D11CE" w:rsidR="00914A34">
              <w:rPr>
                <w:rFonts w:eastAsiaTheme="minorEastAsia"/>
                <w:szCs w:val="18"/>
              </w:rPr>
              <w:t>is een goede</w:t>
            </w:r>
            <w:r w:rsidRPr="005D11CE">
              <w:rPr>
                <w:rFonts w:eastAsiaTheme="minorEastAsia"/>
                <w:szCs w:val="18"/>
              </w:rPr>
              <w:t xml:space="preserve"> stap voor </w:t>
            </w:r>
            <w:r w:rsidRPr="005D11CE" w:rsidR="00914A34">
              <w:rPr>
                <w:rFonts w:eastAsiaTheme="minorEastAsia"/>
                <w:szCs w:val="18"/>
              </w:rPr>
              <w:t xml:space="preserve">de </w:t>
            </w:r>
            <w:r w:rsidRPr="005D11CE">
              <w:rPr>
                <w:rFonts w:eastAsiaTheme="minorEastAsia"/>
                <w:szCs w:val="18"/>
              </w:rPr>
              <w:t>poortwachters</w:t>
            </w:r>
            <w:r w:rsidRPr="005D11CE" w:rsidR="005A7171">
              <w:rPr>
                <w:rFonts w:eastAsiaTheme="minorEastAsia"/>
                <w:szCs w:val="18"/>
              </w:rPr>
              <w:t>. Zij zijn hiervoor zelf aan zet, desgevraagd</w:t>
            </w:r>
            <w:r w:rsidRPr="005D11CE">
              <w:rPr>
                <w:rFonts w:eastAsiaTheme="minorEastAsia"/>
                <w:szCs w:val="18"/>
              </w:rPr>
              <w:t xml:space="preserve"> </w:t>
            </w:r>
            <w:r w:rsidRPr="005D11CE" w:rsidR="00806FCE">
              <w:rPr>
                <w:rFonts w:eastAsiaTheme="minorEastAsia"/>
                <w:szCs w:val="18"/>
              </w:rPr>
              <w:t xml:space="preserve">leveren </w:t>
            </w:r>
            <w:r w:rsidR="00DC0844">
              <w:rPr>
                <w:rFonts w:eastAsiaTheme="minorEastAsia"/>
                <w:szCs w:val="18"/>
              </w:rPr>
              <w:t>publieke partners</w:t>
            </w:r>
            <w:r w:rsidRPr="005D11CE" w:rsidR="00806FCE">
              <w:rPr>
                <w:rFonts w:eastAsiaTheme="minorEastAsia"/>
                <w:szCs w:val="18"/>
              </w:rPr>
              <w:t xml:space="preserve"> </w:t>
            </w:r>
            <w:r w:rsidRPr="005D11CE" w:rsidR="005A7171">
              <w:rPr>
                <w:rFonts w:eastAsiaTheme="minorEastAsia"/>
                <w:szCs w:val="18"/>
              </w:rPr>
              <w:t xml:space="preserve">hiervoor </w:t>
            </w:r>
            <w:r w:rsidRPr="005D11CE" w:rsidR="00806FCE">
              <w:rPr>
                <w:rFonts w:eastAsiaTheme="minorEastAsia"/>
                <w:szCs w:val="18"/>
              </w:rPr>
              <w:t>input</w:t>
            </w:r>
            <w:r w:rsidRPr="005D11CE">
              <w:rPr>
                <w:rFonts w:eastAsiaTheme="minorEastAsia"/>
                <w:szCs w:val="18"/>
              </w:rPr>
              <w:t>.</w:t>
            </w:r>
          </w:p>
          <w:p w:rsidRPr="005D11CE" w:rsidR="005D11CE" w:rsidP="003E41FC" w:rsidRDefault="005D11CE" w14:paraId="39DCE46D" w14:textId="2F5BAAD2">
            <w:pPr>
              <w:pStyle w:val="Lijstalinea"/>
              <w:spacing w:line="276" w:lineRule="auto"/>
              <w:ind w:left="360"/>
              <w:rPr>
                <w:szCs w:val="18"/>
              </w:rPr>
            </w:pPr>
          </w:p>
        </w:tc>
      </w:tr>
      <w:tr w:rsidRPr="005D11CE" w:rsidR="005D11CE" w:rsidTr="00291B7D" w14:paraId="1982F53B" w14:textId="77777777">
        <w:tc>
          <w:tcPr>
            <w:tcW w:w="2689" w:type="dxa"/>
          </w:tcPr>
          <w:p w:rsidRPr="005D11CE" w:rsidR="00222343" w:rsidP="003E41FC" w:rsidRDefault="00291B7D" w14:paraId="7C28EC93" w14:textId="66DE1D7B">
            <w:pPr>
              <w:spacing w:line="276" w:lineRule="auto"/>
              <w:rPr>
                <w:szCs w:val="18"/>
              </w:rPr>
            </w:pPr>
            <w:r>
              <w:rPr>
                <w:szCs w:val="18"/>
              </w:rPr>
              <w:t>Stel een gezamenlijk waarschuwingssysteem op waarin de gegevens zijn opgenomen van natuurlijke personen en/of rechtspersonen die een mogelijk risico vormen voor individuele poortwachters of voor de integriteit van het financiële stelsel, bijvoorbeeld in het geval van zware verdenkingen of bewezenverklaring van fraude of ander crimineel gedrag.</w:t>
            </w:r>
          </w:p>
          <w:p w:rsidRPr="005D11CE" w:rsidR="00222343" w:rsidP="003E41FC" w:rsidRDefault="00222343" w14:paraId="656114CB" w14:textId="3C29E732">
            <w:pPr>
              <w:spacing w:line="276" w:lineRule="auto"/>
              <w:rPr>
                <w:szCs w:val="18"/>
              </w:rPr>
            </w:pPr>
          </w:p>
        </w:tc>
        <w:tc>
          <w:tcPr>
            <w:tcW w:w="6328" w:type="dxa"/>
          </w:tcPr>
          <w:p w:rsidRPr="005D11CE" w:rsidR="00222343" w:rsidP="003E41FC" w:rsidRDefault="00103276" w14:paraId="5D39342F" w14:textId="1CCF7C42">
            <w:pPr>
              <w:pStyle w:val="Lijstalinea"/>
              <w:numPr>
                <w:ilvl w:val="0"/>
                <w:numId w:val="24"/>
              </w:numPr>
              <w:spacing w:line="276" w:lineRule="auto"/>
              <w:ind w:left="360"/>
              <w:rPr>
                <w:szCs w:val="18"/>
              </w:rPr>
            </w:pPr>
            <w:r>
              <w:rPr>
                <w:rFonts w:eastAsiaTheme="minorEastAsia"/>
                <w:szCs w:val="18"/>
              </w:rPr>
              <w:t xml:space="preserve">Het kabinet juicht </w:t>
            </w:r>
            <w:r w:rsidRPr="005D11CE" w:rsidR="008D418D">
              <w:rPr>
                <w:rFonts w:eastAsiaTheme="minorEastAsia"/>
                <w:szCs w:val="18"/>
              </w:rPr>
              <w:t>toe dat poortwachters bezig zijn met</w:t>
            </w:r>
            <w:r w:rsidRPr="005D11CE" w:rsidR="43A62C42">
              <w:rPr>
                <w:rFonts w:eastAsiaTheme="minorEastAsia"/>
                <w:szCs w:val="18"/>
              </w:rPr>
              <w:t xml:space="preserve"> de doorontwikkeling en bredere inzet van waarschuwingssystemen waarmee </w:t>
            </w:r>
            <w:r w:rsidRPr="005D11CE" w:rsidR="008D418D">
              <w:rPr>
                <w:rFonts w:eastAsiaTheme="minorEastAsia"/>
                <w:szCs w:val="18"/>
              </w:rPr>
              <w:t xml:space="preserve">zij </w:t>
            </w:r>
            <w:r w:rsidRPr="005D11CE" w:rsidR="43A62C42">
              <w:rPr>
                <w:rFonts w:eastAsiaTheme="minorEastAsia"/>
                <w:szCs w:val="18"/>
              </w:rPr>
              <w:t>onderling informatie over risico's kunnen delen en bonafide burgers en bedrijven eenvoudig</w:t>
            </w:r>
            <w:r w:rsidRPr="005D11CE" w:rsidR="00806FCE">
              <w:rPr>
                <w:rFonts w:eastAsiaTheme="minorEastAsia"/>
                <w:szCs w:val="18"/>
              </w:rPr>
              <w:t>er</w:t>
            </w:r>
            <w:r w:rsidRPr="005D11CE" w:rsidR="43A62C42">
              <w:rPr>
                <w:rFonts w:eastAsiaTheme="minorEastAsia"/>
                <w:szCs w:val="18"/>
              </w:rPr>
              <w:t xml:space="preserve"> als klant toegelaten kunnen worden.</w:t>
            </w:r>
          </w:p>
          <w:p w:rsidRPr="001C1881" w:rsidR="00222343" w:rsidP="003E41FC" w:rsidRDefault="43A62C42" w14:paraId="558508B5" w14:textId="56CEA6A6">
            <w:pPr>
              <w:pStyle w:val="Lijstalinea"/>
              <w:numPr>
                <w:ilvl w:val="0"/>
                <w:numId w:val="24"/>
              </w:numPr>
              <w:spacing w:line="276" w:lineRule="auto"/>
              <w:ind w:left="360"/>
              <w:rPr>
                <w:szCs w:val="18"/>
              </w:rPr>
            </w:pPr>
            <w:r w:rsidRPr="005D11CE">
              <w:rPr>
                <w:rFonts w:eastAsiaTheme="minorEastAsia"/>
                <w:szCs w:val="18"/>
              </w:rPr>
              <w:t>Systemen moeten zich beperken tot wat strikt noodzakelijk en proportioneel is.</w:t>
            </w:r>
            <w:r w:rsidR="001C1881">
              <w:rPr>
                <w:rFonts w:eastAsiaTheme="minorEastAsia"/>
                <w:szCs w:val="18"/>
              </w:rPr>
              <w:t xml:space="preserve"> </w:t>
            </w:r>
            <w:r w:rsidR="00E93DCE">
              <w:rPr>
                <w:rFonts w:eastAsiaTheme="minorEastAsia"/>
                <w:szCs w:val="18"/>
              </w:rPr>
              <w:t>Het bijhouden van algemene weigerlijsten van klanten vindt het kabinet disproportioneel.</w:t>
            </w:r>
            <w:r w:rsidRPr="005D11CE" w:rsidR="000E3540">
              <w:rPr>
                <w:rStyle w:val="Voetnootmarkering"/>
                <w:rFonts w:eastAsiaTheme="minorEastAsia"/>
                <w:szCs w:val="18"/>
              </w:rPr>
              <w:footnoteReference w:id="3"/>
            </w:r>
          </w:p>
          <w:p w:rsidRPr="00F423BC" w:rsidR="00E7318E" w:rsidP="003E41FC" w:rsidRDefault="00E7318E" w14:paraId="5DE2D240" w14:textId="25DE2FF8">
            <w:pPr>
              <w:pStyle w:val="Lijstalinea"/>
              <w:numPr>
                <w:ilvl w:val="0"/>
                <w:numId w:val="24"/>
              </w:numPr>
              <w:spacing w:line="276" w:lineRule="auto"/>
              <w:ind w:left="360"/>
              <w:rPr>
                <w:szCs w:val="18"/>
              </w:rPr>
            </w:pPr>
            <w:r w:rsidRPr="005D11CE">
              <w:rPr>
                <w:rFonts w:eastAsiaTheme="minorEastAsia"/>
                <w:szCs w:val="18"/>
              </w:rPr>
              <w:t xml:space="preserve">Op basis van artikel 75 AMLR wordt er vanaf 2027 meer mogelijk in het kader van gegevensdeling. </w:t>
            </w:r>
          </w:p>
          <w:p w:rsidRPr="005D11CE" w:rsidR="00E97F10" w:rsidP="003E41FC" w:rsidRDefault="00E73274" w14:paraId="03EDA51C" w14:textId="1E0678F2">
            <w:pPr>
              <w:pStyle w:val="Lijstalinea"/>
              <w:numPr>
                <w:ilvl w:val="0"/>
                <w:numId w:val="24"/>
              </w:numPr>
              <w:spacing w:line="276" w:lineRule="auto"/>
              <w:ind w:left="360"/>
              <w:rPr>
                <w:szCs w:val="18"/>
              </w:rPr>
            </w:pPr>
            <w:r>
              <w:rPr>
                <w:rFonts w:eastAsiaTheme="minorEastAsia"/>
                <w:szCs w:val="18"/>
              </w:rPr>
              <w:t>Voor</w:t>
            </w:r>
            <w:r w:rsidR="00F423BC">
              <w:rPr>
                <w:rFonts w:eastAsiaTheme="minorEastAsia"/>
                <w:szCs w:val="18"/>
              </w:rPr>
              <w:t xml:space="preserve"> verstrekking </w:t>
            </w:r>
            <w:r>
              <w:rPr>
                <w:rFonts w:eastAsiaTheme="minorEastAsia"/>
                <w:szCs w:val="18"/>
              </w:rPr>
              <w:t xml:space="preserve">van </w:t>
            </w:r>
            <w:r w:rsidR="00F423BC">
              <w:rPr>
                <w:rFonts w:eastAsiaTheme="minorEastAsia"/>
                <w:szCs w:val="18"/>
              </w:rPr>
              <w:t xml:space="preserve">gegevens </w:t>
            </w:r>
            <w:r w:rsidR="00E97F10">
              <w:rPr>
                <w:rFonts w:eastAsiaTheme="minorEastAsia"/>
                <w:szCs w:val="18"/>
              </w:rPr>
              <w:t xml:space="preserve">door </w:t>
            </w:r>
            <w:r w:rsidR="00F423BC">
              <w:rPr>
                <w:rFonts w:eastAsiaTheme="minorEastAsia"/>
                <w:szCs w:val="18"/>
              </w:rPr>
              <w:t xml:space="preserve">het OM, de politie en de FIOD </w:t>
            </w:r>
            <w:r w:rsidR="00E97F10">
              <w:rPr>
                <w:rFonts w:eastAsiaTheme="minorEastAsia"/>
                <w:szCs w:val="18"/>
              </w:rPr>
              <w:t>wordt verwezen</w:t>
            </w:r>
            <w:r w:rsidR="00F423BC">
              <w:rPr>
                <w:rFonts w:eastAsiaTheme="minorEastAsia"/>
                <w:szCs w:val="18"/>
              </w:rPr>
              <w:t xml:space="preserve"> naar de beleidsreactie op het </w:t>
            </w:r>
            <w:proofErr w:type="spellStart"/>
            <w:r w:rsidR="00F423BC">
              <w:rPr>
                <w:rFonts w:eastAsiaTheme="minorEastAsia"/>
                <w:szCs w:val="18"/>
              </w:rPr>
              <w:t>Nextgen</w:t>
            </w:r>
            <w:proofErr w:type="spellEnd"/>
            <w:r w:rsidR="00F423BC">
              <w:rPr>
                <w:rFonts w:eastAsiaTheme="minorEastAsia"/>
                <w:szCs w:val="18"/>
              </w:rPr>
              <w:t xml:space="preserve"> poortwachter </w:t>
            </w:r>
            <w:proofErr w:type="spellStart"/>
            <w:r w:rsidR="00F423BC">
              <w:rPr>
                <w:rFonts w:eastAsiaTheme="minorEastAsia"/>
                <w:szCs w:val="18"/>
              </w:rPr>
              <w:t>position</w:t>
            </w:r>
            <w:proofErr w:type="spellEnd"/>
            <w:r w:rsidR="00F423BC">
              <w:rPr>
                <w:rFonts w:eastAsiaTheme="minorEastAsia"/>
                <w:szCs w:val="18"/>
              </w:rPr>
              <w:t xml:space="preserve"> paper. </w:t>
            </w:r>
          </w:p>
          <w:p w:rsidR="00222343" w:rsidP="00B97332" w:rsidRDefault="00AF1E9C" w14:paraId="4BC2920E" w14:textId="77777777">
            <w:pPr>
              <w:pStyle w:val="Lijstalinea"/>
              <w:numPr>
                <w:ilvl w:val="0"/>
                <w:numId w:val="24"/>
              </w:numPr>
              <w:spacing w:line="276" w:lineRule="auto"/>
              <w:ind w:left="360"/>
              <w:rPr>
                <w:rFonts w:eastAsiaTheme="minorEastAsia"/>
                <w:szCs w:val="18"/>
              </w:rPr>
            </w:pPr>
            <w:r w:rsidRPr="00B97332">
              <w:rPr>
                <w:rFonts w:eastAsiaTheme="minorEastAsia"/>
                <w:szCs w:val="18"/>
              </w:rPr>
              <w:t>Er worden met betrekking tot notarissen met BFT en KNB gesprekken gevoerd over de mogelijkheden om binnen de huidige juridische kaders gegevensdeling toe te passen in aanloop naar de inwerkingtreding van AMLR.</w:t>
            </w:r>
          </w:p>
          <w:p w:rsidRPr="00B97332" w:rsidR="00B808C6" w:rsidP="00B808C6" w:rsidRDefault="00B808C6" w14:paraId="586799C5" w14:textId="30B2F073">
            <w:pPr>
              <w:pStyle w:val="Lijstalinea"/>
              <w:spacing w:line="276" w:lineRule="auto"/>
              <w:ind w:left="360"/>
              <w:rPr>
                <w:rFonts w:eastAsiaTheme="minorEastAsia"/>
                <w:szCs w:val="18"/>
              </w:rPr>
            </w:pPr>
          </w:p>
        </w:tc>
      </w:tr>
      <w:tr w:rsidRPr="005D11CE" w:rsidR="005D11CE" w:rsidTr="00291B7D" w14:paraId="1AACB3DD" w14:textId="77777777">
        <w:tc>
          <w:tcPr>
            <w:tcW w:w="2689" w:type="dxa"/>
          </w:tcPr>
          <w:p w:rsidRPr="005D11CE" w:rsidR="00222343" w:rsidP="003E41FC" w:rsidRDefault="00291B7D" w14:paraId="6FF74678" w14:textId="5760735C">
            <w:pPr>
              <w:spacing w:line="276" w:lineRule="auto"/>
              <w:rPr>
                <w:szCs w:val="18"/>
              </w:rPr>
            </w:pPr>
            <w:r>
              <w:rPr>
                <w:szCs w:val="18"/>
              </w:rPr>
              <w:t>Ontwikkel gezamenlijke voorzieningen die zich richten op verschillende processen zoals transactiemonitoring, sanctiescreening of (aspecten van) het CDD-proces.</w:t>
            </w:r>
          </w:p>
          <w:p w:rsidRPr="005D11CE" w:rsidR="00222343" w:rsidP="003E41FC" w:rsidRDefault="00222343" w14:paraId="5006AA08" w14:textId="486A61EE">
            <w:pPr>
              <w:spacing w:line="276" w:lineRule="auto"/>
              <w:rPr>
                <w:b/>
                <w:bCs/>
                <w:szCs w:val="18"/>
              </w:rPr>
            </w:pPr>
          </w:p>
        </w:tc>
        <w:tc>
          <w:tcPr>
            <w:tcW w:w="6328" w:type="dxa"/>
          </w:tcPr>
          <w:p w:rsidRPr="005D11CE" w:rsidR="00222343" w:rsidP="003E41FC" w:rsidRDefault="00E93DCE" w14:paraId="1E915032" w14:textId="17933755">
            <w:pPr>
              <w:pStyle w:val="Lijstalinea"/>
              <w:numPr>
                <w:ilvl w:val="0"/>
                <w:numId w:val="23"/>
              </w:numPr>
              <w:spacing w:line="276" w:lineRule="auto"/>
              <w:ind w:left="360"/>
              <w:rPr>
                <w:szCs w:val="18"/>
              </w:rPr>
            </w:pPr>
            <w:r>
              <w:rPr>
                <w:rFonts w:eastAsiaTheme="minorEastAsia"/>
                <w:szCs w:val="18"/>
              </w:rPr>
              <w:t xml:space="preserve">Het AML-pakket versterkt de mogelijkheden tot informatiedeling. </w:t>
            </w:r>
            <w:r w:rsidR="00710E7F">
              <w:rPr>
                <w:rFonts w:eastAsiaTheme="minorEastAsia"/>
                <w:szCs w:val="18"/>
              </w:rPr>
              <w:t>B</w:t>
            </w:r>
            <w:r>
              <w:rPr>
                <w:rFonts w:eastAsiaTheme="minorEastAsia"/>
                <w:szCs w:val="18"/>
              </w:rPr>
              <w:t xml:space="preserve">etere gegevensdeling kan leiden tot meer efficiëntie voor poortwachters en hun klanten. </w:t>
            </w:r>
            <w:r w:rsidRPr="005D11CE" w:rsidR="2425FF3E">
              <w:rPr>
                <w:rFonts w:eastAsiaTheme="minorEastAsia"/>
                <w:szCs w:val="18"/>
              </w:rPr>
              <w:t xml:space="preserve">Op EU-niveau </w:t>
            </w:r>
            <w:r w:rsidR="00A15396">
              <w:rPr>
                <w:rFonts w:eastAsiaTheme="minorEastAsia"/>
                <w:szCs w:val="18"/>
              </w:rPr>
              <w:t>ne</w:t>
            </w:r>
            <w:r>
              <w:rPr>
                <w:rFonts w:eastAsiaTheme="minorEastAsia"/>
                <w:szCs w:val="18"/>
              </w:rPr>
              <w:t>men we</w:t>
            </w:r>
            <w:r w:rsidRPr="005D11CE" w:rsidR="2425FF3E">
              <w:rPr>
                <w:rFonts w:eastAsiaTheme="minorEastAsia"/>
                <w:szCs w:val="18"/>
              </w:rPr>
              <w:t xml:space="preserve"> een voortrekkersrol.</w:t>
            </w:r>
          </w:p>
          <w:p w:rsidRPr="005D11CE" w:rsidR="00222343" w:rsidP="003E41FC" w:rsidRDefault="43A62C42" w14:paraId="3E356901" w14:textId="05BE6597">
            <w:pPr>
              <w:pStyle w:val="Lijstalinea"/>
              <w:numPr>
                <w:ilvl w:val="0"/>
                <w:numId w:val="23"/>
              </w:numPr>
              <w:spacing w:line="276" w:lineRule="auto"/>
              <w:ind w:left="360"/>
              <w:rPr>
                <w:szCs w:val="18"/>
              </w:rPr>
            </w:pPr>
            <w:r w:rsidRPr="005D11CE">
              <w:rPr>
                <w:rFonts w:eastAsiaTheme="minorEastAsia"/>
                <w:szCs w:val="18"/>
              </w:rPr>
              <w:t xml:space="preserve">Dat betekent dat </w:t>
            </w:r>
            <w:r w:rsidR="00E93DCE">
              <w:rPr>
                <w:rFonts w:eastAsiaTheme="minorEastAsia"/>
                <w:szCs w:val="18"/>
              </w:rPr>
              <w:t>we</w:t>
            </w:r>
            <w:r w:rsidRPr="005D11CE">
              <w:rPr>
                <w:rFonts w:eastAsiaTheme="minorEastAsia"/>
                <w:szCs w:val="18"/>
              </w:rPr>
              <w:t xml:space="preserve">:   </w:t>
            </w:r>
          </w:p>
          <w:p w:rsidR="00103276" w:rsidP="003E41FC" w:rsidRDefault="00103276" w14:paraId="3FF9A255" w14:textId="395DE23B">
            <w:pPr>
              <w:pStyle w:val="Lijstalinea"/>
              <w:numPr>
                <w:ilvl w:val="0"/>
                <w:numId w:val="22"/>
              </w:numPr>
              <w:spacing w:line="276" w:lineRule="auto"/>
              <w:rPr>
                <w:szCs w:val="18"/>
              </w:rPr>
            </w:pPr>
            <w:r>
              <w:rPr>
                <w:szCs w:val="18"/>
              </w:rPr>
              <w:t>Inzet</w:t>
            </w:r>
            <w:r w:rsidR="00E93DCE">
              <w:rPr>
                <w:szCs w:val="18"/>
              </w:rPr>
              <w:t>ten</w:t>
            </w:r>
            <w:r>
              <w:rPr>
                <w:szCs w:val="18"/>
              </w:rPr>
              <w:t xml:space="preserve"> op een internationale pilot;</w:t>
            </w:r>
          </w:p>
          <w:p w:rsidR="00E72BD3" w:rsidP="003E41FC" w:rsidRDefault="00E72BD3" w14:paraId="79BD79BF" w14:textId="795A8E56">
            <w:pPr>
              <w:pStyle w:val="Lijstalinea"/>
              <w:numPr>
                <w:ilvl w:val="0"/>
                <w:numId w:val="22"/>
              </w:numPr>
              <w:spacing w:line="276" w:lineRule="auto"/>
              <w:rPr>
                <w:szCs w:val="18"/>
              </w:rPr>
            </w:pPr>
            <w:r>
              <w:rPr>
                <w:szCs w:val="18"/>
              </w:rPr>
              <w:t xml:space="preserve">Banken </w:t>
            </w:r>
            <w:r w:rsidR="00E97F10">
              <w:rPr>
                <w:szCs w:val="18"/>
              </w:rPr>
              <w:t>laten aan</w:t>
            </w:r>
            <w:r>
              <w:rPr>
                <w:szCs w:val="18"/>
              </w:rPr>
              <w:t>sluiten op de Basisregistratie Persoonsgegevens (BRP);</w:t>
            </w:r>
          </w:p>
          <w:p w:rsidR="00E72BD3" w:rsidP="003E41FC" w:rsidRDefault="00E72BD3" w14:paraId="4DB89FC9" w14:textId="7E576C40">
            <w:pPr>
              <w:pStyle w:val="Lijstalinea"/>
              <w:numPr>
                <w:ilvl w:val="0"/>
                <w:numId w:val="22"/>
              </w:numPr>
              <w:spacing w:line="276" w:lineRule="auto"/>
              <w:rPr>
                <w:szCs w:val="18"/>
              </w:rPr>
            </w:pPr>
            <w:r>
              <w:rPr>
                <w:szCs w:val="18"/>
              </w:rPr>
              <w:t xml:space="preserve">Initiatieven om digitale ID-bewijzen en </w:t>
            </w:r>
            <w:proofErr w:type="spellStart"/>
            <w:r>
              <w:rPr>
                <w:szCs w:val="18"/>
              </w:rPr>
              <w:t>eID-wallets</w:t>
            </w:r>
            <w:proofErr w:type="spellEnd"/>
            <w:r>
              <w:rPr>
                <w:szCs w:val="18"/>
              </w:rPr>
              <w:t xml:space="preserve"> in te zetten bij klantonderzoeken </w:t>
            </w:r>
            <w:r w:rsidR="00A84CE8">
              <w:rPr>
                <w:szCs w:val="18"/>
              </w:rPr>
              <w:t>stimuleren</w:t>
            </w:r>
            <w:r>
              <w:rPr>
                <w:szCs w:val="18"/>
              </w:rPr>
              <w:t>;</w:t>
            </w:r>
          </w:p>
          <w:p w:rsidRPr="005D11CE" w:rsidR="00E16BDD" w:rsidP="003E41FC" w:rsidRDefault="00E16BDD" w14:paraId="350EABAE" w14:textId="2637C5B7">
            <w:pPr>
              <w:pStyle w:val="Lijstalinea"/>
              <w:numPr>
                <w:ilvl w:val="0"/>
                <w:numId w:val="22"/>
              </w:numPr>
              <w:spacing w:line="276" w:lineRule="auto"/>
              <w:rPr>
                <w:szCs w:val="18"/>
              </w:rPr>
            </w:pPr>
            <w:r w:rsidRPr="005D11CE">
              <w:rPr>
                <w:rFonts w:eastAsiaTheme="minorEastAsia"/>
                <w:szCs w:val="18"/>
              </w:rPr>
              <w:t xml:space="preserve">Actief </w:t>
            </w:r>
            <w:r w:rsidR="00E97F10">
              <w:rPr>
                <w:rFonts w:eastAsiaTheme="minorEastAsia"/>
                <w:szCs w:val="18"/>
              </w:rPr>
              <w:t>bijdragen</w:t>
            </w:r>
            <w:r w:rsidRPr="005D11CE" w:rsidR="00E97F10">
              <w:rPr>
                <w:rFonts w:eastAsiaTheme="minorEastAsia"/>
                <w:szCs w:val="18"/>
              </w:rPr>
              <w:t xml:space="preserve"> </w:t>
            </w:r>
            <w:r w:rsidRPr="005D11CE">
              <w:rPr>
                <w:rFonts w:eastAsiaTheme="minorEastAsia"/>
                <w:szCs w:val="18"/>
              </w:rPr>
              <w:t xml:space="preserve">aan uniforme uitleg op Europees niveau; </w:t>
            </w:r>
          </w:p>
          <w:p w:rsidRPr="005D11CE" w:rsidR="00222343" w:rsidP="003E41FC" w:rsidRDefault="00710E7F" w14:paraId="066138CB" w14:textId="1F05E193">
            <w:pPr>
              <w:pStyle w:val="Lijstalinea"/>
              <w:numPr>
                <w:ilvl w:val="0"/>
                <w:numId w:val="22"/>
              </w:numPr>
              <w:spacing w:line="276" w:lineRule="auto"/>
              <w:rPr>
                <w:szCs w:val="18"/>
              </w:rPr>
            </w:pPr>
            <w:r>
              <w:rPr>
                <w:rFonts w:eastAsiaTheme="minorEastAsia"/>
                <w:szCs w:val="18"/>
              </w:rPr>
              <w:t>Aanvullende i</w:t>
            </w:r>
            <w:r w:rsidR="00E72BD3">
              <w:rPr>
                <w:rFonts w:eastAsiaTheme="minorEastAsia"/>
                <w:szCs w:val="18"/>
              </w:rPr>
              <w:t>nitiatieven</w:t>
            </w:r>
            <w:r>
              <w:rPr>
                <w:rFonts w:eastAsiaTheme="minorEastAsia"/>
                <w:szCs w:val="18"/>
              </w:rPr>
              <w:t xml:space="preserve"> van poortwachters en toezichthouders</w:t>
            </w:r>
            <w:r w:rsidR="00E72BD3">
              <w:rPr>
                <w:rFonts w:eastAsiaTheme="minorEastAsia"/>
                <w:szCs w:val="18"/>
              </w:rPr>
              <w:t xml:space="preserve"> steunen om gegevensdeling te verbeteren, zowel tussen poortwachters als tussen poortwachters en opsporingsdiensten;</w:t>
            </w:r>
          </w:p>
          <w:p w:rsidRPr="005D11CE" w:rsidR="001C1881" w:rsidP="00D964FB" w:rsidRDefault="00806FCE" w14:paraId="2AB5C754" w14:textId="2D8E1FAB">
            <w:pPr>
              <w:pStyle w:val="Lijstalinea"/>
              <w:numPr>
                <w:ilvl w:val="0"/>
                <w:numId w:val="22"/>
              </w:numPr>
              <w:spacing w:line="276" w:lineRule="auto"/>
              <w:rPr>
                <w:szCs w:val="18"/>
              </w:rPr>
            </w:pPr>
            <w:r w:rsidRPr="005D11CE">
              <w:rPr>
                <w:rFonts w:eastAsiaTheme="minorEastAsia"/>
                <w:szCs w:val="18"/>
              </w:rPr>
              <w:t xml:space="preserve">Het gebruik </w:t>
            </w:r>
            <w:r w:rsidR="00E97F10">
              <w:rPr>
                <w:rFonts w:eastAsiaTheme="minorEastAsia"/>
                <w:szCs w:val="18"/>
              </w:rPr>
              <w:t xml:space="preserve">stimuleren </w:t>
            </w:r>
            <w:r w:rsidRPr="005D11CE">
              <w:rPr>
                <w:rFonts w:eastAsiaTheme="minorEastAsia"/>
                <w:szCs w:val="18"/>
              </w:rPr>
              <w:t xml:space="preserve">van </w:t>
            </w:r>
            <w:r w:rsidRPr="005D11CE" w:rsidR="43A62C42">
              <w:rPr>
                <w:rFonts w:eastAsiaTheme="minorEastAsia"/>
                <w:szCs w:val="18"/>
              </w:rPr>
              <w:t>nieuwe technologieën die gegevensbescherming ten goede komen.</w:t>
            </w:r>
          </w:p>
        </w:tc>
      </w:tr>
    </w:tbl>
    <w:p w:rsidR="00222343" w:rsidP="003E41FC" w:rsidRDefault="00222343" w14:paraId="7B4B6301" w14:textId="77777777">
      <w:pPr>
        <w:spacing w:line="276" w:lineRule="auto"/>
        <w:rPr>
          <w:b/>
          <w:bCs/>
          <w:szCs w:val="18"/>
        </w:rPr>
      </w:pPr>
    </w:p>
    <w:p w:rsidR="00F25D29" w:rsidP="003E41FC" w:rsidRDefault="00F25D29" w14:paraId="5C8FD763" w14:textId="77777777">
      <w:pPr>
        <w:spacing w:line="276" w:lineRule="auto"/>
        <w:rPr>
          <w:b/>
          <w:bCs/>
          <w:szCs w:val="18"/>
        </w:rPr>
      </w:pPr>
    </w:p>
    <w:p w:rsidRPr="005D11CE" w:rsidR="00F25D29" w:rsidP="003E41FC" w:rsidRDefault="00F25D29" w14:paraId="09CF0068" w14:textId="77777777">
      <w:pPr>
        <w:spacing w:line="276" w:lineRule="auto"/>
        <w:rPr>
          <w:b/>
          <w:bCs/>
          <w:szCs w:val="18"/>
        </w:rPr>
      </w:pPr>
    </w:p>
    <w:p w:rsidRPr="005D11CE" w:rsidR="00222343" w:rsidP="003E41FC" w:rsidRDefault="0F823621" w14:paraId="690D7841" w14:textId="2352414B">
      <w:pPr>
        <w:pStyle w:val="Lijstalinea"/>
        <w:numPr>
          <w:ilvl w:val="0"/>
          <w:numId w:val="8"/>
        </w:numPr>
        <w:spacing w:line="276" w:lineRule="auto"/>
        <w:rPr>
          <w:b/>
          <w:bCs/>
          <w:szCs w:val="18"/>
        </w:rPr>
      </w:pPr>
      <w:r w:rsidRPr="005D11CE">
        <w:rPr>
          <w:b/>
          <w:bCs/>
          <w:szCs w:val="18"/>
        </w:rPr>
        <w:t>Poortwachters en overheid</w:t>
      </w:r>
    </w:p>
    <w:tbl>
      <w:tblPr>
        <w:tblStyle w:val="Tabelraster"/>
        <w:tblW w:w="9017" w:type="dxa"/>
        <w:tblLook w:val="04A0" w:firstRow="1" w:lastRow="0" w:firstColumn="1" w:lastColumn="0" w:noHBand="0" w:noVBand="1"/>
      </w:tblPr>
      <w:tblGrid>
        <w:gridCol w:w="2689"/>
        <w:gridCol w:w="6328"/>
      </w:tblGrid>
      <w:tr w:rsidRPr="005D11CE" w:rsidR="005D11CE" w:rsidTr="00291B7D" w14:paraId="33931A0B" w14:textId="77777777">
        <w:tc>
          <w:tcPr>
            <w:tcW w:w="2689" w:type="dxa"/>
          </w:tcPr>
          <w:p w:rsidRPr="005D11CE" w:rsidR="00222343" w:rsidP="003E41FC" w:rsidRDefault="00291B7D" w14:paraId="6311F021" w14:textId="025A3485">
            <w:pPr>
              <w:spacing w:line="276" w:lineRule="auto"/>
              <w:rPr>
                <w:szCs w:val="18"/>
              </w:rPr>
            </w:pPr>
            <w:r>
              <w:rPr>
                <w:szCs w:val="18"/>
              </w:rPr>
              <w:t>Versterking en uitbreiding van structurele</w:t>
            </w:r>
            <w:r w:rsidRPr="005D11CE" w:rsidR="0F823621">
              <w:rPr>
                <w:szCs w:val="18"/>
              </w:rPr>
              <w:t xml:space="preserve"> publiek-private samenwerking</w:t>
            </w:r>
            <w:r>
              <w:rPr>
                <w:szCs w:val="18"/>
              </w:rPr>
              <w:t>.</w:t>
            </w:r>
          </w:p>
          <w:p w:rsidRPr="005D11CE" w:rsidR="00222343" w:rsidP="003E41FC" w:rsidRDefault="00222343" w14:paraId="37592621" w14:textId="148121B4">
            <w:pPr>
              <w:spacing w:line="276" w:lineRule="auto"/>
              <w:rPr>
                <w:b/>
                <w:bCs/>
                <w:szCs w:val="18"/>
              </w:rPr>
            </w:pPr>
          </w:p>
        </w:tc>
        <w:tc>
          <w:tcPr>
            <w:tcW w:w="6328" w:type="dxa"/>
          </w:tcPr>
          <w:p w:rsidRPr="00B808C6" w:rsidR="005D11CE" w:rsidP="00D964FB" w:rsidRDefault="0F823621" w14:paraId="35BFF14A" w14:textId="77777777">
            <w:pPr>
              <w:pStyle w:val="Lijstalinea"/>
              <w:numPr>
                <w:ilvl w:val="0"/>
                <w:numId w:val="12"/>
              </w:numPr>
              <w:spacing w:line="276" w:lineRule="auto"/>
              <w:rPr>
                <w:szCs w:val="18"/>
              </w:rPr>
            </w:pPr>
            <w:r w:rsidRPr="005D11CE">
              <w:rPr>
                <w:rFonts w:eastAsiaTheme="minorEastAsia"/>
                <w:szCs w:val="18"/>
              </w:rPr>
              <w:t>Publiek-private samenwerking is</w:t>
            </w:r>
            <w:r w:rsidRPr="005D11CE" w:rsidR="00797AED">
              <w:rPr>
                <w:rFonts w:eastAsiaTheme="minorEastAsia"/>
                <w:szCs w:val="18"/>
              </w:rPr>
              <w:t xml:space="preserve"> belangrijk voor</w:t>
            </w:r>
            <w:r w:rsidRPr="005D11CE">
              <w:rPr>
                <w:rFonts w:eastAsiaTheme="minorEastAsia"/>
                <w:szCs w:val="18"/>
              </w:rPr>
              <w:t xml:space="preserve"> een effectieve anti-witwasaanpak. Op dit moment krijgt publiek-private samenwerking invulling door een aantal concrete samenwerkingsverbanden, zoals </w:t>
            </w:r>
            <w:r w:rsidRPr="005D11CE" w:rsidR="00797AED">
              <w:rPr>
                <w:rFonts w:eastAsiaTheme="minorEastAsia"/>
                <w:szCs w:val="18"/>
              </w:rPr>
              <w:t xml:space="preserve">het </w:t>
            </w:r>
            <w:r w:rsidRPr="005D11CE">
              <w:rPr>
                <w:rFonts w:eastAsiaTheme="minorEastAsia"/>
                <w:szCs w:val="18"/>
              </w:rPr>
              <w:t>FEC</w:t>
            </w:r>
            <w:r w:rsidRPr="005D11CE" w:rsidR="00797AED">
              <w:rPr>
                <w:rStyle w:val="Voetnootmarkering"/>
                <w:rFonts w:eastAsiaTheme="minorEastAsia"/>
                <w:szCs w:val="18"/>
              </w:rPr>
              <w:footnoteReference w:id="4"/>
            </w:r>
            <w:r w:rsidRPr="005D11CE">
              <w:rPr>
                <w:rFonts w:eastAsiaTheme="minorEastAsia"/>
                <w:szCs w:val="18"/>
              </w:rPr>
              <w:t xml:space="preserve"> en </w:t>
            </w:r>
            <w:r w:rsidRPr="005D11CE" w:rsidR="00797AED">
              <w:rPr>
                <w:rFonts w:eastAsiaTheme="minorEastAsia"/>
                <w:szCs w:val="18"/>
              </w:rPr>
              <w:t xml:space="preserve">in de </w:t>
            </w:r>
            <w:proofErr w:type="spellStart"/>
            <w:r w:rsidRPr="005D11CE">
              <w:rPr>
                <w:rFonts w:eastAsiaTheme="minorEastAsia"/>
                <w:szCs w:val="18"/>
              </w:rPr>
              <w:t>FinTell</w:t>
            </w:r>
            <w:proofErr w:type="spellEnd"/>
            <w:r w:rsidRPr="005D11CE">
              <w:rPr>
                <w:rFonts w:eastAsiaTheme="minorEastAsia"/>
                <w:szCs w:val="18"/>
              </w:rPr>
              <w:t xml:space="preserve"> </w:t>
            </w:r>
            <w:proofErr w:type="spellStart"/>
            <w:r w:rsidRPr="005D11CE">
              <w:rPr>
                <w:rFonts w:eastAsiaTheme="minorEastAsia"/>
                <w:szCs w:val="18"/>
              </w:rPr>
              <w:t>alliance</w:t>
            </w:r>
            <w:proofErr w:type="spellEnd"/>
            <w:r w:rsidRPr="005D11CE" w:rsidR="00797AED">
              <w:rPr>
                <w:rStyle w:val="Voetnootmarkering"/>
                <w:rFonts w:eastAsiaTheme="minorEastAsia"/>
                <w:szCs w:val="18"/>
              </w:rPr>
              <w:footnoteReference w:id="5"/>
            </w:r>
            <w:r w:rsidRPr="005D11CE">
              <w:rPr>
                <w:rFonts w:eastAsiaTheme="minorEastAsia"/>
                <w:szCs w:val="18"/>
              </w:rPr>
              <w:t>.</w:t>
            </w:r>
            <w:r w:rsidRPr="005D11CE" w:rsidR="00F06E1F">
              <w:rPr>
                <w:rFonts w:eastAsiaTheme="minorEastAsia"/>
                <w:szCs w:val="18"/>
              </w:rPr>
              <w:t xml:space="preserve"> De impact van het </w:t>
            </w:r>
            <w:r w:rsidRPr="005D11CE" w:rsidR="00E73274">
              <w:rPr>
                <w:rFonts w:eastAsiaTheme="minorEastAsia"/>
                <w:szCs w:val="18"/>
              </w:rPr>
              <w:t>AML-pakket</w:t>
            </w:r>
            <w:r w:rsidRPr="005D11CE" w:rsidR="00F06E1F">
              <w:rPr>
                <w:rFonts w:eastAsiaTheme="minorEastAsia"/>
                <w:szCs w:val="18"/>
              </w:rPr>
              <w:t xml:space="preserve"> op het FEC zal worden onderzocht.</w:t>
            </w:r>
            <w:r w:rsidRPr="005D11CE" w:rsidR="00806FCE">
              <w:rPr>
                <w:rFonts w:eastAsiaTheme="minorEastAsia"/>
                <w:szCs w:val="18"/>
              </w:rPr>
              <w:t xml:space="preserve"> </w:t>
            </w:r>
          </w:p>
          <w:p w:rsidRPr="005D11CE" w:rsidR="00B808C6" w:rsidP="00B808C6" w:rsidRDefault="00B808C6" w14:paraId="72189182" w14:textId="4061B47E">
            <w:pPr>
              <w:pStyle w:val="Lijstalinea"/>
              <w:spacing w:line="276" w:lineRule="auto"/>
              <w:ind w:left="360"/>
              <w:rPr>
                <w:szCs w:val="18"/>
              </w:rPr>
            </w:pPr>
          </w:p>
        </w:tc>
      </w:tr>
      <w:tr w:rsidRPr="005D11CE" w:rsidR="005D11CE" w:rsidTr="00291B7D" w14:paraId="10275BDD" w14:textId="77777777">
        <w:tc>
          <w:tcPr>
            <w:tcW w:w="2689" w:type="dxa"/>
          </w:tcPr>
          <w:p w:rsidRPr="005D11CE" w:rsidR="00222343" w:rsidP="003E41FC" w:rsidRDefault="00536272" w14:paraId="2D5AEE8A" w14:textId="2B88D1F4">
            <w:pPr>
              <w:spacing w:line="276" w:lineRule="auto"/>
              <w:rPr>
                <w:szCs w:val="18"/>
              </w:rPr>
            </w:pPr>
            <w:r>
              <w:rPr>
                <w:szCs w:val="18"/>
              </w:rPr>
              <w:t>Toewerken naar het g</w:t>
            </w:r>
            <w:r w:rsidRPr="005D11CE" w:rsidR="0F823621">
              <w:rPr>
                <w:szCs w:val="18"/>
              </w:rPr>
              <w:t xml:space="preserve">ebruik </w:t>
            </w:r>
            <w:r>
              <w:rPr>
                <w:szCs w:val="18"/>
              </w:rPr>
              <w:t>digitale authenticatiemiddelen</w:t>
            </w:r>
            <w:r w:rsidRPr="005D11CE" w:rsidR="0F823621">
              <w:rPr>
                <w:szCs w:val="18"/>
              </w:rPr>
              <w:t xml:space="preserve"> in context van cliëntonderzoek</w:t>
            </w:r>
            <w:r w:rsidR="00291B7D">
              <w:rPr>
                <w:szCs w:val="18"/>
              </w:rPr>
              <w:t>.</w:t>
            </w:r>
          </w:p>
          <w:p w:rsidRPr="005D11CE" w:rsidR="00222343" w:rsidP="003E41FC" w:rsidRDefault="00222343" w14:paraId="147DF61B" w14:textId="77777777">
            <w:pPr>
              <w:spacing w:line="276" w:lineRule="auto"/>
              <w:rPr>
                <w:szCs w:val="18"/>
              </w:rPr>
            </w:pPr>
          </w:p>
        </w:tc>
        <w:tc>
          <w:tcPr>
            <w:tcW w:w="6328" w:type="dxa"/>
          </w:tcPr>
          <w:p w:rsidRPr="005D11CE" w:rsidR="001C1881" w:rsidP="00D964FB" w:rsidRDefault="00103276" w14:paraId="3F5738B5" w14:textId="7F5629A6">
            <w:pPr>
              <w:pStyle w:val="Lijstalinea"/>
              <w:numPr>
                <w:ilvl w:val="0"/>
                <w:numId w:val="21"/>
              </w:numPr>
              <w:spacing w:line="276" w:lineRule="auto"/>
              <w:rPr>
                <w:rFonts w:eastAsiaTheme="minorEastAsia"/>
                <w:szCs w:val="18"/>
              </w:rPr>
            </w:pPr>
            <w:r>
              <w:rPr>
                <w:rFonts w:eastAsiaTheme="minorEastAsia"/>
                <w:szCs w:val="18"/>
              </w:rPr>
              <w:t>Het kabinet draagt</w:t>
            </w:r>
            <w:r w:rsidRPr="005D11CE" w:rsidR="006A75D0">
              <w:rPr>
                <w:rFonts w:eastAsiaTheme="minorEastAsia"/>
                <w:szCs w:val="18"/>
              </w:rPr>
              <w:t xml:space="preserve"> actief bij aan de ontwikkeling van een brede </w:t>
            </w:r>
            <w:r w:rsidR="00E72BD3">
              <w:rPr>
                <w:rFonts w:eastAsiaTheme="minorEastAsia"/>
                <w:szCs w:val="18"/>
              </w:rPr>
              <w:t>toepassing</w:t>
            </w:r>
            <w:r w:rsidRPr="005D11CE" w:rsidR="006A75D0">
              <w:rPr>
                <w:rFonts w:eastAsiaTheme="minorEastAsia"/>
                <w:szCs w:val="18"/>
              </w:rPr>
              <w:t xml:space="preserve"> </w:t>
            </w:r>
            <w:r w:rsidR="00E97F10">
              <w:rPr>
                <w:rFonts w:eastAsiaTheme="minorEastAsia"/>
                <w:szCs w:val="18"/>
              </w:rPr>
              <w:t>van</w:t>
            </w:r>
            <w:r w:rsidRPr="005D11CE" w:rsidR="00E97F10">
              <w:rPr>
                <w:rFonts w:eastAsiaTheme="minorEastAsia"/>
                <w:szCs w:val="18"/>
              </w:rPr>
              <w:t xml:space="preserve"> </w:t>
            </w:r>
            <w:r w:rsidRPr="005D11CE" w:rsidR="006A75D0">
              <w:rPr>
                <w:rFonts w:eastAsiaTheme="minorEastAsia"/>
                <w:szCs w:val="18"/>
              </w:rPr>
              <w:t xml:space="preserve">het gebruik van </w:t>
            </w:r>
            <w:proofErr w:type="spellStart"/>
            <w:r w:rsidRPr="00DC0844">
              <w:rPr>
                <w:rFonts w:eastAsiaTheme="minorEastAsia"/>
                <w:i/>
                <w:iCs/>
                <w:szCs w:val="18"/>
              </w:rPr>
              <w:t>eID</w:t>
            </w:r>
            <w:r w:rsidRPr="00DC0844" w:rsidR="006A75D0">
              <w:rPr>
                <w:rFonts w:eastAsiaTheme="minorEastAsia"/>
                <w:i/>
                <w:iCs/>
                <w:szCs w:val="18"/>
              </w:rPr>
              <w:t>-wallets</w:t>
            </w:r>
            <w:proofErr w:type="spellEnd"/>
            <w:r w:rsidRPr="005D11CE" w:rsidR="006A75D0">
              <w:rPr>
                <w:rFonts w:eastAsiaTheme="minorEastAsia"/>
                <w:szCs w:val="18"/>
              </w:rPr>
              <w:t xml:space="preserve"> bij cliëntenonderzoek op EU-niveau. Daarnaast gaan we op nationaal niveau met de sector werken aan een nationale </w:t>
            </w:r>
            <w:proofErr w:type="spellStart"/>
            <w:r w:rsidRPr="00DC0844">
              <w:rPr>
                <w:rFonts w:eastAsiaTheme="minorEastAsia"/>
                <w:i/>
                <w:iCs/>
                <w:szCs w:val="18"/>
              </w:rPr>
              <w:t>eID</w:t>
            </w:r>
            <w:proofErr w:type="spellEnd"/>
            <w:r w:rsidRPr="00DC0844" w:rsidR="006A75D0">
              <w:rPr>
                <w:rFonts w:eastAsiaTheme="minorEastAsia"/>
                <w:i/>
                <w:iCs/>
                <w:szCs w:val="18"/>
              </w:rPr>
              <w:t>-wallet</w:t>
            </w:r>
            <w:r w:rsidRPr="005D11CE" w:rsidR="006A75D0">
              <w:rPr>
                <w:rFonts w:eastAsiaTheme="minorEastAsia"/>
                <w:szCs w:val="18"/>
              </w:rPr>
              <w:t xml:space="preserve"> toepassing die poortwachters ondersteunt bij klantonderzoek in het kader van witwassen </w:t>
            </w:r>
            <w:r>
              <w:rPr>
                <w:rFonts w:eastAsiaTheme="minorEastAsia"/>
                <w:szCs w:val="18"/>
              </w:rPr>
              <w:t>om de lasten voor klanten te verminderen</w:t>
            </w:r>
            <w:r w:rsidRPr="005D11CE" w:rsidR="006A75D0">
              <w:rPr>
                <w:rFonts w:eastAsiaTheme="minorEastAsia"/>
                <w:szCs w:val="18"/>
              </w:rPr>
              <w:t xml:space="preserve">. </w:t>
            </w:r>
          </w:p>
        </w:tc>
      </w:tr>
    </w:tbl>
    <w:p w:rsidRPr="005D11CE" w:rsidR="005D11CE" w:rsidP="003E41FC" w:rsidRDefault="005D11CE" w14:paraId="69101037" w14:textId="77777777">
      <w:pPr>
        <w:spacing w:line="276" w:lineRule="auto"/>
        <w:rPr>
          <w:b/>
          <w:bCs/>
          <w:szCs w:val="18"/>
        </w:rPr>
      </w:pPr>
    </w:p>
    <w:p w:rsidR="005D11CE" w:rsidP="003E41FC" w:rsidRDefault="0F823621" w14:paraId="7242AEDB" w14:textId="1980B17E">
      <w:pPr>
        <w:pStyle w:val="Lijstalinea"/>
        <w:numPr>
          <w:ilvl w:val="0"/>
          <w:numId w:val="8"/>
        </w:numPr>
        <w:spacing w:line="276" w:lineRule="auto"/>
        <w:rPr>
          <w:b/>
          <w:bCs/>
          <w:szCs w:val="18"/>
        </w:rPr>
      </w:pPr>
      <w:r w:rsidRPr="005D11CE">
        <w:rPr>
          <w:b/>
          <w:bCs/>
          <w:szCs w:val="18"/>
        </w:rPr>
        <w:t>Overheid</w:t>
      </w:r>
    </w:p>
    <w:p w:rsidRPr="005D11CE" w:rsidR="005D11CE" w:rsidP="003E41FC" w:rsidRDefault="005D11CE" w14:paraId="4208AD83" w14:textId="77777777">
      <w:pPr>
        <w:pStyle w:val="Lijstalinea"/>
        <w:spacing w:line="276" w:lineRule="auto"/>
        <w:rPr>
          <w:b/>
          <w:bCs/>
          <w:szCs w:val="18"/>
        </w:rPr>
      </w:pPr>
    </w:p>
    <w:tbl>
      <w:tblPr>
        <w:tblStyle w:val="Tabelraster"/>
        <w:tblW w:w="9017" w:type="dxa"/>
        <w:tblLayout w:type="fixed"/>
        <w:tblLook w:val="04A0" w:firstRow="1" w:lastRow="0" w:firstColumn="1" w:lastColumn="0" w:noHBand="0" w:noVBand="1"/>
      </w:tblPr>
      <w:tblGrid>
        <w:gridCol w:w="2689"/>
        <w:gridCol w:w="6328"/>
      </w:tblGrid>
      <w:tr w:rsidRPr="005D11CE" w:rsidR="005D11CE" w:rsidTr="00981526" w14:paraId="6DF438F7" w14:textId="77777777">
        <w:tc>
          <w:tcPr>
            <w:tcW w:w="9017" w:type="dxa"/>
            <w:gridSpan w:val="2"/>
          </w:tcPr>
          <w:p w:rsidRPr="005D11CE" w:rsidR="002F3863" w:rsidP="003E41FC" w:rsidRDefault="002F3863" w14:paraId="0E2A612C" w14:textId="13D0B259">
            <w:pPr>
              <w:pStyle w:val="Lijstalinea"/>
              <w:spacing w:line="276" w:lineRule="auto"/>
              <w:rPr>
                <w:rFonts w:eastAsiaTheme="minorEastAsia"/>
                <w:szCs w:val="18"/>
              </w:rPr>
            </w:pPr>
            <w:r w:rsidRPr="005D11CE">
              <w:rPr>
                <w:rFonts w:eastAsiaTheme="minorEastAsia"/>
                <w:b/>
                <w:bCs/>
                <w:szCs w:val="18"/>
              </w:rPr>
              <w:t>Betrouwbare publieke registers en adequate ontsluiting naar poortwachters</w:t>
            </w:r>
          </w:p>
        </w:tc>
      </w:tr>
      <w:tr w:rsidRPr="005D11CE" w:rsidR="005D11CE" w:rsidTr="00536272" w14:paraId="7493856B" w14:textId="77777777">
        <w:tc>
          <w:tcPr>
            <w:tcW w:w="2689" w:type="dxa"/>
          </w:tcPr>
          <w:p w:rsidRPr="005D11CE" w:rsidR="00222343" w:rsidP="003E41FC" w:rsidRDefault="43A62C42" w14:paraId="505AFE52" w14:textId="2F54E5BD">
            <w:pPr>
              <w:spacing w:line="276" w:lineRule="auto"/>
              <w:rPr>
                <w:szCs w:val="18"/>
              </w:rPr>
            </w:pPr>
            <w:r w:rsidRPr="005D11CE">
              <w:rPr>
                <w:rFonts w:eastAsiaTheme="minorEastAsia"/>
                <w:szCs w:val="18"/>
              </w:rPr>
              <w:t>Behoud de toegang tot het UBO-register voor poortwachters en alle instellingen</w:t>
            </w:r>
            <w:r w:rsidRPr="005D11CE" w:rsidR="00A510FA">
              <w:rPr>
                <w:rFonts w:eastAsiaTheme="minorEastAsia"/>
                <w:szCs w:val="18"/>
              </w:rPr>
              <w:t xml:space="preserve"> en geef hen ook toegang tot afgesloten deel UBO-register</w:t>
            </w:r>
            <w:r w:rsidR="00536272">
              <w:rPr>
                <w:rFonts w:eastAsiaTheme="minorEastAsia"/>
                <w:szCs w:val="18"/>
              </w:rPr>
              <w:t>.</w:t>
            </w:r>
          </w:p>
          <w:p w:rsidRPr="005D11CE" w:rsidR="00222343" w:rsidP="003E41FC" w:rsidRDefault="00222343" w14:paraId="70733D79" w14:textId="06B08630">
            <w:pPr>
              <w:spacing w:line="276" w:lineRule="auto"/>
              <w:rPr>
                <w:rFonts w:eastAsiaTheme="minorEastAsia"/>
                <w:b/>
                <w:bCs/>
                <w:szCs w:val="18"/>
              </w:rPr>
            </w:pPr>
          </w:p>
        </w:tc>
        <w:tc>
          <w:tcPr>
            <w:tcW w:w="6328" w:type="dxa"/>
          </w:tcPr>
          <w:p w:rsidRPr="005D11CE" w:rsidR="00981526" w:rsidP="003E41FC" w:rsidRDefault="00981526" w14:paraId="09BD07B9" w14:textId="6F13D2C0">
            <w:pPr>
              <w:pStyle w:val="Lijstalinea"/>
              <w:numPr>
                <w:ilvl w:val="0"/>
                <w:numId w:val="20"/>
              </w:numPr>
              <w:spacing w:line="276" w:lineRule="auto"/>
              <w:rPr>
                <w:rFonts w:eastAsiaTheme="minorEastAsia"/>
                <w:szCs w:val="18"/>
              </w:rPr>
            </w:pPr>
            <w:r w:rsidRPr="005D11CE">
              <w:rPr>
                <w:rFonts w:eastAsiaTheme="minorEastAsia"/>
                <w:szCs w:val="18"/>
              </w:rPr>
              <w:t xml:space="preserve">Instellingen die onder de Sanctiewet vallen en </w:t>
            </w:r>
            <w:proofErr w:type="spellStart"/>
            <w:r w:rsidRPr="005D11CE">
              <w:rPr>
                <w:rFonts w:eastAsiaTheme="minorEastAsia"/>
                <w:szCs w:val="18"/>
              </w:rPr>
              <w:t>Wwft</w:t>
            </w:r>
            <w:proofErr w:type="spellEnd"/>
            <w:r w:rsidRPr="005D11CE">
              <w:rPr>
                <w:rFonts w:eastAsiaTheme="minorEastAsia"/>
                <w:szCs w:val="18"/>
              </w:rPr>
              <w:t xml:space="preserve">-instellingen houden als gevolg van de Wijzigingswet toegang tot het UBO-register. </w:t>
            </w:r>
          </w:p>
          <w:p w:rsidRPr="005D11CE" w:rsidR="00797AED" w:rsidP="003E41FC" w:rsidRDefault="00797AED" w14:paraId="26AA9B7D" w14:textId="10C2E266">
            <w:pPr>
              <w:pStyle w:val="Lijstalinea"/>
              <w:numPr>
                <w:ilvl w:val="0"/>
                <w:numId w:val="20"/>
              </w:numPr>
              <w:spacing w:line="276" w:lineRule="auto"/>
              <w:rPr>
                <w:szCs w:val="18"/>
              </w:rPr>
            </w:pPr>
            <w:r w:rsidRPr="005D11CE">
              <w:rPr>
                <w:rFonts w:eastAsiaTheme="minorEastAsia"/>
                <w:szCs w:val="18"/>
              </w:rPr>
              <w:t xml:space="preserve">Poortwachters toegang verlenen tot het afgeschermde deel maakt het makkelijker om cliëntenonderzoek uit te voeren, verlaagt de administratieve lasten voor klanten en komt de kwaliteit van terugmeldingen ten goede. </w:t>
            </w:r>
          </w:p>
          <w:p w:rsidR="005D11CE" w:rsidP="00D964FB" w:rsidRDefault="008F347B" w14:paraId="3769D2E7" w14:textId="77777777">
            <w:pPr>
              <w:pStyle w:val="Lijstalinea"/>
              <w:numPr>
                <w:ilvl w:val="0"/>
                <w:numId w:val="20"/>
              </w:numPr>
              <w:spacing w:line="276" w:lineRule="auto"/>
              <w:rPr>
                <w:rFonts w:eastAsiaTheme="minorEastAsia"/>
                <w:szCs w:val="18"/>
              </w:rPr>
            </w:pPr>
            <w:r>
              <w:rPr>
                <w:rFonts w:eastAsiaTheme="minorEastAsia"/>
                <w:szCs w:val="18"/>
              </w:rPr>
              <w:t>We</w:t>
            </w:r>
            <w:r w:rsidR="00BF3129">
              <w:rPr>
                <w:rFonts w:eastAsiaTheme="minorEastAsia"/>
                <w:szCs w:val="18"/>
              </w:rPr>
              <w:t xml:space="preserve"> ga</w:t>
            </w:r>
            <w:r>
              <w:rPr>
                <w:rFonts w:eastAsiaTheme="minorEastAsia"/>
                <w:szCs w:val="18"/>
              </w:rPr>
              <w:t>an</w:t>
            </w:r>
            <w:r w:rsidRPr="005D11CE" w:rsidR="00981526">
              <w:rPr>
                <w:rFonts w:eastAsiaTheme="minorEastAsia"/>
                <w:szCs w:val="18"/>
              </w:rPr>
              <w:t xml:space="preserve"> de Autoriteit Persoonsgegevens om advies vragen over toegang voor poortwachters tot het afgesloten deel van het UBO-register.</w:t>
            </w:r>
          </w:p>
          <w:p w:rsidRPr="005D11CE" w:rsidR="00B808C6" w:rsidP="00B808C6" w:rsidRDefault="00B808C6" w14:paraId="100A4205" w14:textId="2788CA61">
            <w:pPr>
              <w:pStyle w:val="Lijstalinea"/>
              <w:spacing w:line="276" w:lineRule="auto"/>
              <w:ind w:left="360"/>
              <w:rPr>
                <w:rFonts w:eastAsiaTheme="minorEastAsia"/>
                <w:szCs w:val="18"/>
              </w:rPr>
            </w:pPr>
          </w:p>
        </w:tc>
      </w:tr>
      <w:tr w:rsidRPr="005D11CE" w:rsidR="005D11CE" w:rsidTr="00536272" w14:paraId="2D73D104" w14:textId="77777777">
        <w:tc>
          <w:tcPr>
            <w:tcW w:w="2689" w:type="dxa"/>
          </w:tcPr>
          <w:p w:rsidRPr="005D11CE" w:rsidR="68B9BD02" w:rsidP="003E41FC" w:rsidRDefault="68B9BD02" w14:paraId="123CF67F" w14:textId="22A50245">
            <w:pPr>
              <w:spacing w:line="276" w:lineRule="auto"/>
              <w:rPr>
                <w:szCs w:val="18"/>
              </w:rPr>
            </w:pPr>
            <w:r w:rsidRPr="005D11CE">
              <w:rPr>
                <w:rFonts w:eastAsiaTheme="minorEastAsia"/>
                <w:szCs w:val="18"/>
              </w:rPr>
              <w:t>Geef poortwachters toegang tot de BRP voor de uitvoering van hun cliëntenonderzoek</w:t>
            </w:r>
            <w:r w:rsidR="00536272">
              <w:rPr>
                <w:rFonts w:eastAsiaTheme="minorEastAsia"/>
                <w:szCs w:val="18"/>
              </w:rPr>
              <w:t>.</w:t>
            </w:r>
          </w:p>
        </w:tc>
        <w:tc>
          <w:tcPr>
            <w:tcW w:w="6328" w:type="dxa"/>
          </w:tcPr>
          <w:p w:rsidRPr="005D11CE" w:rsidR="68B9BD02" w:rsidP="00742C2C" w:rsidRDefault="00E72BD3" w14:paraId="1E47E0ED" w14:textId="430A0101">
            <w:pPr>
              <w:pStyle w:val="Lijstalinea"/>
              <w:numPr>
                <w:ilvl w:val="0"/>
                <w:numId w:val="20"/>
              </w:numPr>
              <w:spacing w:line="276" w:lineRule="auto"/>
              <w:rPr>
                <w:szCs w:val="18"/>
              </w:rPr>
            </w:pPr>
            <w:r>
              <w:rPr>
                <w:rFonts w:eastAsiaTheme="minorEastAsia"/>
                <w:szCs w:val="18"/>
              </w:rPr>
              <w:t xml:space="preserve">Samen met de minister van BZK willen wij banken aansluiten op de BRP. Hierover </w:t>
            </w:r>
            <w:r w:rsidR="008F347B">
              <w:rPr>
                <w:rFonts w:eastAsiaTheme="minorEastAsia"/>
                <w:szCs w:val="18"/>
              </w:rPr>
              <w:t>gaan</w:t>
            </w:r>
            <w:r>
              <w:rPr>
                <w:rFonts w:eastAsiaTheme="minorEastAsia"/>
                <w:szCs w:val="18"/>
              </w:rPr>
              <w:t xml:space="preserve"> we in gesprek met de sector en de AP. </w:t>
            </w:r>
            <w:r w:rsidR="00103276">
              <w:rPr>
                <w:rFonts w:eastAsiaTheme="minorEastAsia"/>
                <w:szCs w:val="18"/>
              </w:rPr>
              <w:t xml:space="preserve"> </w:t>
            </w:r>
            <w:r w:rsidRPr="005D11CE" w:rsidR="00797AED">
              <w:rPr>
                <w:rFonts w:eastAsiaTheme="minorEastAsia"/>
                <w:szCs w:val="18"/>
              </w:rPr>
              <w:t xml:space="preserve"> </w:t>
            </w:r>
          </w:p>
        </w:tc>
      </w:tr>
      <w:tr w:rsidRPr="005D11CE" w:rsidR="005D11CE" w:rsidTr="00536272" w14:paraId="4E1B2A88" w14:textId="77777777">
        <w:tc>
          <w:tcPr>
            <w:tcW w:w="2689" w:type="dxa"/>
          </w:tcPr>
          <w:p w:rsidRPr="005D11CE" w:rsidR="68B9BD02" w:rsidP="003E41FC" w:rsidRDefault="68B9BD02" w14:paraId="082A46A1" w14:textId="50C14C9D">
            <w:pPr>
              <w:spacing w:line="276" w:lineRule="auto"/>
              <w:rPr>
                <w:szCs w:val="18"/>
              </w:rPr>
            </w:pPr>
            <w:r w:rsidRPr="005D11CE">
              <w:rPr>
                <w:rFonts w:eastAsiaTheme="minorEastAsia"/>
                <w:szCs w:val="18"/>
              </w:rPr>
              <w:t xml:space="preserve">Maak werk van lopende wetgevingsinitiatieven die poortwachters kunnen helpen effectiever en efficiënter aan hun </w:t>
            </w:r>
            <w:proofErr w:type="spellStart"/>
            <w:r w:rsidRPr="005D11CE">
              <w:rPr>
                <w:rFonts w:eastAsiaTheme="minorEastAsia"/>
                <w:szCs w:val="18"/>
              </w:rPr>
              <w:t>Wwft</w:t>
            </w:r>
            <w:proofErr w:type="spellEnd"/>
            <w:r w:rsidRPr="005D11CE">
              <w:rPr>
                <w:rFonts w:eastAsiaTheme="minorEastAsia"/>
                <w:szCs w:val="18"/>
              </w:rPr>
              <w:t>-verplichtingen te voldoen</w:t>
            </w:r>
            <w:r w:rsidR="00536272">
              <w:rPr>
                <w:rFonts w:eastAsiaTheme="minorEastAsia"/>
                <w:szCs w:val="18"/>
              </w:rPr>
              <w:t>.</w:t>
            </w:r>
          </w:p>
          <w:p w:rsidRPr="005D11CE" w:rsidR="68B9BD02" w:rsidP="003E41FC" w:rsidRDefault="68B9BD02" w14:paraId="6A50D4B0" w14:textId="0313A183">
            <w:pPr>
              <w:spacing w:line="276" w:lineRule="auto"/>
              <w:rPr>
                <w:rFonts w:eastAsiaTheme="minorEastAsia"/>
                <w:szCs w:val="18"/>
              </w:rPr>
            </w:pPr>
          </w:p>
        </w:tc>
        <w:tc>
          <w:tcPr>
            <w:tcW w:w="6328" w:type="dxa"/>
          </w:tcPr>
          <w:p w:rsidRPr="005D11CE" w:rsidR="00981526" w:rsidP="003E41FC" w:rsidRDefault="00981526" w14:paraId="0F8B353B" w14:textId="6E9A5054">
            <w:pPr>
              <w:pStyle w:val="Lijstalinea"/>
              <w:numPr>
                <w:ilvl w:val="0"/>
                <w:numId w:val="20"/>
              </w:numPr>
              <w:spacing w:line="276" w:lineRule="auto"/>
              <w:rPr>
                <w:rFonts w:eastAsiaTheme="minorEastAsia"/>
                <w:szCs w:val="18"/>
              </w:rPr>
            </w:pPr>
            <w:r w:rsidRPr="005D11CE">
              <w:rPr>
                <w:rFonts w:eastAsiaTheme="minorEastAsia"/>
                <w:szCs w:val="18"/>
              </w:rPr>
              <w:t xml:space="preserve">In het tweeminutendebat criminaliteitsbestrijding, ondermijning en georganiseerde criminaliteit van 19 februari </w:t>
            </w:r>
            <w:r w:rsidR="00B97332">
              <w:rPr>
                <w:rFonts w:eastAsiaTheme="minorEastAsia"/>
                <w:szCs w:val="18"/>
              </w:rPr>
              <w:t xml:space="preserve">2025 </w:t>
            </w:r>
            <w:r w:rsidRPr="005D11CE">
              <w:rPr>
                <w:rFonts w:eastAsiaTheme="minorEastAsia"/>
                <w:szCs w:val="18"/>
              </w:rPr>
              <w:t xml:space="preserve">is door de minister van Justitie en Veiligheid toegezegd dat opnieuw gekeken zal worden naar de appreciatie door het kabinet van de initiatiefwet van GroenLinks-PvdA en de SP over de ondersteuning van poortwachters, specifiek met betrekking tot centraal aandeelhoudersregister. In de halfjaarbrief ondermijning, die voor de zomer van 2025 aan de Kamer zal worden gestuurd, zal hier nader op worden ingegaan.  </w:t>
            </w:r>
          </w:p>
          <w:p w:rsidR="68B9BD02" w:rsidP="003E41FC" w:rsidRDefault="00981526" w14:paraId="70BB2739" w14:textId="77777777">
            <w:pPr>
              <w:pStyle w:val="Lijstalinea"/>
              <w:numPr>
                <w:ilvl w:val="0"/>
                <w:numId w:val="20"/>
              </w:numPr>
              <w:spacing w:line="276" w:lineRule="auto"/>
              <w:rPr>
                <w:rFonts w:eastAsiaTheme="minorEastAsia"/>
                <w:szCs w:val="18"/>
              </w:rPr>
            </w:pPr>
            <w:r w:rsidRPr="005D11CE">
              <w:rPr>
                <w:rFonts w:eastAsiaTheme="minorEastAsia"/>
                <w:szCs w:val="18"/>
              </w:rPr>
              <w:lastRenderedPageBreak/>
              <w:t xml:space="preserve">Zoeken op naam van personen in Handelsregister is voor specifieke beroepsgroepen die een rol hebben vanuit de </w:t>
            </w:r>
            <w:proofErr w:type="spellStart"/>
            <w:r w:rsidRPr="005D11CE">
              <w:rPr>
                <w:rFonts w:eastAsiaTheme="minorEastAsia"/>
                <w:szCs w:val="18"/>
              </w:rPr>
              <w:t>Wwft</w:t>
            </w:r>
            <w:proofErr w:type="spellEnd"/>
            <w:r w:rsidRPr="005D11CE">
              <w:rPr>
                <w:rFonts w:eastAsiaTheme="minorEastAsia"/>
                <w:szCs w:val="18"/>
              </w:rPr>
              <w:t xml:space="preserve"> reeds sinds 1 oktober 2024 mogelijk.</w:t>
            </w:r>
          </w:p>
          <w:p w:rsidRPr="005D11CE" w:rsidR="00B808C6" w:rsidP="00B808C6" w:rsidRDefault="00B808C6" w14:paraId="4DC12802" w14:textId="6A85D353">
            <w:pPr>
              <w:pStyle w:val="Lijstalinea"/>
              <w:spacing w:line="276" w:lineRule="auto"/>
              <w:ind w:left="360"/>
              <w:rPr>
                <w:rFonts w:eastAsiaTheme="minorEastAsia"/>
                <w:szCs w:val="18"/>
              </w:rPr>
            </w:pPr>
          </w:p>
        </w:tc>
      </w:tr>
      <w:tr w:rsidRPr="005D11CE" w:rsidR="005D11CE" w:rsidTr="00536272" w14:paraId="0EF70CBE" w14:textId="77777777">
        <w:tc>
          <w:tcPr>
            <w:tcW w:w="2689" w:type="dxa"/>
          </w:tcPr>
          <w:p w:rsidRPr="005D11CE" w:rsidR="68B9BD02" w:rsidP="003E41FC" w:rsidRDefault="68B9BD02" w14:paraId="455BFBCA" w14:textId="784A2D85">
            <w:pPr>
              <w:spacing w:line="276" w:lineRule="auto"/>
              <w:rPr>
                <w:szCs w:val="18"/>
              </w:rPr>
            </w:pPr>
            <w:r w:rsidRPr="005D11CE">
              <w:rPr>
                <w:rFonts w:eastAsiaTheme="minorEastAsia"/>
                <w:szCs w:val="18"/>
              </w:rPr>
              <w:lastRenderedPageBreak/>
              <w:t>Overweeg poortwachters verder te ondersteunen door registers te creëren waarvoor poortwachters momenteel veelal gebruik moeten maken van commerciële aanbieders</w:t>
            </w:r>
            <w:r w:rsidRPr="005D11CE" w:rsidR="00A514FA">
              <w:rPr>
                <w:rFonts w:eastAsiaTheme="minorEastAsia"/>
                <w:szCs w:val="18"/>
              </w:rPr>
              <w:t>, zoals een PEP-register en actuele sanctielijsten</w:t>
            </w:r>
            <w:r w:rsidR="00536272">
              <w:rPr>
                <w:rFonts w:eastAsiaTheme="minorEastAsia"/>
                <w:szCs w:val="18"/>
              </w:rPr>
              <w:t>.</w:t>
            </w:r>
          </w:p>
        </w:tc>
        <w:tc>
          <w:tcPr>
            <w:tcW w:w="6328" w:type="dxa"/>
          </w:tcPr>
          <w:p w:rsidRPr="005D11CE" w:rsidR="00A514FA" w:rsidP="003E41FC" w:rsidRDefault="00A514FA" w14:paraId="1F56E68C" w14:textId="77777777">
            <w:pPr>
              <w:pStyle w:val="Lijstalinea"/>
              <w:numPr>
                <w:ilvl w:val="0"/>
                <w:numId w:val="20"/>
              </w:numPr>
              <w:spacing w:line="276" w:lineRule="auto"/>
              <w:rPr>
                <w:rFonts w:eastAsiaTheme="minorEastAsia"/>
                <w:szCs w:val="18"/>
              </w:rPr>
            </w:pPr>
            <w:r w:rsidRPr="005D11CE">
              <w:rPr>
                <w:rFonts w:eastAsiaTheme="minorEastAsia"/>
                <w:szCs w:val="18"/>
              </w:rPr>
              <w:t>Nederland dringt bij de Europese Commissie aan op verbeteringen t.a.v. de beschikbare sanctielijst.</w:t>
            </w:r>
          </w:p>
          <w:p w:rsidRPr="005D11CE" w:rsidR="000E3540" w:rsidP="003E41FC" w:rsidRDefault="00F51307" w14:paraId="3B12EFA1" w14:textId="0EB75293">
            <w:pPr>
              <w:pStyle w:val="Lijstalinea"/>
              <w:numPr>
                <w:ilvl w:val="0"/>
                <w:numId w:val="20"/>
              </w:numPr>
              <w:spacing w:line="276" w:lineRule="auto"/>
              <w:rPr>
                <w:rFonts w:eastAsiaTheme="minorEastAsia"/>
                <w:szCs w:val="18"/>
              </w:rPr>
            </w:pPr>
            <w:r w:rsidRPr="005D11CE">
              <w:rPr>
                <w:rFonts w:eastAsiaTheme="minorEastAsia"/>
                <w:szCs w:val="18"/>
              </w:rPr>
              <w:t>De AMLR schrijft voor dat het aan de instelling is om de PEP te identificeren.</w:t>
            </w:r>
            <w:r w:rsidR="00C77920">
              <w:rPr>
                <w:rFonts w:eastAsiaTheme="minorEastAsia"/>
                <w:szCs w:val="18"/>
              </w:rPr>
              <w:t xml:space="preserve"> </w:t>
            </w:r>
            <w:r w:rsidRPr="005D11CE" w:rsidR="00A514FA">
              <w:rPr>
                <w:rFonts w:eastAsiaTheme="minorEastAsia"/>
                <w:szCs w:val="18"/>
              </w:rPr>
              <w:t xml:space="preserve">Bouw van een PEP-register is complex, kostbaar en moeilijk inpasbaar in bestaande registers. </w:t>
            </w:r>
            <w:r w:rsidRPr="005D11CE">
              <w:rPr>
                <w:rFonts w:eastAsiaTheme="minorEastAsia"/>
                <w:szCs w:val="18"/>
              </w:rPr>
              <w:t>Bovendien is een dergelijk register moeilijk verenigbaar met de AVG.</w:t>
            </w:r>
            <w:r w:rsidRPr="005D11CE" w:rsidR="000E3540">
              <w:rPr>
                <w:rFonts w:eastAsiaTheme="minorEastAsia"/>
                <w:szCs w:val="18"/>
              </w:rPr>
              <w:t xml:space="preserve"> </w:t>
            </w:r>
          </w:p>
          <w:p w:rsidRPr="00B808C6" w:rsidR="00F51307" w:rsidP="003E41FC" w:rsidRDefault="00A15396" w14:paraId="53D0C813" w14:textId="77777777">
            <w:pPr>
              <w:pStyle w:val="Lijstalinea"/>
              <w:numPr>
                <w:ilvl w:val="0"/>
                <w:numId w:val="20"/>
              </w:numPr>
              <w:spacing w:line="276" w:lineRule="auto"/>
              <w:rPr>
                <w:szCs w:val="18"/>
              </w:rPr>
            </w:pPr>
            <w:r>
              <w:rPr>
                <w:rFonts w:eastAsiaTheme="minorEastAsia"/>
                <w:szCs w:val="18"/>
              </w:rPr>
              <w:t>Enkele</w:t>
            </w:r>
            <w:r w:rsidRPr="005D11CE" w:rsidR="000E3540">
              <w:rPr>
                <w:rFonts w:eastAsiaTheme="minorEastAsia"/>
                <w:szCs w:val="18"/>
              </w:rPr>
              <w:t xml:space="preserve"> andere verbeteringen </w:t>
            </w:r>
            <w:r>
              <w:rPr>
                <w:rFonts w:eastAsiaTheme="minorEastAsia"/>
                <w:szCs w:val="18"/>
              </w:rPr>
              <w:t>worden doorgevoerd</w:t>
            </w:r>
            <w:r w:rsidRPr="005D11CE" w:rsidR="000E3540">
              <w:rPr>
                <w:rFonts w:eastAsiaTheme="minorEastAsia"/>
                <w:szCs w:val="18"/>
              </w:rPr>
              <w:t xml:space="preserve">, zoals een </w:t>
            </w:r>
            <w:r w:rsidR="00BF3129">
              <w:rPr>
                <w:rFonts w:eastAsiaTheme="minorEastAsia"/>
                <w:szCs w:val="18"/>
              </w:rPr>
              <w:t>update</w:t>
            </w:r>
            <w:r w:rsidRPr="005D11CE" w:rsidR="00BF3129">
              <w:rPr>
                <w:rFonts w:eastAsiaTheme="minorEastAsia"/>
                <w:szCs w:val="18"/>
              </w:rPr>
              <w:t xml:space="preserve"> </w:t>
            </w:r>
            <w:r w:rsidRPr="005D11CE" w:rsidR="000E3540">
              <w:rPr>
                <w:rFonts w:eastAsiaTheme="minorEastAsia"/>
                <w:szCs w:val="18"/>
              </w:rPr>
              <w:t>van de lijst van prominente publieke functies in Nederland</w:t>
            </w:r>
            <w:r w:rsidR="00C77920">
              <w:rPr>
                <w:rFonts w:eastAsiaTheme="minorEastAsia"/>
                <w:szCs w:val="18"/>
              </w:rPr>
              <w:t xml:space="preserve"> en inzetten op een juist toepassing van de PEP-standaard van de NVB</w:t>
            </w:r>
            <w:r w:rsidRPr="005D11CE" w:rsidR="000E3540">
              <w:rPr>
                <w:rFonts w:eastAsiaTheme="minorEastAsia"/>
                <w:szCs w:val="18"/>
              </w:rPr>
              <w:t>.</w:t>
            </w:r>
          </w:p>
          <w:p w:rsidRPr="005D11CE" w:rsidR="00B808C6" w:rsidP="00B808C6" w:rsidRDefault="00B808C6" w14:paraId="186B9C54" w14:textId="0AF0666D">
            <w:pPr>
              <w:pStyle w:val="Lijstalinea"/>
              <w:spacing w:line="276" w:lineRule="auto"/>
              <w:ind w:left="360"/>
              <w:rPr>
                <w:szCs w:val="18"/>
              </w:rPr>
            </w:pPr>
          </w:p>
        </w:tc>
      </w:tr>
      <w:tr w:rsidRPr="005D11CE" w:rsidR="005D11CE" w:rsidTr="00536272" w14:paraId="7FC91310" w14:textId="77777777">
        <w:tc>
          <w:tcPr>
            <w:tcW w:w="2689" w:type="dxa"/>
          </w:tcPr>
          <w:p w:rsidRPr="005D11CE" w:rsidR="68B9BD02" w:rsidP="003E41FC" w:rsidRDefault="68B9BD02" w14:paraId="5F048EEB" w14:textId="46BDBEB6">
            <w:pPr>
              <w:spacing w:line="276" w:lineRule="auto"/>
              <w:rPr>
                <w:szCs w:val="18"/>
              </w:rPr>
            </w:pPr>
            <w:r w:rsidRPr="005D11CE">
              <w:rPr>
                <w:rFonts w:eastAsiaTheme="minorEastAsia"/>
                <w:szCs w:val="18"/>
              </w:rPr>
              <w:t>Overweeg sanctiechecks tegen publieke registers te verrichten</w:t>
            </w:r>
            <w:r w:rsidR="00536272">
              <w:rPr>
                <w:rFonts w:eastAsiaTheme="minorEastAsia"/>
                <w:szCs w:val="18"/>
              </w:rPr>
              <w:t>.</w:t>
            </w:r>
          </w:p>
        </w:tc>
        <w:tc>
          <w:tcPr>
            <w:tcW w:w="6328" w:type="dxa"/>
          </w:tcPr>
          <w:p w:rsidR="001C1881" w:rsidP="003E41FC" w:rsidRDefault="001C1881" w14:paraId="12F00682" w14:textId="77AF9EF7">
            <w:pPr>
              <w:pStyle w:val="Lijstalinea"/>
              <w:numPr>
                <w:ilvl w:val="0"/>
                <w:numId w:val="20"/>
              </w:numPr>
              <w:spacing w:line="276" w:lineRule="auto"/>
              <w:rPr>
                <w:rFonts w:eastAsiaTheme="minorEastAsia"/>
                <w:szCs w:val="18"/>
              </w:rPr>
            </w:pPr>
            <w:r w:rsidRPr="001C1881">
              <w:rPr>
                <w:rFonts w:eastAsiaTheme="minorEastAsia"/>
                <w:szCs w:val="18"/>
              </w:rPr>
              <w:t>Het maken van aantekeningen in registers i</w:t>
            </w:r>
            <w:r>
              <w:rPr>
                <w:rFonts w:eastAsiaTheme="minorEastAsia"/>
                <w:szCs w:val="18"/>
              </w:rPr>
              <w:t>s</w:t>
            </w:r>
            <w:r w:rsidRPr="001C1881">
              <w:rPr>
                <w:rFonts w:eastAsiaTheme="minorEastAsia"/>
                <w:szCs w:val="18"/>
              </w:rPr>
              <w:t xml:space="preserve"> één van de onderdelen van het Wetvoorstel internationale sanctiemaatregelen</w:t>
            </w:r>
            <w:r>
              <w:rPr>
                <w:rFonts w:eastAsiaTheme="minorEastAsia"/>
                <w:szCs w:val="18"/>
              </w:rPr>
              <w:t>.</w:t>
            </w:r>
          </w:p>
          <w:p w:rsidR="005D11CE" w:rsidP="00D964FB" w:rsidRDefault="00981526" w14:paraId="58ED5921" w14:textId="77777777">
            <w:pPr>
              <w:pStyle w:val="Lijstalinea"/>
              <w:numPr>
                <w:ilvl w:val="0"/>
                <w:numId w:val="20"/>
              </w:numPr>
              <w:spacing w:line="276" w:lineRule="auto"/>
              <w:rPr>
                <w:rFonts w:eastAsiaTheme="minorEastAsia"/>
                <w:szCs w:val="18"/>
              </w:rPr>
            </w:pPr>
            <w:r w:rsidRPr="005D11CE">
              <w:rPr>
                <w:rFonts w:eastAsiaTheme="minorEastAsia"/>
                <w:szCs w:val="18"/>
              </w:rPr>
              <w:t xml:space="preserve">Het Europese AML-pakket bevat een verplichting voor beheerders van UBO-registers om te controleren of uiteindelijk begunstigden onder sancties vallen en om een aantekening te maken als een entiteit onder sancties valt. </w:t>
            </w:r>
            <w:r w:rsidR="00BF3129">
              <w:rPr>
                <w:rFonts w:eastAsiaTheme="minorEastAsia"/>
                <w:szCs w:val="18"/>
              </w:rPr>
              <w:t>Poortwachters kunnen dit dan eenvoudig checken.</w:t>
            </w:r>
          </w:p>
          <w:p w:rsidRPr="00D964FB" w:rsidR="00B808C6" w:rsidP="00B808C6" w:rsidRDefault="00B808C6" w14:paraId="595451E5" w14:textId="3C2860FF">
            <w:pPr>
              <w:pStyle w:val="Lijstalinea"/>
              <w:spacing w:line="276" w:lineRule="auto"/>
              <w:ind w:left="360"/>
              <w:rPr>
                <w:rFonts w:eastAsiaTheme="minorEastAsia"/>
                <w:szCs w:val="18"/>
              </w:rPr>
            </w:pPr>
          </w:p>
        </w:tc>
      </w:tr>
      <w:tr w:rsidRPr="005D11CE" w:rsidR="005D11CE" w:rsidTr="00981526" w14:paraId="33FCF51B" w14:textId="77777777">
        <w:tc>
          <w:tcPr>
            <w:tcW w:w="9017" w:type="dxa"/>
            <w:gridSpan w:val="2"/>
          </w:tcPr>
          <w:p w:rsidRPr="005D11CE" w:rsidR="00D55647" w:rsidP="003E41FC" w:rsidRDefault="00D55647" w14:paraId="59B2AF00" w14:textId="75F3B868">
            <w:pPr>
              <w:pStyle w:val="Lijstalinea"/>
              <w:spacing w:line="276" w:lineRule="auto"/>
              <w:rPr>
                <w:rFonts w:eastAsiaTheme="minorEastAsia"/>
                <w:szCs w:val="18"/>
              </w:rPr>
            </w:pPr>
            <w:r w:rsidRPr="005D11CE">
              <w:rPr>
                <w:rFonts w:eastAsiaTheme="minorEastAsia"/>
                <w:b/>
                <w:bCs/>
                <w:szCs w:val="18"/>
              </w:rPr>
              <w:t>Waardevolle feedbackloop</w:t>
            </w:r>
          </w:p>
        </w:tc>
      </w:tr>
      <w:tr w:rsidRPr="005D11CE" w:rsidR="005D11CE" w:rsidTr="00536272" w14:paraId="093ED75C" w14:textId="77777777">
        <w:tc>
          <w:tcPr>
            <w:tcW w:w="2689" w:type="dxa"/>
          </w:tcPr>
          <w:p w:rsidRPr="001C1881" w:rsidR="002E1047" w:rsidP="003E41FC" w:rsidRDefault="43A62C42" w14:paraId="41A581B3" w14:textId="041452E1">
            <w:pPr>
              <w:spacing w:line="276" w:lineRule="auto"/>
              <w:rPr>
                <w:szCs w:val="18"/>
              </w:rPr>
            </w:pPr>
            <w:r w:rsidRPr="001C1881">
              <w:rPr>
                <w:rFonts w:eastAsiaTheme="minorEastAsia"/>
                <w:szCs w:val="18"/>
              </w:rPr>
              <w:t>Op sectorniveau terugkoppelen van uitkomsten van gedane meldingen vanuit die sector over een bepaalde periode door FIU-NL</w:t>
            </w:r>
          </w:p>
          <w:p w:rsidRPr="001C1881" w:rsidR="00222343" w:rsidP="003E41FC" w:rsidRDefault="00807247" w14:paraId="5A723E46" w14:textId="3D4A62FA">
            <w:pPr>
              <w:spacing w:line="276" w:lineRule="auto"/>
              <w:rPr>
                <w:szCs w:val="18"/>
              </w:rPr>
            </w:pPr>
            <w:r w:rsidRPr="001C1881">
              <w:rPr>
                <w:rFonts w:eastAsiaTheme="minorEastAsia"/>
                <w:szCs w:val="18"/>
              </w:rPr>
              <w:t>Zorg voor</w:t>
            </w:r>
            <w:r w:rsidR="001C1881">
              <w:rPr>
                <w:rFonts w:eastAsiaTheme="minorEastAsia"/>
                <w:szCs w:val="18"/>
              </w:rPr>
              <w:t xml:space="preserve"> </w:t>
            </w:r>
            <w:r w:rsidRPr="001C1881">
              <w:rPr>
                <w:rFonts w:eastAsiaTheme="minorEastAsia"/>
                <w:szCs w:val="18"/>
              </w:rPr>
              <w:t>inzicht in het gebruik van de gemelde verdachte transacties in het opsporingsproces voor poortwachters.</w:t>
            </w:r>
          </w:p>
        </w:tc>
        <w:tc>
          <w:tcPr>
            <w:tcW w:w="6328" w:type="dxa"/>
          </w:tcPr>
          <w:p w:rsidRPr="005D11CE" w:rsidR="00860AA6" w:rsidP="003E41FC" w:rsidRDefault="0F823621" w14:paraId="29309A09" w14:textId="439625E9">
            <w:pPr>
              <w:pStyle w:val="Lijstalinea"/>
              <w:numPr>
                <w:ilvl w:val="0"/>
                <w:numId w:val="10"/>
              </w:numPr>
              <w:spacing w:line="276" w:lineRule="auto"/>
              <w:rPr>
                <w:szCs w:val="18"/>
              </w:rPr>
            </w:pPr>
            <w:r w:rsidRPr="005D11CE">
              <w:rPr>
                <w:rFonts w:eastAsiaTheme="minorEastAsia"/>
                <w:szCs w:val="18"/>
              </w:rPr>
              <w:t xml:space="preserve">In het kader van het door de NVB gestarte </w:t>
            </w:r>
            <w:proofErr w:type="spellStart"/>
            <w:r w:rsidRPr="005D11CE">
              <w:rPr>
                <w:rFonts w:eastAsiaTheme="minorEastAsia"/>
                <w:szCs w:val="18"/>
              </w:rPr>
              <w:t>NextGen</w:t>
            </w:r>
            <w:proofErr w:type="spellEnd"/>
            <w:r w:rsidRPr="005D11CE">
              <w:rPr>
                <w:rFonts w:eastAsiaTheme="minorEastAsia"/>
                <w:szCs w:val="18"/>
              </w:rPr>
              <w:t xml:space="preserve"> traject zijn de banken samen met FIU-NL aan het verkennen wat zij kunnen delen in het kader van de feedbackloop, zowel onder de huidige als nieuwe wetgeving. De opsporingspartners (OM, Politie, FIOD) worden hierbij betrokken.</w:t>
            </w:r>
          </w:p>
          <w:p w:rsidRPr="00DC0844" w:rsidR="00BF3129" w:rsidP="003E41FC" w:rsidRDefault="00BF3129" w14:paraId="3F115D8A" w14:textId="1E922F5E">
            <w:pPr>
              <w:pStyle w:val="Lijstalinea"/>
              <w:numPr>
                <w:ilvl w:val="0"/>
                <w:numId w:val="10"/>
              </w:numPr>
              <w:spacing w:line="276" w:lineRule="auto"/>
              <w:rPr>
                <w:rFonts w:eastAsia="Calibri"/>
              </w:rPr>
            </w:pPr>
            <w:bookmarkStart w:name="_Hlk192781353" w:id="0"/>
            <w:r w:rsidRPr="00DC0844">
              <w:rPr>
                <w:rFonts w:eastAsia="Calibri"/>
              </w:rPr>
              <w:t xml:space="preserve">In aanloop naar de inwerkingtreding van het AML-pakket </w:t>
            </w:r>
            <w:r>
              <w:rPr>
                <w:rFonts w:eastAsia="Calibri"/>
              </w:rPr>
              <w:t>zal het kabinet</w:t>
            </w:r>
            <w:r w:rsidRPr="00DC0844">
              <w:rPr>
                <w:rFonts w:eastAsia="Calibri"/>
              </w:rPr>
              <w:t xml:space="preserve"> tijdens de kwartaalgesprekken aandacht besteden e</w:t>
            </w:r>
            <w:r>
              <w:rPr>
                <w:rFonts w:eastAsia="Calibri"/>
              </w:rPr>
              <w:t>n</w:t>
            </w:r>
            <w:r w:rsidRPr="00DC0844">
              <w:rPr>
                <w:rFonts w:eastAsia="Calibri"/>
              </w:rPr>
              <w:t xml:space="preserve"> </w:t>
            </w:r>
            <w:bookmarkEnd w:id="0"/>
            <w:r w:rsidRPr="00DC0844">
              <w:rPr>
                <w:rFonts w:eastAsia="Calibri"/>
              </w:rPr>
              <w:t xml:space="preserve">de FIU-Nederland en andere partijen ondersteunen om daar waar nodig de feedbackloop verder te verbeteren. </w:t>
            </w:r>
          </w:p>
          <w:p w:rsidRPr="005D11CE" w:rsidR="00222343" w:rsidP="003E41FC" w:rsidRDefault="00222343" w14:paraId="6BCBEC8D" w14:textId="77777777">
            <w:pPr>
              <w:spacing w:line="276" w:lineRule="auto"/>
              <w:rPr>
                <w:rFonts w:eastAsiaTheme="minorEastAsia"/>
                <w:szCs w:val="18"/>
              </w:rPr>
            </w:pPr>
          </w:p>
        </w:tc>
      </w:tr>
      <w:tr w:rsidRPr="005D11CE" w:rsidR="005D11CE" w:rsidTr="00981526" w14:paraId="2B5B2C01" w14:textId="77777777">
        <w:tc>
          <w:tcPr>
            <w:tcW w:w="9017" w:type="dxa"/>
            <w:gridSpan w:val="2"/>
          </w:tcPr>
          <w:p w:rsidRPr="005D11CE" w:rsidR="00D55647" w:rsidP="003E41FC" w:rsidRDefault="00D55647" w14:paraId="17EAF239" w14:textId="7C1375C9">
            <w:pPr>
              <w:spacing w:line="276" w:lineRule="auto"/>
              <w:rPr>
                <w:rFonts w:eastAsiaTheme="minorEastAsia"/>
                <w:szCs w:val="18"/>
              </w:rPr>
            </w:pPr>
            <w:r w:rsidRPr="005D11CE">
              <w:rPr>
                <w:rFonts w:eastAsiaTheme="minorEastAsia"/>
                <w:b/>
                <w:bCs/>
                <w:szCs w:val="18"/>
              </w:rPr>
              <w:t>Andere aanbevelingen</w:t>
            </w:r>
          </w:p>
        </w:tc>
      </w:tr>
      <w:tr w:rsidRPr="005D11CE" w:rsidR="005D11CE" w:rsidTr="00536272" w14:paraId="0FA32A17" w14:textId="77777777">
        <w:tc>
          <w:tcPr>
            <w:tcW w:w="2689" w:type="dxa"/>
          </w:tcPr>
          <w:p w:rsidRPr="00536272" w:rsidR="00222343" w:rsidP="00536272" w:rsidRDefault="00536272" w14:paraId="4AD89AE5" w14:textId="17910401">
            <w:pPr>
              <w:spacing w:line="276" w:lineRule="auto"/>
              <w:rPr>
                <w:rFonts w:eastAsiaTheme="minorEastAsia"/>
                <w:szCs w:val="18"/>
              </w:rPr>
            </w:pPr>
            <w:r>
              <w:rPr>
                <w:rFonts w:eastAsiaTheme="minorEastAsia"/>
                <w:szCs w:val="18"/>
              </w:rPr>
              <w:t xml:space="preserve">Reguleer het makelaarsberoep en overweeg een </w:t>
            </w:r>
            <w:proofErr w:type="spellStart"/>
            <w:r>
              <w:rPr>
                <w:rFonts w:eastAsiaTheme="minorEastAsia"/>
                <w:szCs w:val="18"/>
              </w:rPr>
              <w:t>Wwft</w:t>
            </w:r>
            <w:proofErr w:type="spellEnd"/>
            <w:r>
              <w:rPr>
                <w:rFonts w:eastAsiaTheme="minorEastAsia"/>
                <w:szCs w:val="18"/>
              </w:rPr>
              <w:t>-registratieplicht in te voeren voor niet-gereguleerde beroepen en instellingen.</w:t>
            </w:r>
          </w:p>
        </w:tc>
        <w:tc>
          <w:tcPr>
            <w:tcW w:w="6328" w:type="dxa"/>
          </w:tcPr>
          <w:p w:rsidRPr="005D11CE" w:rsidR="00222343" w:rsidP="003E41FC" w:rsidRDefault="43A62C42" w14:paraId="063A4ED3" w14:textId="323E56C8">
            <w:pPr>
              <w:pStyle w:val="Lijstalinea"/>
              <w:numPr>
                <w:ilvl w:val="0"/>
                <w:numId w:val="19"/>
              </w:numPr>
              <w:spacing w:line="276" w:lineRule="auto"/>
              <w:rPr>
                <w:szCs w:val="18"/>
              </w:rPr>
            </w:pPr>
            <w:r w:rsidRPr="005D11CE">
              <w:rPr>
                <w:rFonts w:eastAsiaTheme="minorEastAsia"/>
                <w:szCs w:val="18"/>
              </w:rPr>
              <w:t xml:space="preserve">De makelaarssector valt onder de minister van VRO. </w:t>
            </w:r>
            <w:r w:rsidRPr="005D11CE" w:rsidR="00806FCE">
              <w:rPr>
                <w:rFonts w:eastAsiaTheme="minorEastAsia"/>
                <w:szCs w:val="18"/>
              </w:rPr>
              <w:t xml:space="preserve">Regulering van het makelaarsberoep is </w:t>
            </w:r>
            <w:r w:rsidRPr="005D11CE" w:rsidR="001271AC">
              <w:rPr>
                <w:rFonts w:eastAsiaTheme="minorEastAsia"/>
                <w:szCs w:val="18"/>
              </w:rPr>
              <w:t>daarmee aan de minister van VRO.</w:t>
            </w:r>
            <w:r w:rsidRPr="005D11CE" w:rsidR="00797AED">
              <w:rPr>
                <w:rFonts w:eastAsiaTheme="minorEastAsia"/>
                <w:szCs w:val="18"/>
              </w:rPr>
              <w:t xml:space="preserve"> </w:t>
            </w:r>
            <w:r w:rsidR="00DC0844">
              <w:rPr>
                <w:rFonts w:eastAsiaTheme="minorEastAsia"/>
                <w:szCs w:val="18"/>
              </w:rPr>
              <w:t>D</w:t>
            </w:r>
            <w:r w:rsidRPr="005D11CE" w:rsidR="00797AED">
              <w:rPr>
                <w:rFonts w:eastAsiaTheme="minorEastAsia"/>
                <w:szCs w:val="18"/>
              </w:rPr>
              <w:t xml:space="preserve">e minister van VRO is momenteel niet voornemens om hier actie op te ondernemen. </w:t>
            </w:r>
          </w:p>
          <w:p w:rsidRPr="005D11CE" w:rsidR="00914A34" w:rsidP="003E41FC" w:rsidRDefault="00806FCE" w14:paraId="1DAF9CFE" w14:textId="69C3ED0E">
            <w:pPr>
              <w:pStyle w:val="Lijstalinea"/>
              <w:numPr>
                <w:ilvl w:val="0"/>
                <w:numId w:val="19"/>
              </w:numPr>
              <w:spacing w:line="276" w:lineRule="auto"/>
              <w:rPr>
                <w:rFonts w:eastAsiaTheme="minorEastAsia"/>
                <w:szCs w:val="18"/>
              </w:rPr>
            </w:pPr>
            <w:r w:rsidRPr="005D11CE">
              <w:rPr>
                <w:rFonts w:eastAsiaTheme="minorEastAsia"/>
                <w:szCs w:val="18"/>
              </w:rPr>
              <w:t xml:space="preserve">Het AML-pakket zorgt voor een registratieplicht voor enkele </w:t>
            </w:r>
            <w:r w:rsidRPr="005D11CE" w:rsidR="00914A34">
              <w:rPr>
                <w:rFonts w:eastAsiaTheme="minorEastAsia"/>
                <w:szCs w:val="18"/>
              </w:rPr>
              <w:t>specifieke poortwachters, zoals trust- en bedrijfsdiensten en gokdiensten.</w:t>
            </w:r>
          </w:p>
          <w:p w:rsidR="00914A34" w:rsidP="00D964FB" w:rsidRDefault="00914A34" w14:paraId="0B2B1BCB" w14:textId="77777777">
            <w:pPr>
              <w:pStyle w:val="Lijstalinea"/>
              <w:numPr>
                <w:ilvl w:val="0"/>
                <w:numId w:val="19"/>
              </w:numPr>
              <w:spacing w:line="276" w:lineRule="auto"/>
              <w:rPr>
                <w:rFonts w:eastAsiaTheme="minorEastAsia"/>
                <w:szCs w:val="18"/>
              </w:rPr>
            </w:pPr>
            <w:r w:rsidRPr="005D11CE">
              <w:rPr>
                <w:rFonts w:eastAsiaTheme="minorEastAsia"/>
                <w:szCs w:val="18"/>
              </w:rPr>
              <w:t xml:space="preserve">Voor andere poortwachters vraagt het AML-pakket dat toezichthouders in staat zijn om </w:t>
            </w:r>
            <w:r w:rsidRPr="005D11CE" w:rsidR="00326A2F">
              <w:rPr>
                <w:rFonts w:eastAsiaTheme="minorEastAsia"/>
                <w:szCs w:val="18"/>
              </w:rPr>
              <w:t xml:space="preserve">de poortwachters onder hun toezicht te identificeren. </w:t>
            </w:r>
            <w:r w:rsidR="00B97332">
              <w:rPr>
                <w:rFonts w:eastAsiaTheme="minorEastAsia"/>
                <w:szCs w:val="18"/>
              </w:rPr>
              <w:t xml:space="preserve">Wij willen </w:t>
            </w:r>
            <w:r w:rsidRPr="005D11CE" w:rsidR="00326A2F">
              <w:rPr>
                <w:rFonts w:eastAsiaTheme="minorEastAsia"/>
                <w:szCs w:val="18"/>
              </w:rPr>
              <w:t xml:space="preserve">hiervoor gebruik maken van bestaande mogelijkheden en geen volledige registratieplicht introduceren, om lasten voor poortwachters te beperken. </w:t>
            </w:r>
          </w:p>
          <w:p w:rsidRPr="005D11CE" w:rsidR="00B808C6" w:rsidP="00B808C6" w:rsidRDefault="00B808C6" w14:paraId="72BB1F0D" w14:textId="741DDAE5">
            <w:pPr>
              <w:pStyle w:val="Lijstalinea"/>
              <w:spacing w:line="276" w:lineRule="auto"/>
              <w:ind w:left="360"/>
              <w:rPr>
                <w:rFonts w:eastAsiaTheme="minorEastAsia"/>
                <w:szCs w:val="18"/>
              </w:rPr>
            </w:pPr>
          </w:p>
        </w:tc>
      </w:tr>
      <w:tr w:rsidRPr="005D11CE" w:rsidR="005D11CE" w:rsidTr="00536272" w14:paraId="1A025B16" w14:textId="77777777">
        <w:tc>
          <w:tcPr>
            <w:tcW w:w="2689" w:type="dxa"/>
          </w:tcPr>
          <w:p w:rsidRPr="005D11CE" w:rsidR="002E1047" w:rsidP="003E41FC" w:rsidRDefault="43A62C42" w14:paraId="0FD2A628" w14:textId="0C2E8D30">
            <w:pPr>
              <w:spacing w:line="276" w:lineRule="auto"/>
              <w:rPr>
                <w:rFonts w:eastAsiaTheme="minorEastAsia"/>
                <w:szCs w:val="18"/>
              </w:rPr>
            </w:pPr>
            <w:r w:rsidRPr="005D11CE">
              <w:rPr>
                <w:rFonts w:eastAsiaTheme="minorEastAsia"/>
                <w:szCs w:val="18"/>
              </w:rPr>
              <w:t>Bescherming poortwachters in geval van angst voor represailles</w:t>
            </w:r>
            <w:r w:rsidR="00536272">
              <w:rPr>
                <w:rFonts w:eastAsiaTheme="minorEastAsia"/>
                <w:szCs w:val="18"/>
              </w:rPr>
              <w:t xml:space="preserve"> bij het doen van meldingen </w:t>
            </w:r>
            <w:r w:rsidR="00536272">
              <w:rPr>
                <w:rFonts w:eastAsiaTheme="minorEastAsia"/>
                <w:szCs w:val="18"/>
              </w:rPr>
              <w:lastRenderedPageBreak/>
              <w:t>van ongebruikelijke transacties.</w:t>
            </w:r>
          </w:p>
          <w:p w:rsidRPr="005D11CE" w:rsidR="00222343" w:rsidP="003E41FC" w:rsidRDefault="00222343" w14:paraId="01926B48" w14:textId="750780EA">
            <w:pPr>
              <w:spacing w:line="276" w:lineRule="auto"/>
              <w:rPr>
                <w:rFonts w:eastAsiaTheme="minorEastAsia"/>
                <w:b/>
                <w:bCs/>
                <w:szCs w:val="18"/>
              </w:rPr>
            </w:pPr>
          </w:p>
        </w:tc>
        <w:tc>
          <w:tcPr>
            <w:tcW w:w="6328" w:type="dxa"/>
          </w:tcPr>
          <w:p w:rsidRPr="005D11CE" w:rsidR="00AD418E" w:rsidP="003E41FC" w:rsidRDefault="43A62C42" w14:paraId="6398A982" w14:textId="761030F7">
            <w:pPr>
              <w:pStyle w:val="Lijstalinea"/>
              <w:numPr>
                <w:ilvl w:val="0"/>
                <w:numId w:val="11"/>
              </w:numPr>
              <w:spacing w:line="276" w:lineRule="auto"/>
              <w:rPr>
                <w:szCs w:val="18"/>
              </w:rPr>
            </w:pPr>
            <w:r w:rsidRPr="005D11CE">
              <w:rPr>
                <w:rFonts w:eastAsiaTheme="minorEastAsia"/>
                <w:szCs w:val="18"/>
              </w:rPr>
              <w:lastRenderedPageBreak/>
              <w:t xml:space="preserve">Om de integriteit van het financiële stelsel te waarborgen is het van groot belang dat poortwachters veilig hun werk kunnen doen. </w:t>
            </w:r>
          </w:p>
          <w:p w:rsidRPr="005D11CE" w:rsidR="000610AF" w:rsidP="003E41FC" w:rsidRDefault="00E7318E" w14:paraId="7428B10E" w14:textId="0BCDAEB5">
            <w:pPr>
              <w:pStyle w:val="Lijstalinea"/>
              <w:numPr>
                <w:ilvl w:val="0"/>
                <w:numId w:val="11"/>
              </w:numPr>
              <w:spacing w:line="276" w:lineRule="auto"/>
              <w:rPr>
                <w:i/>
                <w:iCs/>
                <w:szCs w:val="18"/>
              </w:rPr>
            </w:pPr>
            <w:r w:rsidRPr="005D11CE">
              <w:rPr>
                <w:rFonts w:eastAsiaTheme="minorEastAsia"/>
                <w:szCs w:val="18"/>
              </w:rPr>
              <w:t>Het kabinet heeft</w:t>
            </w:r>
            <w:r w:rsidRPr="005D11CE" w:rsidR="000610AF">
              <w:rPr>
                <w:rFonts w:eastAsiaTheme="minorEastAsia"/>
                <w:szCs w:val="18"/>
              </w:rPr>
              <w:t xml:space="preserve"> volop vertrouwen in de bestaande waarborgen die kunnen worden toegepast door OM en </w:t>
            </w:r>
            <w:r w:rsidRPr="005D11CE" w:rsidR="000610AF">
              <w:rPr>
                <w:rFonts w:eastAsiaTheme="minorEastAsia"/>
                <w:szCs w:val="18"/>
              </w:rPr>
              <w:lastRenderedPageBreak/>
              <w:t xml:space="preserve">opsporing ten behoeve van de veiligheid van poortwachters. Het is belangrijk dat poortwachters weten wat die waarborgen zijn en waar zij op kunnen rekenen wanneer hun veiligheid in het geding komt. De minister van </w:t>
            </w:r>
            <w:r w:rsidRPr="005D11CE" w:rsidR="00052BBF">
              <w:rPr>
                <w:rFonts w:eastAsiaTheme="minorEastAsia"/>
                <w:szCs w:val="18"/>
              </w:rPr>
              <w:t>Justitie en Veiligheid</w:t>
            </w:r>
            <w:r w:rsidRPr="005D11CE" w:rsidR="000610AF">
              <w:rPr>
                <w:rFonts w:eastAsiaTheme="minorEastAsia"/>
                <w:szCs w:val="18"/>
              </w:rPr>
              <w:t xml:space="preserve"> zet  in op voorlichting hierover.</w:t>
            </w:r>
          </w:p>
          <w:p w:rsidRPr="00B808C6" w:rsidR="005D11CE" w:rsidP="00A84CE8" w:rsidRDefault="0F823621" w14:paraId="1B15A9EB" w14:textId="77777777">
            <w:pPr>
              <w:pStyle w:val="Lijstalinea"/>
              <w:numPr>
                <w:ilvl w:val="0"/>
                <w:numId w:val="11"/>
              </w:numPr>
              <w:spacing w:line="276" w:lineRule="auto"/>
              <w:rPr>
                <w:szCs w:val="18"/>
              </w:rPr>
            </w:pPr>
            <w:r w:rsidRPr="005D11CE">
              <w:rPr>
                <w:rFonts w:eastAsiaTheme="minorEastAsia"/>
                <w:szCs w:val="18"/>
              </w:rPr>
              <w:t xml:space="preserve">In de komende halfjaarbrief georganiseerde ondermijnende criminaliteit gaat de minister van Justitie en Veiligheid nader in op dit onderwerp. De komende periode wordt ook bezien wat </w:t>
            </w:r>
            <w:r w:rsidRPr="005D11CE" w:rsidR="00806FCE">
              <w:rPr>
                <w:rFonts w:eastAsiaTheme="minorEastAsia"/>
                <w:szCs w:val="18"/>
              </w:rPr>
              <w:t>het AML-pakket</w:t>
            </w:r>
            <w:r w:rsidRPr="005D11CE">
              <w:rPr>
                <w:rFonts w:eastAsiaTheme="minorEastAsia"/>
                <w:szCs w:val="18"/>
              </w:rPr>
              <w:t xml:space="preserve"> voor eisen stel</w:t>
            </w:r>
            <w:r w:rsidRPr="005D11CE" w:rsidR="00806FCE">
              <w:rPr>
                <w:rFonts w:eastAsiaTheme="minorEastAsia"/>
                <w:szCs w:val="18"/>
              </w:rPr>
              <w:t>t</w:t>
            </w:r>
            <w:r w:rsidRPr="005D11CE">
              <w:rPr>
                <w:rFonts w:eastAsiaTheme="minorEastAsia"/>
                <w:szCs w:val="18"/>
              </w:rPr>
              <w:t xml:space="preserve"> aan de FIU-NL over de afscherming van melders, en wat dit concreet voor Nederland gaat betekenen. Als dit meer inzet van ons vraagt, kom</w:t>
            </w:r>
            <w:r w:rsidRPr="005D11CE" w:rsidR="00806FCE">
              <w:rPr>
                <w:rFonts w:eastAsiaTheme="minorEastAsia"/>
                <w:szCs w:val="18"/>
              </w:rPr>
              <w:t xml:space="preserve">t de minister van </w:t>
            </w:r>
            <w:r w:rsidRPr="005D11CE" w:rsidR="00052BBF">
              <w:rPr>
                <w:rFonts w:eastAsiaTheme="minorEastAsia"/>
                <w:szCs w:val="18"/>
              </w:rPr>
              <w:t>Justitie en Veiligheid</w:t>
            </w:r>
            <w:r w:rsidRPr="005D11CE" w:rsidR="00806FCE">
              <w:rPr>
                <w:rFonts w:eastAsiaTheme="minorEastAsia"/>
                <w:szCs w:val="18"/>
              </w:rPr>
              <w:t xml:space="preserve"> </w:t>
            </w:r>
            <w:r w:rsidRPr="005D11CE">
              <w:rPr>
                <w:rFonts w:eastAsiaTheme="minorEastAsia"/>
                <w:szCs w:val="18"/>
              </w:rPr>
              <w:t>daar op terug.</w:t>
            </w:r>
          </w:p>
          <w:p w:rsidRPr="00A84CE8" w:rsidR="00B808C6" w:rsidP="00B808C6" w:rsidRDefault="00B808C6" w14:paraId="692A6219" w14:textId="36847952">
            <w:pPr>
              <w:pStyle w:val="Lijstalinea"/>
              <w:spacing w:line="276" w:lineRule="auto"/>
              <w:ind w:left="360"/>
              <w:rPr>
                <w:szCs w:val="18"/>
              </w:rPr>
            </w:pPr>
          </w:p>
        </w:tc>
      </w:tr>
      <w:tr w:rsidRPr="005D11CE" w:rsidR="005D11CE" w:rsidTr="00536272" w14:paraId="6861D029" w14:textId="77777777">
        <w:tc>
          <w:tcPr>
            <w:tcW w:w="2689" w:type="dxa"/>
          </w:tcPr>
          <w:p w:rsidRPr="005D11CE" w:rsidR="00222343" w:rsidP="00A84CE8" w:rsidRDefault="00536272" w14:paraId="676D1F8D" w14:textId="6E770841">
            <w:pPr>
              <w:spacing w:line="276" w:lineRule="auto"/>
              <w:rPr>
                <w:rFonts w:eastAsiaTheme="minorEastAsia"/>
                <w:b/>
                <w:bCs/>
                <w:szCs w:val="18"/>
              </w:rPr>
            </w:pPr>
            <w:r>
              <w:rPr>
                <w:rFonts w:eastAsiaTheme="minorEastAsia"/>
                <w:szCs w:val="18"/>
              </w:rPr>
              <w:lastRenderedPageBreak/>
              <w:t>Geef p</w:t>
            </w:r>
            <w:r w:rsidRPr="005D11CE" w:rsidR="43A62C42">
              <w:rPr>
                <w:rFonts w:eastAsiaTheme="minorEastAsia"/>
                <w:szCs w:val="18"/>
              </w:rPr>
              <w:t>ublieke voorlichting over de rol en verantwoordelijkheden van poortwachters</w:t>
            </w:r>
          </w:p>
        </w:tc>
        <w:tc>
          <w:tcPr>
            <w:tcW w:w="6328" w:type="dxa"/>
          </w:tcPr>
          <w:p w:rsidRPr="00B808C6" w:rsidR="00222343" w:rsidP="003E41FC" w:rsidRDefault="00603E5D" w14:paraId="743165CF" w14:textId="77777777">
            <w:pPr>
              <w:pStyle w:val="Lijstalinea"/>
              <w:numPr>
                <w:ilvl w:val="0"/>
                <w:numId w:val="14"/>
              </w:numPr>
              <w:spacing w:line="276" w:lineRule="auto"/>
              <w:rPr>
                <w:szCs w:val="18"/>
              </w:rPr>
            </w:pPr>
            <w:r>
              <w:rPr>
                <w:rFonts w:eastAsiaTheme="minorEastAsia"/>
                <w:szCs w:val="18"/>
              </w:rPr>
              <w:t>We verkennen in het najaar 2025 of en hoe doelgerichte en doelgroepgerichte communicatie zinvol kan zijn om burgers en ondernemers bewust te maken van de anti-witwasaanpak, en waarom zij daar soms mee te maken krijgen.</w:t>
            </w:r>
          </w:p>
          <w:p w:rsidRPr="00A84CE8" w:rsidR="00B808C6" w:rsidP="00B808C6" w:rsidRDefault="00B808C6" w14:paraId="606045C7" w14:textId="58C09092">
            <w:pPr>
              <w:pStyle w:val="Lijstalinea"/>
              <w:spacing w:line="276" w:lineRule="auto"/>
              <w:ind w:left="360"/>
              <w:rPr>
                <w:szCs w:val="18"/>
              </w:rPr>
            </w:pPr>
          </w:p>
        </w:tc>
      </w:tr>
      <w:tr w:rsidRPr="005D11CE" w:rsidR="005D11CE" w:rsidTr="00536272" w14:paraId="185A99DA" w14:textId="77777777">
        <w:tc>
          <w:tcPr>
            <w:tcW w:w="2689" w:type="dxa"/>
          </w:tcPr>
          <w:p w:rsidRPr="005D11CE" w:rsidR="00222343" w:rsidP="00A84CE8" w:rsidRDefault="00536272" w14:paraId="6B701479" w14:textId="67848FEF">
            <w:pPr>
              <w:spacing w:line="276" w:lineRule="auto"/>
              <w:rPr>
                <w:rFonts w:eastAsiaTheme="minorEastAsia"/>
                <w:b/>
                <w:bCs/>
                <w:szCs w:val="18"/>
              </w:rPr>
            </w:pPr>
            <w:r>
              <w:rPr>
                <w:rFonts w:eastAsiaTheme="minorEastAsia"/>
                <w:szCs w:val="18"/>
              </w:rPr>
              <w:t>Wijs een nationale coördinator namens de overheid aan die de regie pakt in de nationale anti-witwasaanpak.</w:t>
            </w:r>
          </w:p>
        </w:tc>
        <w:tc>
          <w:tcPr>
            <w:tcW w:w="6328" w:type="dxa"/>
          </w:tcPr>
          <w:p w:rsidR="00822975" w:rsidP="003E41FC" w:rsidRDefault="00B97332" w14:paraId="34459073" w14:textId="5C2BAB7C">
            <w:pPr>
              <w:pStyle w:val="Lijstalinea"/>
              <w:numPr>
                <w:ilvl w:val="0"/>
                <w:numId w:val="14"/>
              </w:numPr>
              <w:spacing w:line="276" w:lineRule="auto"/>
              <w:rPr>
                <w:rFonts w:eastAsiaTheme="minorEastAsia"/>
                <w:szCs w:val="18"/>
              </w:rPr>
            </w:pPr>
            <w:r>
              <w:rPr>
                <w:rFonts w:eastAsiaTheme="minorEastAsia"/>
                <w:szCs w:val="18"/>
              </w:rPr>
              <w:t>We zien</w:t>
            </w:r>
            <w:r w:rsidR="00BF3129">
              <w:rPr>
                <w:rFonts w:eastAsiaTheme="minorEastAsia"/>
                <w:szCs w:val="18"/>
              </w:rPr>
              <w:t xml:space="preserve"> geen meerwaarde in een aparte entiteit als nationaal coördinator.</w:t>
            </w:r>
          </w:p>
          <w:p w:rsidRPr="00B808C6" w:rsidR="005D11CE" w:rsidP="00A84CE8" w:rsidRDefault="00B97332" w14:paraId="0C65CAE1" w14:textId="77777777">
            <w:pPr>
              <w:pStyle w:val="Lijstalinea"/>
              <w:numPr>
                <w:ilvl w:val="0"/>
                <w:numId w:val="14"/>
              </w:numPr>
              <w:spacing w:line="276" w:lineRule="auto"/>
              <w:rPr>
                <w:rFonts w:eastAsiaTheme="minorEastAsia"/>
                <w:b/>
                <w:bCs/>
                <w:szCs w:val="18"/>
              </w:rPr>
            </w:pPr>
            <w:r>
              <w:rPr>
                <w:rFonts w:eastAsiaTheme="minorEastAsia"/>
                <w:szCs w:val="18"/>
              </w:rPr>
              <w:t>Er kan wel meer regie worden genomen</w:t>
            </w:r>
            <w:r w:rsidRPr="00766C85" w:rsidR="00822975">
              <w:rPr>
                <w:rFonts w:eastAsiaTheme="minorEastAsia"/>
                <w:szCs w:val="18"/>
              </w:rPr>
              <w:t xml:space="preserve"> op </w:t>
            </w:r>
            <w:r w:rsidR="00DC0844">
              <w:rPr>
                <w:rFonts w:eastAsiaTheme="minorEastAsia"/>
                <w:szCs w:val="18"/>
              </w:rPr>
              <w:t xml:space="preserve">de </w:t>
            </w:r>
            <w:proofErr w:type="spellStart"/>
            <w:r w:rsidRPr="00766C85" w:rsidR="00822975">
              <w:rPr>
                <w:rFonts w:eastAsiaTheme="minorEastAsia"/>
                <w:szCs w:val="18"/>
              </w:rPr>
              <w:t>risicogebaseerde</w:t>
            </w:r>
            <w:proofErr w:type="spellEnd"/>
            <w:r w:rsidRPr="00766C85" w:rsidR="00822975">
              <w:rPr>
                <w:rFonts w:eastAsiaTheme="minorEastAsia"/>
                <w:szCs w:val="18"/>
              </w:rPr>
              <w:t xml:space="preserve"> anti-witwasaanpak. Voor onze acties op dit terrein verwijzen we naar de kamerbrief.</w:t>
            </w:r>
          </w:p>
          <w:p w:rsidRPr="00DC0844" w:rsidR="00B808C6" w:rsidP="00B808C6" w:rsidRDefault="00B808C6" w14:paraId="45CE59DF" w14:textId="6392BA6F">
            <w:pPr>
              <w:pStyle w:val="Lijstalinea"/>
              <w:spacing w:line="276" w:lineRule="auto"/>
              <w:ind w:left="360"/>
              <w:rPr>
                <w:rFonts w:eastAsiaTheme="minorEastAsia"/>
                <w:b/>
                <w:bCs/>
                <w:szCs w:val="18"/>
              </w:rPr>
            </w:pPr>
          </w:p>
        </w:tc>
      </w:tr>
      <w:tr w:rsidRPr="005D11CE" w:rsidR="005D11CE" w:rsidTr="00536272" w14:paraId="1ED28CDC" w14:textId="77777777">
        <w:tc>
          <w:tcPr>
            <w:tcW w:w="2689" w:type="dxa"/>
          </w:tcPr>
          <w:p w:rsidRPr="005D11CE" w:rsidR="00222343" w:rsidP="00536272" w:rsidRDefault="43A62C42" w14:paraId="66CD11DD" w14:textId="65DFDC64">
            <w:pPr>
              <w:spacing w:line="276" w:lineRule="auto"/>
              <w:rPr>
                <w:rFonts w:eastAsiaTheme="minorEastAsia"/>
                <w:b/>
                <w:bCs/>
                <w:szCs w:val="18"/>
              </w:rPr>
            </w:pPr>
            <w:r w:rsidRPr="005D11CE">
              <w:rPr>
                <w:rFonts w:eastAsiaTheme="minorEastAsia"/>
                <w:szCs w:val="18"/>
              </w:rPr>
              <w:t xml:space="preserve">Versterk, verdieping en </w:t>
            </w:r>
            <w:r w:rsidR="00536272">
              <w:rPr>
                <w:rFonts w:eastAsiaTheme="minorEastAsia"/>
                <w:szCs w:val="18"/>
              </w:rPr>
              <w:t xml:space="preserve">breid de nationale risk assessment uit. </w:t>
            </w:r>
          </w:p>
        </w:tc>
        <w:tc>
          <w:tcPr>
            <w:tcW w:w="6328" w:type="dxa"/>
          </w:tcPr>
          <w:p w:rsidR="00AD418E" w:rsidP="003E41FC" w:rsidRDefault="00167317" w14:paraId="1BC291FC" w14:textId="10B0F564">
            <w:pPr>
              <w:pStyle w:val="Lijstalinea"/>
              <w:numPr>
                <w:ilvl w:val="0"/>
                <w:numId w:val="15"/>
              </w:numPr>
              <w:spacing w:line="276" w:lineRule="auto"/>
              <w:rPr>
                <w:rFonts w:eastAsiaTheme="minorEastAsia"/>
                <w:szCs w:val="18"/>
              </w:rPr>
            </w:pPr>
            <w:r>
              <w:rPr>
                <w:rFonts w:eastAsiaTheme="minorEastAsia"/>
                <w:szCs w:val="18"/>
              </w:rPr>
              <w:t xml:space="preserve">We zijn na de publicatie van de </w:t>
            </w:r>
            <w:proofErr w:type="spellStart"/>
            <w:r>
              <w:rPr>
                <w:rFonts w:eastAsiaTheme="minorEastAsia"/>
                <w:szCs w:val="18"/>
              </w:rPr>
              <w:t>NRA’s</w:t>
            </w:r>
            <w:proofErr w:type="spellEnd"/>
            <w:r>
              <w:rPr>
                <w:rFonts w:eastAsiaTheme="minorEastAsia"/>
                <w:szCs w:val="18"/>
              </w:rPr>
              <w:t xml:space="preserve"> met poortwachters in gesprek gegaan over de uitkomsten van de </w:t>
            </w:r>
            <w:proofErr w:type="spellStart"/>
            <w:r>
              <w:rPr>
                <w:rFonts w:eastAsiaTheme="minorEastAsia"/>
                <w:szCs w:val="18"/>
              </w:rPr>
              <w:t>NRA’s</w:t>
            </w:r>
            <w:proofErr w:type="spellEnd"/>
            <w:r w:rsidR="00020B4F">
              <w:rPr>
                <w:rFonts w:eastAsiaTheme="minorEastAsia"/>
                <w:szCs w:val="18"/>
              </w:rPr>
              <w:t>. We blijven met hen in gesprek over</w:t>
            </w:r>
            <w:r>
              <w:rPr>
                <w:rFonts w:eastAsiaTheme="minorEastAsia"/>
                <w:szCs w:val="18"/>
              </w:rPr>
              <w:t xml:space="preserve"> hoe zij deze vertalen naar hun eigen anti-witwasbeleid en </w:t>
            </w:r>
            <w:proofErr w:type="spellStart"/>
            <w:r>
              <w:rPr>
                <w:rFonts w:eastAsiaTheme="minorEastAsia"/>
                <w:szCs w:val="18"/>
              </w:rPr>
              <w:t>risicogebaseerde</w:t>
            </w:r>
            <w:proofErr w:type="spellEnd"/>
            <w:r>
              <w:rPr>
                <w:rFonts w:eastAsiaTheme="minorEastAsia"/>
                <w:szCs w:val="18"/>
              </w:rPr>
              <w:t xml:space="preserve"> aanpak. </w:t>
            </w:r>
          </w:p>
          <w:p w:rsidR="00962AE3" w:rsidP="003E41FC" w:rsidRDefault="00962AE3" w14:paraId="46AFAFA8" w14:textId="6651516D">
            <w:pPr>
              <w:pStyle w:val="Lijstalinea"/>
              <w:numPr>
                <w:ilvl w:val="0"/>
                <w:numId w:val="15"/>
              </w:numPr>
              <w:spacing w:line="276" w:lineRule="auto"/>
              <w:rPr>
                <w:rFonts w:eastAsiaTheme="minorEastAsia"/>
                <w:szCs w:val="18"/>
              </w:rPr>
            </w:pPr>
            <w:r>
              <w:rPr>
                <w:rFonts w:eastAsiaTheme="minorEastAsia"/>
                <w:szCs w:val="18"/>
              </w:rPr>
              <w:t xml:space="preserve">De sector geeft aan dat er behoefte is aan een meer kwantitatieve analyse, en aan een toekomst- dan wel trendanalyse. </w:t>
            </w:r>
          </w:p>
          <w:p w:rsidR="00962AE3" w:rsidP="003E41FC" w:rsidRDefault="00962AE3" w14:paraId="3396F013" w14:textId="32662E2C">
            <w:pPr>
              <w:pStyle w:val="Lijstalinea"/>
              <w:numPr>
                <w:ilvl w:val="0"/>
                <w:numId w:val="15"/>
              </w:numPr>
              <w:spacing w:line="276" w:lineRule="auto"/>
              <w:rPr>
                <w:rFonts w:eastAsiaTheme="minorEastAsia"/>
                <w:szCs w:val="18"/>
              </w:rPr>
            </w:pPr>
            <w:r>
              <w:rPr>
                <w:rFonts w:eastAsiaTheme="minorEastAsia"/>
                <w:szCs w:val="18"/>
              </w:rPr>
              <w:t xml:space="preserve">Ook in de internationale Financial Action </w:t>
            </w:r>
            <w:proofErr w:type="spellStart"/>
            <w:r>
              <w:rPr>
                <w:rFonts w:eastAsiaTheme="minorEastAsia"/>
                <w:szCs w:val="18"/>
              </w:rPr>
              <w:t>Task</w:t>
            </w:r>
            <w:proofErr w:type="spellEnd"/>
            <w:r>
              <w:rPr>
                <w:rFonts w:eastAsiaTheme="minorEastAsia"/>
                <w:szCs w:val="18"/>
              </w:rPr>
              <w:t xml:space="preserve"> Force (FATF) is hier veel werk op geleverd. Zo dient er meer aandacht te komen voor lage risico’s in de NRA. </w:t>
            </w:r>
          </w:p>
          <w:p w:rsidRPr="005D11CE" w:rsidR="00962AE3" w:rsidP="003E41FC" w:rsidRDefault="00962AE3" w14:paraId="0A8A8269" w14:textId="5B92104C">
            <w:pPr>
              <w:pStyle w:val="Lijstalinea"/>
              <w:numPr>
                <w:ilvl w:val="0"/>
                <w:numId w:val="15"/>
              </w:numPr>
              <w:spacing w:line="276" w:lineRule="auto"/>
              <w:rPr>
                <w:rFonts w:eastAsiaTheme="minorEastAsia"/>
                <w:szCs w:val="18"/>
              </w:rPr>
            </w:pPr>
            <w:r>
              <w:rPr>
                <w:rFonts w:eastAsiaTheme="minorEastAsia"/>
                <w:szCs w:val="18"/>
              </w:rPr>
              <w:t>Bij het uitzetten van de volgende NRA wordt met geleerde lessen rekening gehouden.</w:t>
            </w:r>
          </w:p>
          <w:p w:rsidR="00AD418E" w:rsidP="003E41FC" w:rsidRDefault="000D77EE" w14:paraId="04653836" w14:textId="61060ACC">
            <w:pPr>
              <w:pStyle w:val="Lijstalinea"/>
              <w:numPr>
                <w:ilvl w:val="0"/>
                <w:numId w:val="15"/>
              </w:numPr>
              <w:spacing w:line="276" w:lineRule="auto"/>
              <w:rPr>
                <w:rFonts w:eastAsiaTheme="minorEastAsia"/>
                <w:szCs w:val="18"/>
              </w:rPr>
            </w:pPr>
            <w:r>
              <w:rPr>
                <w:rFonts w:eastAsiaTheme="minorEastAsia"/>
                <w:szCs w:val="18"/>
              </w:rPr>
              <w:t>Wij zullen ook het Financial Expertise Centrum</w:t>
            </w:r>
            <w:r w:rsidR="00020B4F">
              <w:rPr>
                <w:rFonts w:eastAsiaTheme="minorEastAsia"/>
                <w:szCs w:val="18"/>
              </w:rPr>
              <w:t xml:space="preserve"> (FEC)</w:t>
            </w:r>
            <w:r>
              <w:rPr>
                <w:rFonts w:eastAsiaTheme="minorEastAsia"/>
                <w:szCs w:val="18"/>
              </w:rPr>
              <w:t xml:space="preserve"> hierin op gepaste manier bevragen.</w:t>
            </w:r>
          </w:p>
          <w:p w:rsidR="00962AE3" w:rsidP="003E41FC" w:rsidRDefault="00962AE3" w14:paraId="2D4095F2" w14:textId="2258F051">
            <w:pPr>
              <w:pStyle w:val="Lijstalinea"/>
              <w:numPr>
                <w:ilvl w:val="0"/>
                <w:numId w:val="15"/>
              </w:numPr>
              <w:spacing w:line="276" w:lineRule="auto"/>
              <w:rPr>
                <w:rFonts w:eastAsiaTheme="minorEastAsia"/>
                <w:szCs w:val="18"/>
              </w:rPr>
            </w:pPr>
            <w:r>
              <w:rPr>
                <w:rFonts w:eastAsiaTheme="minorEastAsia"/>
                <w:szCs w:val="18"/>
              </w:rPr>
              <w:t xml:space="preserve">In het najaar </w:t>
            </w:r>
            <w:r w:rsidR="00706530">
              <w:rPr>
                <w:rFonts w:eastAsiaTheme="minorEastAsia"/>
                <w:szCs w:val="18"/>
              </w:rPr>
              <w:t xml:space="preserve">informeren wij </w:t>
            </w:r>
            <w:r>
              <w:rPr>
                <w:rFonts w:eastAsiaTheme="minorEastAsia"/>
                <w:szCs w:val="18"/>
              </w:rPr>
              <w:t>uw Kamer over de stappen die zijn gezet op de doorontwikkeling van de NRA.</w:t>
            </w:r>
          </w:p>
          <w:p w:rsidRPr="005D11CE" w:rsidR="005D11CE" w:rsidP="003E41FC" w:rsidRDefault="005D11CE" w14:paraId="64334B09" w14:textId="4DE3BB18">
            <w:pPr>
              <w:pStyle w:val="Lijstalinea"/>
              <w:spacing w:line="276" w:lineRule="auto"/>
              <w:ind w:left="360"/>
              <w:rPr>
                <w:rFonts w:eastAsiaTheme="minorEastAsia"/>
                <w:szCs w:val="18"/>
              </w:rPr>
            </w:pPr>
          </w:p>
        </w:tc>
      </w:tr>
      <w:tr w:rsidRPr="005D11CE" w:rsidR="005D11CE" w:rsidTr="00536272" w14:paraId="4FEF2E89" w14:textId="77777777">
        <w:tc>
          <w:tcPr>
            <w:tcW w:w="2689" w:type="dxa"/>
          </w:tcPr>
          <w:p w:rsidRPr="005D11CE" w:rsidR="00222343" w:rsidP="003E41FC" w:rsidRDefault="0F823621" w14:paraId="0E729FAD" w14:textId="74E2C390">
            <w:pPr>
              <w:spacing w:line="276" w:lineRule="auto"/>
              <w:rPr>
                <w:rFonts w:eastAsiaTheme="minorEastAsia"/>
                <w:b/>
                <w:bCs/>
                <w:szCs w:val="18"/>
              </w:rPr>
            </w:pPr>
            <w:r w:rsidRPr="005D11CE">
              <w:rPr>
                <w:rFonts w:eastAsiaTheme="minorEastAsia"/>
                <w:szCs w:val="18"/>
              </w:rPr>
              <w:t>Priorit</w:t>
            </w:r>
            <w:r w:rsidR="00536272">
              <w:rPr>
                <w:rFonts w:eastAsiaTheme="minorEastAsia"/>
                <w:szCs w:val="18"/>
              </w:rPr>
              <w:t xml:space="preserve">eer en stel een risk </w:t>
            </w:r>
            <w:proofErr w:type="spellStart"/>
            <w:r w:rsidR="00536272">
              <w:rPr>
                <w:rFonts w:eastAsiaTheme="minorEastAsia"/>
                <w:szCs w:val="18"/>
              </w:rPr>
              <w:t>appetite</w:t>
            </w:r>
            <w:proofErr w:type="spellEnd"/>
            <w:r w:rsidR="00536272">
              <w:rPr>
                <w:rFonts w:eastAsiaTheme="minorEastAsia"/>
                <w:szCs w:val="18"/>
              </w:rPr>
              <w:t xml:space="preserve"> vast om focus aan te brengen in de </w:t>
            </w:r>
            <w:proofErr w:type="spellStart"/>
            <w:r w:rsidR="00536272">
              <w:rPr>
                <w:rFonts w:eastAsiaTheme="minorEastAsia"/>
                <w:szCs w:val="18"/>
              </w:rPr>
              <w:t>risicogebaseerde</w:t>
            </w:r>
            <w:proofErr w:type="spellEnd"/>
            <w:r w:rsidR="00536272">
              <w:rPr>
                <w:rFonts w:eastAsiaTheme="minorEastAsia"/>
                <w:szCs w:val="18"/>
              </w:rPr>
              <w:t xml:space="preserve"> </w:t>
            </w:r>
            <w:r w:rsidR="004B27FE">
              <w:rPr>
                <w:rFonts w:eastAsiaTheme="minorEastAsia"/>
                <w:szCs w:val="18"/>
              </w:rPr>
              <w:t>aanpak</w:t>
            </w:r>
            <w:r w:rsidR="00536272">
              <w:rPr>
                <w:rFonts w:eastAsiaTheme="minorEastAsia"/>
                <w:szCs w:val="18"/>
              </w:rPr>
              <w:t>.</w:t>
            </w:r>
          </w:p>
        </w:tc>
        <w:tc>
          <w:tcPr>
            <w:tcW w:w="6328" w:type="dxa"/>
          </w:tcPr>
          <w:p w:rsidRPr="005D11CE" w:rsidR="00C54E19" w:rsidP="003E41FC" w:rsidRDefault="00C54E19" w14:paraId="5E647BD3" w14:textId="5289D736">
            <w:pPr>
              <w:pStyle w:val="Lijstalinea"/>
              <w:numPr>
                <w:ilvl w:val="0"/>
                <w:numId w:val="15"/>
              </w:numPr>
              <w:spacing w:line="276" w:lineRule="auto"/>
              <w:rPr>
                <w:rFonts w:eastAsiaTheme="minorEastAsia"/>
                <w:szCs w:val="18"/>
              </w:rPr>
            </w:pPr>
            <w:r w:rsidRPr="005D11CE">
              <w:rPr>
                <w:rFonts w:eastAsiaTheme="minorEastAsia"/>
                <w:szCs w:val="18"/>
              </w:rPr>
              <w:t>De bovenstaande acties op Nationaal Coördinator en doorontwikkeling NRA helpen hierbij</w:t>
            </w:r>
            <w:r w:rsidRPr="005D11CE" w:rsidR="001271AC">
              <w:rPr>
                <w:rFonts w:eastAsiaTheme="minorEastAsia"/>
                <w:szCs w:val="18"/>
              </w:rPr>
              <w:t xml:space="preserve"> en geven </w:t>
            </w:r>
            <w:r w:rsidR="00B97332">
              <w:rPr>
                <w:rFonts w:eastAsiaTheme="minorEastAsia"/>
                <w:szCs w:val="18"/>
              </w:rPr>
              <w:t>o.i.</w:t>
            </w:r>
            <w:r w:rsidRPr="005D11CE" w:rsidR="001271AC">
              <w:rPr>
                <w:rFonts w:eastAsiaTheme="minorEastAsia"/>
                <w:szCs w:val="18"/>
              </w:rPr>
              <w:t xml:space="preserve"> invulling aan deze wens. </w:t>
            </w:r>
          </w:p>
        </w:tc>
      </w:tr>
    </w:tbl>
    <w:p w:rsidRPr="005D11CE" w:rsidR="00222343" w:rsidP="003E41FC" w:rsidRDefault="00222343" w14:paraId="74AEA3D8" w14:textId="77777777">
      <w:pPr>
        <w:spacing w:line="276" w:lineRule="auto"/>
        <w:rPr>
          <w:szCs w:val="18"/>
        </w:rPr>
      </w:pPr>
    </w:p>
    <w:p w:rsidRPr="005D11CE" w:rsidR="00222343" w:rsidP="003E41FC" w:rsidRDefault="00222343" w14:paraId="2CC0CE3D" w14:textId="77777777">
      <w:pPr>
        <w:spacing w:line="276" w:lineRule="auto"/>
        <w:rPr>
          <w:szCs w:val="18"/>
        </w:rPr>
      </w:pPr>
    </w:p>
    <w:sectPr w:rsidRPr="005D11CE" w:rsidR="00222343" w:rsidSect="001E6A24">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F8525" w14:textId="77777777" w:rsidR="001271AC" w:rsidRDefault="001271AC" w:rsidP="001271AC">
      <w:pPr>
        <w:spacing w:after="0" w:line="240" w:lineRule="auto"/>
      </w:pPr>
      <w:r>
        <w:separator/>
      </w:r>
    </w:p>
  </w:endnote>
  <w:endnote w:type="continuationSeparator" w:id="0">
    <w:p w14:paraId="09A97AAA" w14:textId="77777777" w:rsidR="001271AC" w:rsidRDefault="001271AC" w:rsidP="001271AC">
      <w:pPr>
        <w:spacing w:after="0" w:line="240" w:lineRule="auto"/>
      </w:pPr>
      <w:r>
        <w:continuationSeparator/>
      </w:r>
    </w:p>
  </w:endnote>
  <w:endnote w:type="continuationNotice" w:id="1">
    <w:p w14:paraId="5E5A6BBE" w14:textId="77777777" w:rsidR="00C20C49" w:rsidRDefault="00C20C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5C8D1" w14:textId="77777777" w:rsidR="001271AC" w:rsidRDefault="001271AC" w:rsidP="001271AC">
      <w:pPr>
        <w:spacing w:after="0" w:line="240" w:lineRule="auto"/>
      </w:pPr>
      <w:r>
        <w:separator/>
      </w:r>
    </w:p>
  </w:footnote>
  <w:footnote w:type="continuationSeparator" w:id="0">
    <w:p w14:paraId="639F1F7D" w14:textId="77777777" w:rsidR="001271AC" w:rsidRDefault="001271AC" w:rsidP="001271AC">
      <w:pPr>
        <w:spacing w:after="0" w:line="240" w:lineRule="auto"/>
      </w:pPr>
      <w:r>
        <w:continuationSeparator/>
      </w:r>
    </w:p>
  </w:footnote>
  <w:footnote w:type="continuationNotice" w:id="1">
    <w:p w14:paraId="7965D693" w14:textId="77777777" w:rsidR="00C20C49" w:rsidRDefault="00C20C49">
      <w:pPr>
        <w:spacing w:after="0" w:line="240" w:lineRule="auto"/>
      </w:pPr>
    </w:p>
  </w:footnote>
  <w:footnote w:id="2">
    <w:p w14:paraId="57CE8128" w14:textId="6B92F8C7" w:rsidR="001C024B" w:rsidRPr="00F25D29" w:rsidRDefault="001C024B">
      <w:pPr>
        <w:pStyle w:val="Voetnoottekst"/>
        <w:rPr>
          <w:sz w:val="14"/>
          <w:szCs w:val="14"/>
        </w:rPr>
      </w:pPr>
      <w:r w:rsidRPr="00F25D29">
        <w:rPr>
          <w:rStyle w:val="Voetnootmarkering"/>
          <w:sz w:val="14"/>
          <w:szCs w:val="14"/>
        </w:rPr>
        <w:footnoteRef/>
      </w:r>
      <w:r w:rsidRPr="00F25D29">
        <w:rPr>
          <w:sz w:val="14"/>
          <w:szCs w:val="14"/>
        </w:rPr>
        <w:t xml:space="preserve"> </w:t>
      </w:r>
      <w:hyperlink r:id="rId1" w:history="1">
        <w:r w:rsidRPr="00F25D29">
          <w:rPr>
            <w:rStyle w:val="Hyperlink"/>
            <w:sz w:val="14"/>
            <w:szCs w:val="14"/>
          </w:rPr>
          <w:t>Krachten gebundeld - KPMG Nederland</w:t>
        </w:r>
      </w:hyperlink>
    </w:p>
  </w:footnote>
  <w:footnote w:id="3">
    <w:p w14:paraId="6E4E967A" w14:textId="72398A41" w:rsidR="000E3540" w:rsidRPr="005D11CE" w:rsidRDefault="000E3540">
      <w:pPr>
        <w:pStyle w:val="Voetnoottekst"/>
        <w:rPr>
          <w:sz w:val="14"/>
          <w:szCs w:val="14"/>
        </w:rPr>
      </w:pPr>
      <w:r w:rsidRPr="005D11CE">
        <w:rPr>
          <w:rStyle w:val="Voetnootmarkering"/>
          <w:sz w:val="14"/>
          <w:szCs w:val="14"/>
        </w:rPr>
        <w:footnoteRef/>
      </w:r>
      <w:r w:rsidR="00797AED" w:rsidRPr="005D11CE">
        <w:rPr>
          <w:sz w:val="14"/>
          <w:szCs w:val="14"/>
        </w:rPr>
        <w:t>Motie van de leden Six Dijkstra/Idsinga</w:t>
      </w:r>
      <w:r w:rsidRPr="005D11CE">
        <w:rPr>
          <w:sz w:val="14"/>
          <w:szCs w:val="14"/>
        </w:rPr>
        <w:t xml:space="preserve"> </w:t>
      </w:r>
      <w:hyperlink r:id="rId2" w:tgtFrame="_blank" w:history="1">
        <w:r w:rsidR="00797AED" w:rsidRPr="005D11CE">
          <w:rPr>
            <w:rStyle w:val="Hyperlink"/>
            <w:sz w:val="14"/>
            <w:szCs w:val="14"/>
          </w:rPr>
          <w:t>Kamerstukken II 2024-2025, 36 584, nr. 15</w:t>
        </w:r>
      </w:hyperlink>
    </w:p>
  </w:footnote>
  <w:footnote w:id="4">
    <w:p w14:paraId="44265470" w14:textId="53F91997" w:rsidR="00797AED" w:rsidRPr="005D11CE" w:rsidRDefault="00797AED">
      <w:pPr>
        <w:pStyle w:val="Voetnoottekst"/>
        <w:rPr>
          <w:sz w:val="14"/>
          <w:szCs w:val="14"/>
        </w:rPr>
      </w:pPr>
      <w:r w:rsidRPr="005D11CE">
        <w:rPr>
          <w:rStyle w:val="Voetnootmarkering"/>
          <w:sz w:val="14"/>
          <w:szCs w:val="14"/>
        </w:rPr>
        <w:footnoteRef/>
      </w:r>
      <w:r w:rsidRPr="005D11CE">
        <w:rPr>
          <w:sz w:val="14"/>
          <w:szCs w:val="14"/>
        </w:rPr>
        <w:t xml:space="preserve"> Het Financieel Expertise Centrum (FEC) is een samenwerkingsverband tussen autoriteiten met een toezicht-, controle-, vervolgings- of opsporingstaak in de financiële sector en is opgericht om de integriteit van deze sector te versterken. </w:t>
      </w:r>
    </w:p>
  </w:footnote>
  <w:footnote w:id="5">
    <w:p w14:paraId="3A3C4FDE" w14:textId="6C21F17B" w:rsidR="00797AED" w:rsidRDefault="00797AED" w:rsidP="00797AED">
      <w:pPr>
        <w:pStyle w:val="Voetnoottekst"/>
      </w:pPr>
      <w:r w:rsidRPr="005D11CE">
        <w:rPr>
          <w:rStyle w:val="Voetnootmarkering"/>
          <w:sz w:val="14"/>
          <w:szCs w:val="14"/>
        </w:rPr>
        <w:footnoteRef/>
      </w:r>
      <w:r w:rsidRPr="005D11CE">
        <w:rPr>
          <w:sz w:val="14"/>
          <w:szCs w:val="14"/>
        </w:rPr>
        <w:t xml:space="preserve"> </w:t>
      </w:r>
      <w:proofErr w:type="spellStart"/>
      <w:r w:rsidRPr="005D11CE">
        <w:rPr>
          <w:sz w:val="14"/>
          <w:szCs w:val="14"/>
        </w:rPr>
        <w:t>Fintell</w:t>
      </w:r>
      <w:proofErr w:type="spellEnd"/>
      <w:r w:rsidRPr="005D11CE">
        <w:rPr>
          <w:sz w:val="14"/>
          <w:szCs w:val="14"/>
        </w:rPr>
        <w:t xml:space="preserve"> Alliance is een publiek private samenwerking (PPS) tussen de FIU-Nederland en de vier grootbanken: ABN AMRO, ING, Rabobank en de Volksbank.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5AE9"/>
    <w:multiLevelType w:val="hybridMultilevel"/>
    <w:tmpl w:val="9E2ED3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92205D6"/>
    <w:multiLevelType w:val="hybridMultilevel"/>
    <w:tmpl w:val="40FEE49E"/>
    <w:lvl w:ilvl="0" w:tplc="3DC880D8">
      <w:start w:val="1"/>
      <w:numFmt w:val="bullet"/>
      <w:lvlText w:val=""/>
      <w:lvlJc w:val="left"/>
      <w:pPr>
        <w:ind w:left="720" w:hanging="360"/>
      </w:pPr>
      <w:rPr>
        <w:rFonts w:ascii="Symbol" w:hAnsi="Symbol" w:hint="default"/>
      </w:rPr>
    </w:lvl>
    <w:lvl w:ilvl="1" w:tplc="63B0DF66">
      <w:start w:val="1"/>
      <w:numFmt w:val="bullet"/>
      <w:lvlText w:val="o"/>
      <w:lvlJc w:val="left"/>
      <w:pPr>
        <w:ind w:left="1440" w:hanging="360"/>
      </w:pPr>
      <w:rPr>
        <w:rFonts w:ascii="Courier New" w:hAnsi="Courier New" w:hint="default"/>
      </w:rPr>
    </w:lvl>
    <w:lvl w:ilvl="2" w:tplc="F3BAD896">
      <w:start w:val="1"/>
      <w:numFmt w:val="bullet"/>
      <w:lvlText w:val=""/>
      <w:lvlJc w:val="left"/>
      <w:pPr>
        <w:ind w:left="2160" w:hanging="360"/>
      </w:pPr>
      <w:rPr>
        <w:rFonts w:ascii="Wingdings" w:hAnsi="Wingdings" w:hint="default"/>
      </w:rPr>
    </w:lvl>
    <w:lvl w:ilvl="3" w:tplc="A7B439C6">
      <w:start w:val="1"/>
      <w:numFmt w:val="bullet"/>
      <w:lvlText w:val=""/>
      <w:lvlJc w:val="left"/>
      <w:pPr>
        <w:ind w:left="2880" w:hanging="360"/>
      </w:pPr>
      <w:rPr>
        <w:rFonts w:ascii="Symbol" w:hAnsi="Symbol" w:hint="default"/>
      </w:rPr>
    </w:lvl>
    <w:lvl w:ilvl="4" w:tplc="BF60461C">
      <w:start w:val="1"/>
      <w:numFmt w:val="bullet"/>
      <w:lvlText w:val="o"/>
      <w:lvlJc w:val="left"/>
      <w:pPr>
        <w:ind w:left="3600" w:hanging="360"/>
      </w:pPr>
      <w:rPr>
        <w:rFonts w:ascii="Courier New" w:hAnsi="Courier New" w:hint="default"/>
      </w:rPr>
    </w:lvl>
    <w:lvl w:ilvl="5" w:tplc="2550F9B6">
      <w:start w:val="1"/>
      <w:numFmt w:val="bullet"/>
      <w:lvlText w:val=""/>
      <w:lvlJc w:val="left"/>
      <w:pPr>
        <w:ind w:left="4320" w:hanging="360"/>
      </w:pPr>
      <w:rPr>
        <w:rFonts w:ascii="Wingdings" w:hAnsi="Wingdings" w:hint="default"/>
      </w:rPr>
    </w:lvl>
    <w:lvl w:ilvl="6" w:tplc="713C9414">
      <w:start w:val="1"/>
      <w:numFmt w:val="bullet"/>
      <w:lvlText w:val=""/>
      <w:lvlJc w:val="left"/>
      <w:pPr>
        <w:ind w:left="5040" w:hanging="360"/>
      </w:pPr>
      <w:rPr>
        <w:rFonts w:ascii="Symbol" w:hAnsi="Symbol" w:hint="default"/>
      </w:rPr>
    </w:lvl>
    <w:lvl w:ilvl="7" w:tplc="560A0F0C">
      <w:start w:val="1"/>
      <w:numFmt w:val="bullet"/>
      <w:lvlText w:val="o"/>
      <w:lvlJc w:val="left"/>
      <w:pPr>
        <w:ind w:left="5760" w:hanging="360"/>
      </w:pPr>
      <w:rPr>
        <w:rFonts w:ascii="Courier New" w:hAnsi="Courier New" w:hint="default"/>
      </w:rPr>
    </w:lvl>
    <w:lvl w:ilvl="8" w:tplc="919C9BFE">
      <w:start w:val="1"/>
      <w:numFmt w:val="bullet"/>
      <w:lvlText w:val=""/>
      <w:lvlJc w:val="left"/>
      <w:pPr>
        <w:ind w:left="6480" w:hanging="360"/>
      </w:pPr>
      <w:rPr>
        <w:rFonts w:ascii="Wingdings" w:hAnsi="Wingdings" w:hint="default"/>
      </w:rPr>
    </w:lvl>
  </w:abstractNum>
  <w:abstractNum w:abstractNumId="2" w15:restartNumberingAfterBreak="0">
    <w:nsid w:val="0F1846BB"/>
    <w:multiLevelType w:val="hybridMultilevel"/>
    <w:tmpl w:val="48C8816A"/>
    <w:lvl w:ilvl="0" w:tplc="34D092E2">
      <w:start w:val="1"/>
      <w:numFmt w:val="bullet"/>
      <w:lvlText w:val=""/>
      <w:lvlJc w:val="left"/>
      <w:pPr>
        <w:ind w:left="360" w:hanging="360"/>
      </w:pPr>
      <w:rPr>
        <w:rFonts w:ascii="Symbol" w:hAnsi="Symbol" w:hint="default"/>
      </w:rPr>
    </w:lvl>
    <w:lvl w:ilvl="1" w:tplc="66FAF388">
      <w:start w:val="1"/>
      <w:numFmt w:val="bullet"/>
      <w:lvlText w:val="o"/>
      <w:lvlJc w:val="left"/>
      <w:pPr>
        <w:ind w:left="1080" w:hanging="360"/>
      </w:pPr>
      <w:rPr>
        <w:rFonts w:ascii="Courier New" w:hAnsi="Courier New" w:hint="default"/>
      </w:rPr>
    </w:lvl>
    <w:lvl w:ilvl="2" w:tplc="69F8DE72">
      <w:start w:val="1"/>
      <w:numFmt w:val="bullet"/>
      <w:lvlText w:val=""/>
      <w:lvlJc w:val="left"/>
      <w:pPr>
        <w:ind w:left="1800" w:hanging="360"/>
      </w:pPr>
      <w:rPr>
        <w:rFonts w:ascii="Wingdings" w:hAnsi="Wingdings" w:hint="default"/>
      </w:rPr>
    </w:lvl>
    <w:lvl w:ilvl="3" w:tplc="76D2CD1A">
      <w:start w:val="1"/>
      <w:numFmt w:val="bullet"/>
      <w:lvlText w:val=""/>
      <w:lvlJc w:val="left"/>
      <w:pPr>
        <w:ind w:left="2520" w:hanging="360"/>
      </w:pPr>
      <w:rPr>
        <w:rFonts w:ascii="Symbol" w:hAnsi="Symbol" w:hint="default"/>
      </w:rPr>
    </w:lvl>
    <w:lvl w:ilvl="4" w:tplc="EAD0EA24">
      <w:start w:val="1"/>
      <w:numFmt w:val="bullet"/>
      <w:lvlText w:val="o"/>
      <w:lvlJc w:val="left"/>
      <w:pPr>
        <w:ind w:left="3240" w:hanging="360"/>
      </w:pPr>
      <w:rPr>
        <w:rFonts w:ascii="Courier New" w:hAnsi="Courier New" w:hint="default"/>
      </w:rPr>
    </w:lvl>
    <w:lvl w:ilvl="5" w:tplc="FECA16A2">
      <w:start w:val="1"/>
      <w:numFmt w:val="bullet"/>
      <w:lvlText w:val=""/>
      <w:lvlJc w:val="left"/>
      <w:pPr>
        <w:ind w:left="3960" w:hanging="360"/>
      </w:pPr>
      <w:rPr>
        <w:rFonts w:ascii="Wingdings" w:hAnsi="Wingdings" w:hint="default"/>
      </w:rPr>
    </w:lvl>
    <w:lvl w:ilvl="6" w:tplc="BD18B188">
      <w:start w:val="1"/>
      <w:numFmt w:val="bullet"/>
      <w:lvlText w:val=""/>
      <w:lvlJc w:val="left"/>
      <w:pPr>
        <w:ind w:left="4680" w:hanging="360"/>
      </w:pPr>
      <w:rPr>
        <w:rFonts w:ascii="Symbol" w:hAnsi="Symbol" w:hint="default"/>
      </w:rPr>
    </w:lvl>
    <w:lvl w:ilvl="7" w:tplc="20FA82A2">
      <w:start w:val="1"/>
      <w:numFmt w:val="bullet"/>
      <w:lvlText w:val="o"/>
      <w:lvlJc w:val="left"/>
      <w:pPr>
        <w:ind w:left="5400" w:hanging="360"/>
      </w:pPr>
      <w:rPr>
        <w:rFonts w:ascii="Courier New" w:hAnsi="Courier New" w:hint="default"/>
      </w:rPr>
    </w:lvl>
    <w:lvl w:ilvl="8" w:tplc="ECB69CC4">
      <w:start w:val="1"/>
      <w:numFmt w:val="bullet"/>
      <w:lvlText w:val=""/>
      <w:lvlJc w:val="left"/>
      <w:pPr>
        <w:ind w:left="6120" w:hanging="360"/>
      </w:pPr>
      <w:rPr>
        <w:rFonts w:ascii="Wingdings" w:hAnsi="Wingdings" w:hint="default"/>
      </w:rPr>
    </w:lvl>
  </w:abstractNum>
  <w:abstractNum w:abstractNumId="3" w15:restartNumberingAfterBreak="0">
    <w:nsid w:val="106E0AF6"/>
    <w:multiLevelType w:val="hybridMultilevel"/>
    <w:tmpl w:val="7180B7A8"/>
    <w:lvl w:ilvl="0" w:tplc="427E66A8">
      <w:start w:val="1"/>
      <w:numFmt w:val="bullet"/>
      <w:lvlText w:val=""/>
      <w:lvlJc w:val="left"/>
      <w:pPr>
        <w:ind w:left="720" w:hanging="360"/>
      </w:pPr>
      <w:rPr>
        <w:rFonts w:ascii="Symbol" w:hAnsi="Symbol" w:hint="default"/>
      </w:rPr>
    </w:lvl>
    <w:lvl w:ilvl="1" w:tplc="B99C170C">
      <w:start w:val="1"/>
      <w:numFmt w:val="bullet"/>
      <w:lvlText w:val="o"/>
      <w:lvlJc w:val="left"/>
      <w:pPr>
        <w:ind w:left="1440" w:hanging="360"/>
      </w:pPr>
      <w:rPr>
        <w:rFonts w:ascii="Courier New" w:hAnsi="Courier New" w:hint="default"/>
      </w:rPr>
    </w:lvl>
    <w:lvl w:ilvl="2" w:tplc="A9188F9C">
      <w:start w:val="1"/>
      <w:numFmt w:val="bullet"/>
      <w:lvlText w:val=""/>
      <w:lvlJc w:val="left"/>
      <w:pPr>
        <w:ind w:left="2160" w:hanging="360"/>
      </w:pPr>
      <w:rPr>
        <w:rFonts w:ascii="Wingdings" w:hAnsi="Wingdings" w:hint="default"/>
      </w:rPr>
    </w:lvl>
    <w:lvl w:ilvl="3" w:tplc="DB44472C">
      <w:start w:val="1"/>
      <w:numFmt w:val="bullet"/>
      <w:lvlText w:val=""/>
      <w:lvlJc w:val="left"/>
      <w:pPr>
        <w:ind w:left="2880" w:hanging="360"/>
      </w:pPr>
      <w:rPr>
        <w:rFonts w:ascii="Symbol" w:hAnsi="Symbol" w:hint="default"/>
      </w:rPr>
    </w:lvl>
    <w:lvl w:ilvl="4" w:tplc="C34CCAA4">
      <w:start w:val="1"/>
      <w:numFmt w:val="bullet"/>
      <w:lvlText w:val="o"/>
      <w:lvlJc w:val="left"/>
      <w:pPr>
        <w:ind w:left="3600" w:hanging="360"/>
      </w:pPr>
      <w:rPr>
        <w:rFonts w:ascii="Courier New" w:hAnsi="Courier New" w:hint="default"/>
      </w:rPr>
    </w:lvl>
    <w:lvl w:ilvl="5" w:tplc="8E6A1500">
      <w:start w:val="1"/>
      <w:numFmt w:val="bullet"/>
      <w:lvlText w:val=""/>
      <w:lvlJc w:val="left"/>
      <w:pPr>
        <w:ind w:left="4320" w:hanging="360"/>
      </w:pPr>
      <w:rPr>
        <w:rFonts w:ascii="Wingdings" w:hAnsi="Wingdings" w:hint="default"/>
      </w:rPr>
    </w:lvl>
    <w:lvl w:ilvl="6" w:tplc="E4F63698">
      <w:start w:val="1"/>
      <w:numFmt w:val="bullet"/>
      <w:lvlText w:val=""/>
      <w:lvlJc w:val="left"/>
      <w:pPr>
        <w:ind w:left="5040" w:hanging="360"/>
      </w:pPr>
      <w:rPr>
        <w:rFonts w:ascii="Symbol" w:hAnsi="Symbol" w:hint="default"/>
      </w:rPr>
    </w:lvl>
    <w:lvl w:ilvl="7" w:tplc="CE8083EE">
      <w:start w:val="1"/>
      <w:numFmt w:val="bullet"/>
      <w:lvlText w:val="o"/>
      <w:lvlJc w:val="left"/>
      <w:pPr>
        <w:ind w:left="5760" w:hanging="360"/>
      </w:pPr>
      <w:rPr>
        <w:rFonts w:ascii="Courier New" w:hAnsi="Courier New" w:hint="default"/>
      </w:rPr>
    </w:lvl>
    <w:lvl w:ilvl="8" w:tplc="E82C63C4">
      <w:start w:val="1"/>
      <w:numFmt w:val="bullet"/>
      <w:lvlText w:val=""/>
      <w:lvlJc w:val="left"/>
      <w:pPr>
        <w:ind w:left="6480" w:hanging="360"/>
      </w:pPr>
      <w:rPr>
        <w:rFonts w:ascii="Wingdings" w:hAnsi="Wingdings" w:hint="default"/>
      </w:rPr>
    </w:lvl>
  </w:abstractNum>
  <w:abstractNum w:abstractNumId="4" w15:restartNumberingAfterBreak="0">
    <w:nsid w:val="12270F5F"/>
    <w:multiLevelType w:val="hybridMultilevel"/>
    <w:tmpl w:val="BFDE56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4261C17"/>
    <w:multiLevelType w:val="hybridMultilevel"/>
    <w:tmpl w:val="85E0463C"/>
    <w:lvl w:ilvl="0" w:tplc="D422C1EE">
      <w:start w:val="1"/>
      <w:numFmt w:val="bullet"/>
      <w:lvlText w:val=""/>
      <w:lvlJc w:val="left"/>
      <w:pPr>
        <w:ind w:left="720" w:hanging="360"/>
      </w:pPr>
      <w:rPr>
        <w:rFonts w:ascii="Symbol" w:hAnsi="Symbol" w:hint="default"/>
      </w:rPr>
    </w:lvl>
    <w:lvl w:ilvl="1" w:tplc="5A04DC24">
      <w:start w:val="1"/>
      <w:numFmt w:val="bullet"/>
      <w:lvlText w:val="o"/>
      <w:lvlJc w:val="left"/>
      <w:pPr>
        <w:ind w:left="1440" w:hanging="360"/>
      </w:pPr>
      <w:rPr>
        <w:rFonts w:ascii="Courier New" w:hAnsi="Courier New" w:hint="default"/>
      </w:rPr>
    </w:lvl>
    <w:lvl w:ilvl="2" w:tplc="DF206BD0">
      <w:start w:val="1"/>
      <w:numFmt w:val="bullet"/>
      <w:lvlText w:val=""/>
      <w:lvlJc w:val="left"/>
      <w:pPr>
        <w:ind w:left="2160" w:hanging="360"/>
      </w:pPr>
      <w:rPr>
        <w:rFonts w:ascii="Wingdings" w:hAnsi="Wingdings" w:hint="default"/>
      </w:rPr>
    </w:lvl>
    <w:lvl w:ilvl="3" w:tplc="682A6D22">
      <w:start w:val="1"/>
      <w:numFmt w:val="bullet"/>
      <w:lvlText w:val=""/>
      <w:lvlJc w:val="left"/>
      <w:pPr>
        <w:ind w:left="2880" w:hanging="360"/>
      </w:pPr>
      <w:rPr>
        <w:rFonts w:ascii="Symbol" w:hAnsi="Symbol" w:hint="default"/>
      </w:rPr>
    </w:lvl>
    <w:lvl w:ilvl="4" w:tplc="2E7838D6">
      <w:start w:val="1"/>
      <w:numFmt w:val="bullet"/>
      <w:lvlText w:val="o"/>
      <w:lvlJc w:val="left"/>
      <w:pPr>
        <w:ind w:left="3600" w:hanging="360"/>
      </w:pPr>
      <w:rPr>
        <w:rFonts w:ascii="Courier New" w:hAnsi="Courier New" w:hint="default"/>
      </w:rPr>
    </w:lvl>
    <w:lvl w:ilvl="5" w:tplc="EBCA67CA">
      <w:start w:val="1"/>
      <w:numFmt w:val="bullet"/>
      <w:lvlText w:val=""/>
      <w:lvlJc w:val="left"/>
      <w:pPr>
        <w:ind w:left="4320" w:hanging="360"/>
      </w:pPr>
      <w:rPr>
        <w:rFonts w:ascii="Wingdings" w:hAnsi="Wingdings" w:hint="default"/>
      </w:rPr>
    </w:lvl>
    <w:lvl w:ilvl="6" w:tplc="48F44A72">
      <w:start w:val="1"/>
      <w:numFmt w:val="bullet"/>
      <w:lvlText w:val=""/>
      <w:lvlJc w:val="left"/>
      <w:pPr>
        <w:ind w:left="5040" w:hanging="360"/>
      </w:pPr>
      <w:rPr>
        <w:rFonts w:ascii="Symbol" w:hAnsi="Symbol" w:hint="default"/>
      </w:rPr>
    </w:lvl>
    <w:lvl w:ilvl="7" w:tplc="82486820">
      <w:start w:val="1"/>
      <w:numFmt w:val="bullet"/>
      <w:lvlText w:val="o"/>
      <w:lvlJc w:val="left"/>
      <w:pPr>
        <w:ind w:left="5760" w:hanging="360"/>
      </w:pPr>
      <w:rPr>
        <w:rFonts w:ascii="Courier New" w:hAnsi="Courier New" w:hint="default"/>
      </w:rPr>
    </w:lvl>
    <w:lvl w:ilvl="8" w:tplc="2C10BAFC">
      <w:start w:val="1"/>
      <w:numFmt w:val="bullet"/>
      <w:lvlText w:val=""/>
      <w:lvlJc w:val="left"/>
      <w:pPr>
        <w:ind w:left="6480" w:hanging="360"/>
      </w:pPr>
      <w:rPr>
        <w:rFonts w:ascii="Wingdings" w:hAnsi="Wingdings" w:hint="default"/>
      </w:rPr>
    </w:lvl>
  </w:abstractNum>
  <w:abstractNum w:abstractNumId="6" w15:restartNumberingAfterBreak="0">
    <w:nsid w:val="19A91B79"/>
    <w:multiLevelType w:val="hybridMultilevel"/>
    <w:tmpl w:val="604CB45E"/>
    <w:lvl w:ilvl="0" w:tplc="F41C7A9E">
      <w:start w:val="1"/>
      <w:numFmt w:val="bullet"/>
      <w:lvlText w:val=""/>
      <w:lvlJc w:val="left"/>
      <w:pPr>
        <w:ind w:left="720" w:hanging="360"/>
      </w:pPr>
      <w:rPr>
        <w:rFonts w:ascii="Symbol" w:hAnsi="Symbol" w:hint="default"/>
      </w:rPr>
    </w:lvl>
    <w:lvl w:ilvl="1" w:tplc="9FC4AFB6">
      <w:start w:val="1"/>
      <w:numFmt w:val="bullet"/>
      <w:lvlText w:val="o"/>
      <w:lvlJc w:val="left"/>
      <w:pPr>
        <w:ind w:left="1440" w:hanging="360"/>
      </w:pPr>
      <w:rPr>
        <w:rFonts w:ascii="Courier New" w:hAnsi="Courier New" w:hint="default"/>
      </w:rPr>
    </w:lvl>
    <w:lvl w:ilvl="2" w:tplc="8E6E9036">
      <w:start w:val="1"/>
      <w:numFmt w:val="bullet"/>
      <w:lvlText w:val=""/>
      <w:lvlJc w:val="left"/>
      <w:pPr>
        <w:ind w:left="2160" w:hanging="360"/>
      </w:pPr>
      <w:rPr>
        <w:rFonts w:ascii="Wingdings" w:hAnsi="Wingdings" w:hint="default"/>
      </w:rPr>
    </w:lvl>
    <w:lvl w:ilvl="3" w:tplc="05E8D150">
      <w:start w:val="1"/>
      <w:numFmt w:val="bullet"/>
      <w:lvlText w:val=""/>
      <w:lvlJc w:val="left"/>
      <w:pPr>
        <w:ind w:left="2880" w:hanging="360"/>
      </w:pPr>
      <w:rPr>
        <w:rFonts w:ascii="Symbol" w:hAnsi="Symbol" w:hint="default"/>
      </w:rPr>
    </w:lvl>
    <w:lvl w:ilvl="4" w:tplc="7500F464">
      <w:start w:val="1"/>
      <w:numFmt w:val="bullet"/>
      <w:lvlText w:val="o"/>
      <w:lvlJc w:val="left"/>
      <w:pPr>
        <w:ind w:left="3600" w:hanging="360"/>
      </w:pPr>
      <w:rPr>
        <w:rFonts w:ascii="Courier New" w:hAnsi="Courier New" w:hint="default"/>
      </w:rPr>
    </w:lvl>
    <w:lvl w:ilvl="5" w:tplc="2270A32E">
      <w:start w:val="1"/>
      <w:numFmt w:val="bullet"/>
      <w:lvlText w:val=""/>
      <w:lvlJc w:val="left"/>
      <w:pPr>
        <w:ind w:left="4320" w:hanging="360"/>
      </w:pPr>
      <w:rPr>
        <w:rFonts w:ascii="Wingdings" w:hAnsi="Wingdings" w:hint="default"/>
      </w:rPr>
    </w:lvl>
    <w:lvl w:ilvl="6" w:tplc="9384C1AC">
      <w:start w:val="1"/>
      <w:numFmt w:val="bullet"/>
      <w:lvlText w:val=""/>
      <w:lvlJc w:val="left"/>
      <w:pPr>
        <w:ind w:left="5040" w:hanging="360"/>
      </w:pPr>
      <w:rPr>
        <w:rFonts w:ascii="Symbol" w:hAnsi="Symbol" w:hint="default"/>
      </w:rPr>
    </w:lvl>
    <w:lvl w:ilvl="7" w:tplc="8F3EC386">
      <w:start w:val="1"/>
      <w:numFmt w:val="bullet"/>
      <w:lvlText w:val="o"/>
      <w:lvlJc w:val="left"/>
      <w:pPr>
        <w:ind w:left="5760" w:hanging="360"/>
      </w:pPr>
      <w:rPr>
        <w:rFonts w:ascii="Courier New" w:hAnsi="Courier New" w:hint="default"/>
      </w:rPr>
    </w:lvl>
    <w:lvl w:ilvl="8" w:tplc="A4446800">
      <w:start w:val="1"/>
      <w:numFmt w:val="bullet"/>
      <w:lvlText w:val=""/>
      <w:lvlJc w:val="left"/>
      <w:pPr>
        <w:ind w:left="6480" w:hanging="360"/>
      </w:pPr>
      <w:rPr>
        <w:rFonts w:ascii="Wingdings" w:hAnsi="Wingdings" w:hint="default"/>
      </w:rPr>
    </w:lvl>
  </w:abstractNum>
  <w:abstractNum w:abstractNumId="7" w15:restartNumberingAfterBreak="0">
    <w:nsid w:val="1C2029AE"/>
    <w:multiLevelType w:val="hybridMultilevel"/>
    <w:tmpl w:val="00340EFA"/>
    <w:lvl w:ilvl="0" w:tplc="5E16E844">
      <w:start w:val="1"/>
      <w:numFmt w:val="bullet"/>
      <w:lvlText w:val=""/>
      <w:lvlJc w:val="left"/>
      <w:pPr>
        <w:ind w:left="720" w:hanging="360"/>
      </w:pPr>
      <w:rPr>
        <w:rFonts w:ascii="Symbol" w:hAnsi="Symbol" w:hint="default"/>
      </w:rPr>
    </w:lvl>
    <w:lvl w:ilvl="1" w:tplc="32D68A2C">
      <w:start w:val="1"/>
      <w:numFmt w:val="bullet"/>
      <w:lvlText w:val="o"/>
      <w:lvlJc w:val="left"/>
      <w:pPr>
        <w:ind w:left="1440" w:hanging="360"/>
      </w:pPr>
      <w:rPr>
        <w:rFonts w:ascii="Courier New" w:hAnsi="Courier New" w:hint="default"/>
      </w:rPr>
    </w:lvl>
    <w:lvl w:ilvl="2" w:tplc="5934A29C">
      <w:start w:val="1"/>
      <w:numFmt w:val="bullet"/>
      <w:lvlText w:val=""/>
      <w:lvlJc w:val="left"/>
      <w:pPr>
        <w:ind w:left="2160" w:hanging="360"/>
      </w:pPr>
      <w:rPr>
        <w:rFonts w:ascii="Wingdings" w:hAnsi="Wingdings" w:hint="default"/>
      </w:rPr>
    </w:lvl>
    <w:lvl w:ilvl="3" w:tplc="AA1A1618">
      <w:start w:val="1"/>
      <w:numFmt w:val="bullet"/>
      <w:lvlText w:val=""/>
      <w:lvlJc w:val="left"/>
      <w:pPr>
        <w:ind w:left="2880" w:hanging="360"/>
      </w:pPr>
      <w:rPr>
        <w:rFonts w:ascii="Symbol" w:hAnsi="Symbol" w:hint="default"/>
      </w:rPr>
    </w:lvl>
    <w:lvl w:ilvl="4" w:tplc="0EF645EC">
      <w:start w:val="1"/>
      <w:numFmt w:val="bullet"/>
      <w:lvlText w:val="o"/>
      <w:lvlJc w:val="left"/>
      <w:pPr>
        <w:ind w:left="3600" w:hanging="360"/>
      </w:pPr>
      <w:rPr>
        <w:rFonts w:ascii="Courier New" w:hAnsi="Courier New" w:hint="default"/>
      </w:rPr>
    </w:lvl>
    <w:lvl w:ilvl="5" w:tplc="BD7CF91E">
      <w:start w:val="1"/>
      <w:numFmt w:val="bullet"/>
      <w:lvlText w:val=""/>
      <w:lvlJc w:val="left"/>
      <w:pPr>
        <w:ind w:left="4320" w:hanging="360"/>
      </w:pPr>
      <w:rPr>
        <w:rFonts w:ascii="Wingdings" w:hAnsi="Wingdings" w:hint="default"/>
      </w:rPr>
    </w:lvl>
    <w:lvl w:ilvl="6" w:tplc="9BA46E4E">
      <w:start w:val="1"/>
      <w:numFmt w:val="bullet"/>
      <w:lvlText w:val=""/>
      <w:lvlJc w:val="left"/>
      <w:pPr>
        <w:ind w:left="5040" w:hanging="360"/>
      </w:pPr>
      <w:rPr>
        <w:rFonts w:ascii="Symbol" w:hAnsi="Symbol" w:hint="default"/>
      </w:rPr>
    </w:lvl>
    <w:lvl w:ilvl="7" w:tplc="01989CEE">
      <w:start w:val="1"/>
      <w:numFmt w:val="bullet"/>
      <w:lvlText w:val="o"/>
      <w:lvlJc w:val="left"/>
      <w:pPr>
        <w:ind w:left="5760" w:hanging="360"/>
      </w:pPr>
      <w:rPr>
        <w:rFonts w:ascii="Courier New" w:hAnsi="Courier New" w:hint="default"/>
      </w:rPr>
    </w:lvl>
    <w:lvl w:ilvl="8" w:tplc="D20A49AC">
      <w:start w:val="1"/>
      <w:numFmt w:val="bullet"/>
      <w:lvlText w:val=""/>
      <w:lvlJc w:val="left"/>
      <w:pPr>
        <w:ind w:left="6480" w:hanging="360"/>
      </w:pPr>
      <w:rPr>
        <w:rFonts w:ascii="Wingdings" w:hAnsi="Wingdings" w:hint="default"/>
      </w:rPr>
    </w:lvl>
  </w:abstractNum>
  <w:abstractNum w:abstractNumId="8" w15:restartNumberingAfterBreak="0">
    <w:nsid w:val="20BA2473"/>
    <w:multiLevelType w:val="hybridMultilevel"/>
    <w:tmpl w:val="07CEB3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8823070"/>
    <w:multiLevelType w:val="hybridMultilevel"/>
    <w:tmpl w:val="E53CE706"/>
    <w:lvl w:ilvl="0" w:tplc="75F2604E">
      <w:start w:val="1"/>
      <w:numFmt w:val="bullet"/>
      <w:lvlText w:val=""/>
      <w:lvlJc w:val="left"/>
      <w:pPr>
        <w:ind w:left="360" w:hanging="360"/>
      </w:pPr>
      <w:rPr>
        <w:rFonts w:ascii="Symbol" w:hAnsi="Symbol" w:hint="default"/>
      </w:rPr>
    </w:lvl>
    <w:lvl w:ilvl="1" w:tplc="1BAA8B9E">
      <w:start w:val="1"/>
      <w:numFmt w:val="bullet"/>
      <w:lvlText w:val="o"/>
      <w:lvlJc w:val="left"/>
      <w:pPr>
        <w:ind w:left="1080" w:hanging="360"/>
      </w:pPr>
      <w:rPr>
        <w:rFonts w:ascii="Courier New" w:hAnsi="Courier New" w:hint="default"/>
      </w:rPr>
    </w:lvl>
    <w:lvl w:ilvl="2" w:tplc="B46C13B8">
      <w:start w:val="1"/>
      <w:numFmt w:val="bullet"/>
      <w:lvlText w:val=""/>
      <w:lvlJc w:val="left"/>
      <w:pPr>
        <w:ind w:left="1800" w:hanging="360"/>
      </w:pPr>
      <w:rPr>
        <w:rFonts w:ascii="Wingdings" w:hAnsi="Wingdings" w:hint="default"/>
      </w:rPr>
    </w:lvl>
    <w:lvl w:ilvl="3" w:tplc="D86C2A1E">
      <w:start w:val="1"/>
      <w:numFmt w:val="bullet"/>
      <w:lvlText w:val=""/>
      <w:lvlJc w:val="left"/>
      <w:pPr>
        <w:ind w:left="2520" w:hanging="360"/>
      </w:pPr>
      <w:rPr>
        <w:rFonts w:ascii="Symbol" w:hAnsi="Symbol" w:hint="default"/>
      </w:rPr>
    </w:lvl>
    <w:lvl w:ilvl="4" w:tplc="273EE102">
      <w:start w:val="1"/>
      <w:numFmt w:val="bullet"/>
      <w:lvlText w:val="o"/>
      <w:lvlJc w:val="left"/>
      <w:pPr>
        <w:ind w:left="3240" w:hanging="360"/>
      </w:pPr>
      <w:rPr>
        <w:rFonts w:ascii="Courier New" w:hAnsi="Courier New" w:hint="default"/>
      </w:rPr>
    </w:lvl>
    <w:lvl w:ilvl="5" w:tplc="9758A444">
      <w:start w:val="1"/>
      <w:numFmt w:val="bullet"/>
      <w:lvlText w:val=""/>
      <w:lvlJc w:val="left"/>
      <w:pPr>
        <w:ind w:left="3960" w:hanging="360"/>
      </w:pPr>
      <w:rPr>
        <w:rFonts w:ascii="Wingdings" w:hAnsi="Wingdings" w:hint="default"/>
      </w:rPr>
    </w:lvl>
    <w:lvl w:ilvl="6" w:tplc="5D2A6BEE">
      <w:start w:val="1"/>
      <w:numFmt w:val="bullet"/>
      <w:lvlText w:val=""/>
      <w:lvlJc w:val="left"/>
      <w:pPr>
        <w:ind w:left="4680" w:hanging="360"/>
      </w:pPr>
      <w:rPr>
        <w:rFonts w:ascii="Symbol" w:hAnsi="Symbol" w:hint="default"/>
      </w:rPr>
    </w:lvl>
    <w:lvl w:ilvl="7" w:tplc="1BBEB2DA">
      <w:start w:val="1"/>
      <w:numFmt w:val="bullet"/>
      <w:lvlText w:val="o"/>
      <w:lvlJc w:val="left"/>
      <w:pPr>
        <w:ind w:left="5400" w:hanging="360"/>
      </w:pPr>
      <w:rPr>
        <w:rFonts w:ascii="Courier New" w:hAnsi="Courier New" w:hint="default"/>
      </w:rPr>
    </w:lvl>
    <w:lvl w:ilvl="8" w:tplc="C75C98B6">
      <w:start w:val="1"/>
      <w:numFmt w:val="bullet"/>
      <w:lvlText w:val=""/>
      <w:lvlJc w:val="left"/>
      <w:pPr>
        <w:ind w:left="6120" w:hanging="360"/>
      </w:pPr>
      <w:rPr>
        <w:rFonts w:ascii="Wingdings" w:hAnsi="Wingdings" w:hint="default"/>
      </w:rPr>
    </w:lvl>
  </w:abstractNum>
  <w:abstractNum w:abstractNumId="10" w15:restartNumberingAfterBreak="0">
    <w:nsid w:val="2AE54040"/>
    <w:multiLevelType w:val="hybridMultilevel"/>
    <w:tmpl w:val="3EF01296"/>
    <w:lvl w:ilvl="0" w:tplc="806C1374">
      <w:start w:val="1"/>
      <w:numFmt w:val="bullet"/>
      <w:lvlText w:val=""/>
      <w:lvlJc w:val="left"/>
      <w:pPr>
        <w:ind w:left="360" w:hanging="360"/>
      </w:pPr>
      <w:rPr>
        <w:rFonts w:ascii="Symbol" w:hAnsi="Symbol" w:hint="default"/>
      </w:rPr>
    </w:lvl>
    <w:lvl w:ilvl="1" w:tplc="A5ECE04C">
      <w:start w:val="1"/>
      <w:numFmt w:val="bullet"/>
      <w:lvlText w:val="o"/>
      <w:lvlJc w:val="left"/>
      <w:pPr>
        <w:ind w:left="1080" w:hanging="360"/>
      </w:pPr>
      <w:rPr>
        <w:rFonts w:ascii="Courier New" w:hAnsi="Courier New" w:hint="default"/>
      </w:rPr>
    </w:lvl>
    <w:lvl w:ilvl="2" w:tplc="82127496">
      <w:start w:val="1"/>
      <w:numFmt w:val="bullet"/>
      <w:lvlText w:val=""/>
      <w:lvlJc w:val="left"/>
      <w:pPr>
        <w:ind w:left="1800" w:hanging="360"/>
      </w:pPr>
      <w:rPr>
        <w:rFonts w:ascii="Wingdings" w:hAnsi="Wingdings" w:hint="default"/>
      </w:rPr>
    </w:lvl>
    <w:lvl w:ilvl="3" w:tplc="0454464E">
      <w:start w:val="1"/>
      <w:numFmt w:val="bullet"/>
      <w:lvlText w:val=""/>
      <w:lvlJc w:val="left"/>
      <w:pPr>
        <w:ind w:left="2520" w:hanging="360"/>
      </w:pPr>
      <w:rPr>
        <w:rFonts w:ascii="Symbol" w:hAnsi="Symbol" w:hint="default"/>
      </w:rPr>
    </w:lvl>
    <w:lvl w:ilvl="4" w:tplc="9028D0F2">
      <w:start w:val="1"/>
      <w:numFmt w:val="bullet"/>
      <w:lvlText w:val="o"/>
      <w:lvlJc w:val="left"/>
      <w:pPr>
        <w:ind w:left="3240" w:hanging="360"/>
      </w:pPr>
      <w:rPr>
        <w:rFonts w:ascii="Courier New" w:hAnsi="Courier New" w:hint="default"/>
      </w:rPr>
    </w:lvl>
    <w:lvl w:ilvl="5" w:tplc="71CAF26E">
      <w:start w:val="1"/>
      <w:numFmt w:val="bullet"/>
      <w:lvlText w:val=""/>
      <w:lvlJc w:val="left"/>
      <w:pPr>
        <w:ind w:left="3960" w:hanging="360"/>
      </w:pPr>
      <w:rPr>
        <w:rFonts w:ascii="Wingdings" w:hAnsi="Wingdings" w:hint="default"/>
      </w:rPr>
    </w:lvl>
    <w:lvl w:ilvl="6" w:tplc="158E6DE0">
      <w:start w:val="1"/>
      <w:numFmt w:val="bullet"/>
      <w:lvlText w:val=""/>
      <w:lvlJc w:val="left"/>
      <w:pPr>
        <w:ind w:left="4680" w:hanging="360"/>
      </w:pPr>
      <w:rPr>
        <w:rFonts w:ascii="Symbol" w:hAnsi="Symbol" w:hint="default"/>
      </w:rPr>
    </w:lvl>
    <w:lvl w:ilvl="7" w:tplc="CA3ABFB8">
      <w:start w:val="1"/>
      <w:numFmt w:val="bullet"/>
      <w:lvlText w:val="o"/>
      <w:lvlJc w:val="left"/>
      <w:pPr>
        <w:ind w:left="5400" w:hanging="360"/>
      </w:pPr>
      <w:rPr>
        <w:rFonts w:ascii="Courier New" w:hAnsi="Courier New" w:hint="default"/>
      </w:rPr>
    </w:lvl>
    <w:lvl w:ilvl="8" w:tplc="9EE43BDA">
      <w:start w:val="1"/>
      <w:numFmt w:val="bullet"/>
      <w:lvlText w:val=""/>
      <w:lvlJc w:val="left"/>
      <w:pPr>
        <w:ind w:left="6120" w:hanging="360"/>
      </w:pPr>
      <w:rPr>
        <w:rFonts w:ascii="Wingdings" w:hAnsi="Wingdings" w:hint="default"/>
      </w:rPr>
    </w:lvl>
  </w:abstractNum>
  <w:abstractNum w:abstractNumId="11" w15:restartNumberingAfterBreak="0">
    <w:nsid w:val="2D2D60EA"/>
    <w:multiLevelType w:val="hybridMultilevel"/>
    <w:tmpl w:val="71985C9E"/>
    <w:lvl w:ilvl="0" w:tplc="84369B46">
      <w:start w:val="1"/>
      <w:numFmt w:val="bullet"/>
      <w:lvlText w:val=""/>
      <w:lvlJc w:val="left"/>
      <w:pPr>
        <w:ind w:left="720" w:hanging="360"/>
      </w:pPr>
      <w:rPr>
        <w:rFonts w:ascii="Symbol" w:hAnsi="Symbol" w:hint="default"/>
      </w:rPr>
    </w:lvl>
    <w:lvl w:ilvl="1" w:tplc="4082053A">
      <w:start w:val="1"/>
      <w:numFmt w:val="bullet"/>
      <w:lvlText w:val="o"/>
      <w:lvlJc w:val="left"/>
      <w:pPr>
        <w:ind w:left="1440" w:hanging="360"/>
      </w:pPr>
      <w:rPr>
        <w:rFonts w:ascii="Courier New" w:hAnsi="Courier New" w:hint="default"/>
      </w:rPr>
    </w:lvl>
    <w:lvl w:ilvl="2" w:tplc="BF688C16">
      <w:start w:val="1"/>
      <w:numFmt w:val="bullet"/>
      <w:lvlText w:val=""/>
      <w:lvlJc w:val="left"/>
      <w:pPr>
        <w:ind w:left="2160" w:hanging="360"/>
      </w:pPr>
      <w:rPr>
        <w:rFonts w:ascii="Wingdings" w:hAnsi="Wingdings" w:hint="default"/>
      </w:rPr>
    </w:lvl>
    <w:lvl w:ilvl="3" w:tplc="BD90C46A">
      <w:start w:val="1"/>
      <w:numFmt w:val="bullet"/>
      <w:lvlText w:val=""/>
      <w:lvlJc w:val="left"/>
      <w:pPr>
        <w:ind w:left="2880" w:hanging="360"/>
      </w:pPr>
      <w:rPr>
        <w:rFonts w:ascii="Symbol" w:hAnsi="Symbol" w:hint="default"/>
      </w:rPr>
    </w:lvl>
    <w:lvl w:ilvl="4" w:tplc="BFE67C0C">
      <w:start w:val="1"/>
      <w:numFmt w:val="bullet"/>
      <w:lvlText w:val="o"/>
      <w:lvlJc w:val="left"/>
      <w:pPr>
        <w:ind w:left="3600" w:hanging="360"/>
      </w:pPr>
      <w:rPr>
        <w:rFonts w:ascii="Courier New" w:hAnsi="Courier New" w:hint="default"/>
      </w:rPr>
    </w:lvl>
    <w:lvl w:ilvl="5" w:tplc="4C887B3A">
      <w:start w:val="1"/>
      <w:numFmt w:val="bullet"/>
      <w:lvlText w:val=""/>
      <w:lvlJc w:val="left"/>
      <w:pPr>
        <w:ind w:left="4320" w:hanging="360"/>
      </w:pPr>
      <w:rPr>
        <w:rFonts w:ascii="Wingdings" w:hAnsi="Wingdings" w:hint="default"/>
      </w:rPr>
    </w:lvl>
    <w:lvl w:ilvl="6" w:tplc="D6BC9544">
      <w:start w:val="1"/>
      <w:numFmt w:val="bullet"/>
      <w:lvlText w:val=""/>
      <w:lvlJc w:val="left"/>
      <w:pPr>
        <w:ind w:left="5040" w:hanging="360"/>
      </w:pPr>
      <w:rPr>
        <w:rFonts w:ascii="Symbol" w:hAnsi="Symbol" w:hint="default"/>
      </w:rPr>
    </w:lvl>
    <w:lvl w:ilvl="7" w:tplc="D340E792">
      <w:start w:val="1"/>
      <w:numFmt w:val="bullet"/>
      <w:lvlText w:val="o"/>
      <w:lvlJc w:val="left"/>
      <w:pPr>
        <w:ind w:left="5760" w:hanging="360"/>
      </w:pPr>
      <w:rPr>
        <w:rFonts w:ascii="Courier New" w:hAnsi="Courier New" w:hint="default"/>
      </w:rPr>
    </w:lvl>
    <w:lvl w:ilvl="8" w:tplc="687CEFB6">
      <w:start w:val="1"/>
      <w:numFmt w:val="bullet"/>
      <w:lvlText w:val=""/>
      <w:lvlJc w:val="left"/>
      <w:pPr>
        <w:ind w:left="6480" w:hanging="360"/>
      </w:pPr>
      <w:rPr>
        <w:rFonts w:ascii="Wingdings" w:hAnsi="Wingdings" w:hint="default"/>
      </w:rPr>
    </w:lvl>
  </w:abstractNum>
  <w:abstractNum w:abstractNumId="12" w15:restartNumberingAfterBreak="0">
    <w:nsid w:val="303A5B78"/>
    <w:multiLevelType w:val="hybridMultilevel"/>
    <w:tmpl w:val="B53A1AA6"/>
    <w:lvl w:ilvl="0" w:tplc="D8467302">
      <w:start w:val="1"/>
      <w:numFmt w:val="bullet"/>
      <w:lvlText w:val=""/>
      <w:lvlJc w:val="left"/>
      <w:pPr>
        <w:ind w:left="720" w:hanging="360"/>
      </w:pPr>
      <w:rPr>
        <w:rFonts w:ascii="Symbol" w:hAnsi="Symbol" w:hint="default"/>
      </w:rPr>
    </w:lvl>
    <w:lvl w:ilvl="1" w:tplc="B59805DA">
      <w:start w:val="1"/>
      <w:numFmt w:val="bullet"/>
      <w:lvlText w:val="o"/>
      <w:lvlJc w:val="left"/>
      <w:pPr>
        <w:ind w:left="1440" w:hanging="360"/>
      </w:pPr>
      <w:rPr>
        <w:rFonts w:ascii="Courier New" w:hAnsi="Courier New" w:hint="default"/>
      </w:rPr>
    </w:lvl>
    <w:lvl w:ilvl="2" w:tplc="E230CA36">
      <w:start w:val="1"/>
      <w:numFmt w:val="bullet"/>
      <w:lvlText w:val=""/>
      <w:lvlJc w:val="left"/>
      <w:pPr>
        <w:ind w:left="2160" w:hanging="360"/>
      </w:pPr>
      <w:rPr>
        <w:rFonts w:ascii="Wingdings" w:hAnsi="Wingdings" w:hint="default"/>
      </w:rPr>
    </w:lvl>
    <w:lvl w:ilvl="3" w:tplc="19565436">
      <w:start w:val="1"/>
      <w:numFmt w:val="bullet"/>
      <w:lvlText w:val=""/>
      <w:lvlJc w:val="left"/>
      <w:pPr>
        <w:ind w:left="2880" w:hanging="360"/>
      </w:pPr>
      <w:rPr>
        <w:rFonts w:ascii="Symbol" w:hAnsi="Symbol" w:hint="default"/>
      </w:rPr>
    </w:lvl>
    <w:lvl w:ilvl="4" w:tplc="20C21394">
      <w:start w:val="1"/>
      <w:numFmt w:val="bullet"/>
      <w:lvlText w:val="o"/>
      <w:lvlJc w:val="left"/>
      <w:pPr>
        <w:ind w:left="3600" w:hanging="360"/>
      </w:pPr>
      <w:rPr>
        <w:rFonts w:ascii="Courier New" w:hAnsi="Courier New" w:hint="default"/>
      </w:rPr>
    </w:lvl>
    <w:lvl w:ilvl="5" w:tplc="714AB982">
      <w:start w:val="1"/>
      <w:numFmt w:val="bullet"/>
      <w:lvlText w:val=""/>
      <w:lvlJc w:val="left"/>
      <w:pPr>
        <w:ind w:left="4320" w:hanging="360"/>
      </w:pPr>
      <w:rPr>
        <w:rFonts w:ascii="Wingdings" w:hAnsi="Wingdings" w:hint="default"/>
      </w:rPr>
    </w:lvl>
    <w:lvl w:ilvl="6" w:tplc="5ADCFC88">
      <w:start w:val="1"/>
      <w:numFmt w:val="bullet"/>
      <w:lvlText w:val=""/>
      <w:lvlJc w:val="left"/>
      <w:pPr>
        <w:ind w:left="5040" w:hanging="360"/>
      </w:pPr>
      <w:rPr>
        <w:rFonts w:ascii="Symbol" w:hAnsi="Symbol" w:hint="default"/>
      </w:rPr>
    </w:lvl>
    <w:lvl w:ilvl="7" w:tplc="85580DC2">
      <w:start w:val="1"/>
      <w:numFmt w:val="bullet"/>
      <w:lvlText w:val="o"/>
      <w:lvlJc w:val="left"/>
      <w:pPr>
        <w:ind w:left="5760" w:hanging="360"/>
      </w:pPr>
      <w:rPr>
        <w:rFonts w:ascii="Courier New" w:hAnsi="Courier New" w:hint="default"/>
      </w:rPr>
    </w:lvl>
    <w:lvl w:ilvl="8" w:tplc="501CAE24">
      <w:start w:val="1"/>
      <w:numFmt w:val="bullet"/>
      <w:lvlText w:val=""/>
      <w:lvlJc w:val="left"/>
      <w:pPr>
        <w:ind w:left="6480" w:hanging="360"/>
      </w:pPr>
      <w:rPr>
        <w:rFonts w:ascii="Wingdings" w:hAnsi="Wingdings" w:hint="default"/>
      </w:rPr>
    </w:lvl>
  </w:abstractNum>
  <w:abstractNum w:abstractNumId="13" w15:restartNumberingAfterBreak="0">
    <w:nsid w:val="329414EC"/>
    <w:multiLevelType w:val="hybridMultilevel"/>
    <w:tmpl w:val="C4E87B54"/>
    <w:lvl w:ilvl="0" w:tplc="A0C064B4">
      <w:start w:val="1"/>
      <w:numFmt w:val="bullet"/>
      <w:lvlText w:val=""/>
      <w:lvlJc w:val="left"/>
      <w:pPr>
        <w:ind w:left="720" w:hanging="360"/>
      </w:pPr>
      <w:rPr>
        <w:rFonts w:ascii="Symbol" w:hAnsi="Symbol" w:hint="default"/>
      </w:rPr>
    </w:lvl>
    <w:lvl w:ilvl="1" w:tplc="A57E644A">
      <w:start w:val="1"/>
      <w:numFmt w:val="bullet"/>
      <w:lvlText w:val=""/>
      <w:lvlJc w:val="left"/>
      <w:pPr>
        <w:ind w:left="1440" w:hanging="360"/>
      </w:pPr>
      <w:rPr>
        <w:rFonts w:ascii="Symbol" w:hAnsi="Symbol" w:hint="default"/>
      </w:rPr>
    </w:lvl>
    <w:lvl w:ilvl="2" w:tplc="E6026C08">
      <w:start w:val="1"/>
      <w:numFmt w:val="bullet"/>
      <w:lvlText w:val=""/>
      <w:lvlJc w:val="left"/>
      <w:pPr>
        <w:ind w:left="2160" w:hanging="360"/>
      </w:pPr>
      <w:rPr>
        <w:rFonts w:ascii="Wingdings" w:hAnsi="Wingdings" w:hint="default"/>
      </w:rPr>
    </w:lvl>
    <w:lvl w:ilvl="3" w:tplc="F310498C">
      <w:start w:val="1"/>
      <w:numFmt w:val="bullet"/>
      <w:lvlText w:val=""/>
      <w:lvlJc w:val="left"/>
      <w:pPr>
        <w:ind w:left="2880" w:hanging="360"/>
      </w:pPr>
      <w:rPr>
        <w:rFonts w:ascii="Symbol" w:hAnsi="Symbol" w:hint="default"/>
      </w:rPr>
    </w:lvl>
    <w:lvl w:ilvl="4" w:tplc="0D06DF2A">
      <w:start w:val="1"/>
      <w:numFmt w:val="bullet"/>
      <w:lvlText w:val="o"/>
      <w:lvlJc w:val="left"/>
      <w:pPr>
        <w:ind w:left="3600" w:hanging="360"/>
      </w:pPr>
      <w:rPr>
        <w:rFonts w:ascii="Courier New" w:hAnsi="Courier New" w:hint="default"/>
      </w:rPr>
    </w:lvl>
    <w:lvl w:ilvl="5" w:tplc="C94C02AA">
      <w:start w:val="1"/>
      <w:numFmt w:val="bullet"/>
      <w:lvlText w:val=""/>
      <w:lvlJc w:val="left"/>
      <w:pPr>
        <w:ind w:left="4320" w:hanging="360"/>
      </w:pPr>
      <w:rPr>
        <w:rFonts w:ascii="Wingdings" w:hAnsi="Wingdings" w:hint="default"/>
      </w:rPr>
    </w:lvl>
    <w:lvl w:ilvl="6" w:tplc="B15A4294">
      <w:start w:val="1"/>
      <w:numFmt w:val="bullet"/>
      <w:lvlText w:val=""/>
      <w:lvlJc w:val="left"/>
      <w:pPr>
        <w:ind w:left="5040" w:hanging="360"/>
      </w:pPr>
      <w:rPr>
        <w:rFonts w:ascii="Symbol" w:hAnsi="Symbol" w:hint="default"/>
      </w:rPr>
    </w:lvl>
    <w:lvl w:ilvl="7" w:tplc="7CBCC704">
      <w:start w:val="1"/>
      <w:numFmt w:val="bullet"/>
      <w:lvlText w:val="o"/>
      <w:lvlJc w:val="left"/>
      <w:pPr>
        <w:ind w:left="5760" w:hanging="360"/>
      </w:pPr>
      <w:rPr>
        <w:rFonts w:ascii="Courier New" w:hAnsi="Courier New" w:hint="default"/>
      </w:rPr>
    </w:lvl>
    <w:lvl w:ilvl="8" w:tplc="9DE00F4C">
      <w:start w:val="1"/>
      <w:numFmt w:val="bullet"/>
      <w:lvlText w:val=""/>
      <w:lvlJc w:val="left"/>
      <w:pPr>
        <w:ind w:left="6480" w:hanging="360"/>
      </w:pPr>
      <w:rPr>
        <w:rFonts w:ascii="Wingdings" w:hAnsi="Wingdings" w:hint="default"/>
      </w:rPr>
    </w:lvl>
  </w:abstractNum>
  <w:abstractNum w:abstractNumId="14" w15:restartNumberingAfterBreak="0">
    <w:nsid w:val="381E1508"/>
    <w:multiLevelType w:val="hybridMultilevel"/>
    <w:tmpl w:val="F4A63BDC"/>
    <w:lvl w:ilvl="0" w:tplc="BDF4ECC6">
      <w:start w:val="1"/>
      <w:numFmt w:val="bullet"/>
      <w:lvlText w:val=""/>
      <w:lvlJc w:val="left"/>
      <w:pPr>
        <w:ind w:left="720" w:hanging="360"/>
      </w:pPr>
      <w:rPr>
        <w:rFonts w:ascii="Symbol" w:hAnsi="Symbol" w:hint="default"/>
      </w:rPr>
    </w:lvl>
    <w:lvl w:ilvl="1" w:tplc="22BE299A">
      <w:start w:val="1"/>
      <w:numFmt w:val="bullet"/>
      <w:lvlText w:val=""/>
      <w:lvlJc w:val="left"/>
      <w:pPr>
        <w:ind w:left="1440" w:hanging="360"/>
      </w:pPr>
      <w:rPr>
        <w:rFonts w:ascii="Symbol" w:hAnsi="Symbol" w:hint="default"/>
      </w:rPr>
    </w:lvl>
    <w:lvl w:ilvl="2" w:tplc="874604C6">
      <w:start w:val="1"/>
      <w:numFmt w:val="bullet"/>
      <w:lvlText w:val=""/>
      <w:lvlJc w:val="left"/>
      <w:pPr>
        <w:ind w:left="2160" w:hanging="360"/>
      </w:pPr>
      <w:rPr>
        <w:rFonts w:ascii="Wingdings" w:hAnsi="Wingdings" w:hint="default"/>
      </w:rPr>
    </w:lvl>
    <w:lvl w:ilvl="3" w:tplc="68A4CCC4">
      <w:start w:val="1"/>
      <w:numFmt w:val="bullet"/>
      <w:lvlText w:val=""/>
      <w:lvlJc w:val="left"/>
      <w:pPr>
        <w:ind w:left="2880" w:hanging="360"/>
      </w:pPr>
      <w:rPr>
        <w:rFonts w:ascii="Symbol" w:hAnsi="Symbol" w:hint="default"/>
      </w:rPr>
    </w:lvl>
    <w:lvl w:ilvl="4" w:tplc="2B1C54C2">
      <w:start w:val="1"/>
      <w:numFmt w:val="bullet"/>
      <w:lvlText w:val="o"/>
      <w:lvlJc w:val="left"/>
      <w:pPr>
        <w:ind w:left="3600" w:hanging="360"/>
      </w:pPr>
      <w:rPr>
        <w:rFonts w:ascii="Courier New" w:hAnsi="Courier New" w:hint="default"/>
      </w:rPr>
    </w:lvl>
    <w:lvl w:ilvl="5" w:tplc="0FD81ED2">
      <w:start w:val="1"/>
      <w:numFmt w:val="bullet"/>
      <w:lvlText w:val=""/>
      <w:lvlJc w:val="left"/>
      <w:pPr>
        <w:ind w:left="4320" w:hanging="360"/>
      </w:pPr>
      <w:rPr>
        <w:rFonts w:ascii="Wingdings" w:hAnsi="Wingdings" w:hint="default"/>
      </w:rPr>
    </w:lvl>
    <w:lvl w:ilvl="6" w:tplc="E2A46372">
      <w:start w:val="1"/>
      <w:numFmt w:val="bullet"/>
      <w:lvlText w:val=""/>
      <w:lvlJc w:val="left"/>
      <w:pPr>
        <w:ind w:left="5040" w:hanging="360"/>
      </w:pPr>
      <w:rPr>
        <w:rFonts w:ascii="Symbol" w:hAnsi="Symbol" w:hint="default"/>
      </w:rPr>
    </w:lvl>
    <w:lvl w:ilvl="7" w:tplc="75E2C77C">
      <w:start w:val="1"/>
      <w:numFmt w:val="bullet"/>
      <w:lvlText w:val="o"/>
      <w:lvlJc w:val="left"/>
      <w:pPr>
        <w:ind w:left="5760" w:hanging="360"/>
      </w:pPr>
      <w:rPr>
        <w:rFonts w:ascii="Courier New" w:hAnsi="Courier New" w:hint="default"/>
      </w:rPr>
    </w:lvl>
    <w:lvl w:ilvl="8" w:tplc="67A8130E">
      <w:start w:val="1"/>
      <w:numFmt w:val="bullet"/>
      <w:lvlText w:val=""/>
      <w:lvlJc w:val="left"/>
      <w:pPr>
        <w:ind w:left="6480" w:hanging="360"/>
      </w:pPr>
      <w:rPr>
        <w:rFonts w:ascii="Wingdings" w:hAnsi="Wingdings" w:hint="default"/>
      </w:rPr>
    </w:lvl>
  </w:abstractNum>
  <w:abstractNum w:abstractNumId="15" w15:restartNumberingAfterBreak="0">
    <w:nsid w:val="441347EB"/>
    <w:multiLevelType w:val="hybridMultilevel"/>
    <w:tmpl w:val="51685834"/>
    <w:lvl w:ilvl="0" w:tplc="FFFFFFFF">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44193ED3"/>
    <w:multiLevelType w:val="hybridMultilevel"/>
    <w:tmpl w:val="A7EA68A0"/>
    <w:lvl w:ilvl="0" w:tplc="514C2442">
      <w:start w:val="1"/>
      <w:numFmt w:val="bullet"/>
      <w:lvlText w:val=""/>
      <w:lvlJc w:val="left"/>
      <w:pPr>
        <w:ind w:left="720" w:hanging="360"/>
      </w:pPr>
      <w:rPr>
        <w:rFonts w:ascii="Symbol" w:hAnsi="Symbol" w:hint="default"/>
      </w:rPr>
    </w:lvl>
    <w:lvl w:ilvl="1" w:tplc="846C9918">
      <w:start w:val="1"/>
      <w:numFmt w:val="bullet"/>
      <w:lvlText w:val="o"/>
      <w:lvlJc w:val="left"/>
      <w:pPr>
        <w:ind w:left="1440" w:hanging="360"/>
      </w:pPr>
      <w:rPr>
        <w:rFonts w:ascii="Courier New" w:hAnsi="Courier New" w:hint="default"/>
      </w:rPr>
    </w:lvl>
    <w:lvl w:ilvl="2" w:tplc="D53A8886">
      <w:start w:val="1"/>
      <w:numFmt w:val="bullet"/>
      <w:lvlText w:val=""/>
      <w:lvlJc w:val="left"/>
      <w:pPr>
        <w:ind w:left="2160" w:hanging="360"/>
      </w:pPr>
      <w:rPr>
        <w:rFonts w:ascii="Wingdings" w:hAnsi="Wingdings" w:hint="default"/>
      </w:rPr>
    </w:lvl>
    <w:lvl w:ilvl="3" w:tplc="1BAAAD44">
      <w:start w:val="1"/>
      <w:numFmt w:val="bullet"/>
      <w:lvlText w:val=""/>
      <w:lvlJc w:val="left"/>
      <w:pPr>
        <w:ind w:left="2880" w:hanging="360"/>
      </w:pPr>
      <w:rPr>
        <w:rFonts w:ascii="Symbol" w:hAnsi="Symbol" w:hint="default"/>
      </w:rPr>
    </w:lvl>
    <w:lvl w:ilvl="4" w:tplc="B9244AA0">
      <w:start w:val="1"/>
      <w:numFmt w:val="bullet"/>
      <w:lvlText w:val="o"/>
      <w:lvlJc w:val="left"/>
      <w:pPr>
        <w:ind w:left="3600" w:hanging="360"/>
      </w:pPr>
      <w:rPr>
        <w:rFonts w:ascii="Courier New" w:hAnsi="Courier New" w:hint="default"/>
      </w:rPr>
    </w:lvl>
    <w:lvl w:ilvl="5" w:tplc="46047ACA">
      <w:start w:val="1"/>
      <w:numFmt w:val="bullet"/>
      <w:lvlText w:val=""/>
      <w:lvlJc w:val="left"/>
      <w:pPr>
        <w:ind w:left="4320" w:hanging="360"/>
      </w:pPr>
      <w:rPr>
        <w:rFonts w:ascii="Wingdings" w:hAnsi="Wingdings" w:hint="default"/>
      </w:rPr>
    </w:lvl>
    <w:lvl w:ilvl="6" w:tplc="FC74B09E">
      <w:start w:val="1"/>
      <w:numFmt w:val="bullet"/>
      <w:lvlText w:val=""/>
      <w:lvlJc w:val="left"/>
      <w:pPr>
        <w:ind w:left="5040" w:hanging="360"/>
      </w:pPr>
      <w:rPr>
        <w:rFonts w:ascii="Symbol" w:hAnsi="Symbol" w:hint="default"/>
      </w:rPr>
    </w:lvl>
    <w:lvl w:ilvl="7" w:tplc="48321058">
      <w:start w:val="1"/>
      <w:numFmt w:val="bullet"/>
      <w:lvlText w:val="o"/>
      <w:lvlJc w:val="left"/>
      <w:pPr>
        <w:ind w:left="5760" w:hanging="360"/>
      </w:pPr>
      <w:rPr>
        <w:rFonts w:ascii="Courier New" w:hAnsi="Courier New" w:hint="default"/>
      </w:rPr>
    </w:lvl>
    <w:lvl w:ilvl="8" w:tplc="6F8CCD9C">
      <w:start w:val="1"/>
      <w:numFmt w:val="bullet"/>
      <w:lvlText w:val=""/>
      <w:lvlJc w:val="left"/>
      <w:pPr>
        <w:ind w:left="6480" w:hanging="360"/>
      </w:pPr>
      <w:rPr>
        <w:rFonts w:ascii="Wingdings" w:hAnsi="Wingdings" w:hint="default"/>
      </w:rPr>
    </w:lvl>
  </w:abstractNum>
  <w:abstractNum w:abstractNumId="17" w15:restartNumberingAfterBreak="0">
    <w:nsid w:val="48145D1D"/>
    <w:multiLevelType w:val="hybridMultilevel"/>
    <w:tmpl w:val="47D07E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543665C7"/>
    <w:multiLevelType w:val="hybridMultilevel"/>
    <w:tmpl w:val="A898699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57D13023"/>
    <w:multiLevelType w:val="hybridMultilevel"/>
    <w:tmpl w:val="BD88B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7D6512E"/>
    <w:multiLevelType w:val="hybridMultilevel"/>
    <w:tmpl w:val="1C14A5E8"/>
    <w:lvl w:ilvl="0" w:tplc="2A0E9E50">
      <w:start w:val="1"/>
      <w:numFmt w:val="bullet"/>
      <w:lvlText w:val=""/>
      <w:lvlJc w:val="left"/>
      <w:pPr>
        <w:ind w:left="360" w:hanging="360"/>
      </w:pPr>
      <w:rPr>
        <w:rFonts w:ascii="Symbol" w:hAnsi="Symbol" w:hint="default"/>
      </w:rPr>
    </w:lvl>
    <w:lvl w:ilvl="1" w:tplc="C9BA9EDE">
      <w:start w:val="1"/>
      <w:numFmt w:val="bullet"/>
      <w:lvlText w:val="o"/>
      <w:lvlJc w:val="left"/>
      <w:pPr>
        <w:ind w:left="1080" w:hanging="360"/>
      </w:pPr>
      <w:rPr>
        <w:rFonts w:ascii="Courier New" w:hAnsi="Courier New" w:hint="default"/>
      </w:rPr>
    </w:lvl>
    <w:lvl w:ilvl="2" w:tplc="22206B1A">
      <w:start w:val="1"/>
      <w:numFmt w:val="bullet"/>
      <w:lvlText w:val=""/>
      <w:lvlJc w:val="left"/>
      <w:pPr>
        <w:ind w:left="1800" w:hanging="360"/>
      </w:pPr>
      <w:rPr>
        <w:rFonts w:ascii="Wingdings" w:hAnsi="Wingdings" w:hint="default"/>
      </w:rPr>
    </w:lvl>
    <w:lvl w:ilvl="3" w:tplc="3EAE04BC">
      <w:start w:val="1"/>
      <w:numFmt w:val="bullet"/>
      <w:lvlText w:val=""/>
      <w:lvlJc w:val="left"/>
      <w:pPr>
        <w:ind w:left="2520" w:hanging="360"/>
      </w:pPr>
      <w:rPr>
        <w:rFonts w:ascii="Symbol" w:hAnsi="Symbol" w:hint="default"/>
      </w:rPr>
    </w:lvl>
    <w:lvl w:ilvl="4" w:tplc="FD345DBE">
      <w:start w:val="1"/>
      <w:numFmt w:val="bullet"/>
      <w:lvlText w:val="o"/>
      <w:lvlJc w:val="left"/>
      <w:pPr>
        <w:ind w:left="3240" w:hanging="360"/>
      </w:pPr>
      <w:rPr>
        <w:rFonts w:ascii="Courier New" w:hAnsi="Courier New" w:hint="default"/>
      </w:rPr>
    </w:lvl>
    <w:lvl w:ilvl="5" w:tplc="D744D582">
      <w:start w:val="1"/>
      <w:numFmt w:val="bullet"/>
      <w:lvlText w:val=""/>
      <w:lvlJc w:val="left"/>
      <w:pPr>
        <w:ind w:left="3960" w:hanging="360"/>
      </w:pPr>
      <w:rPr>
        <w:rFonts w:ascii="Wingdings" w:hAnsi="Wingdings" w:hint="default"/>
      </w:rPr>
    </w:lvl>
    <w:lvl w:ilvl="6" w:tplc="6390EF38">
      <w:start w:val="1"/>
      <w:numFmt w:val="bullet"/>
      <w:lvlText w:val=""/>
      <w:lvlJc w:val="left"/>
      <w:pPr>
        <w:ind w:left="4680" w:hanging="360"/>
      </w:pPr>
      <w:rPr>
        <w:rFonts w:ascii="Symbol" w:hAnsi="Symbol" w:hint="default"/>
      </w:rPr>
    </w:lvl>
    <w:lvl w:ilvl="7" w:tplc="EE8E7F86">
      <w:start w:val="1"/>
      <w:numFmt w:val="bullet"/>
      <w:lvlText w:val="o"/>
      <w:lvlJc w:val="left"/>
      <w:pPr>
        <w:ind w:left="5400" w:hanging="360"/>
      </w:pPr>
      <w:rPr>
        <w:rFonts w:ascii="Courier New" w:hAnsi="Courier New" w:hint="default"/>
      </w:rPr>
    </w:lvl>
    <w:lvl w:ilvl="8" w:tplc="DA9EA178">
      <w:start w:val="1"/>
      <w:numFmt w:val="bullet"/>
      <w:lvlText w:val=""/>
      <w:lvlJc w:val="left"/>
      <w:pPr>
        <w:ind w:left="6120" w:hanging="360"/>
      </w:pPr>
      <w:rPr>
        <w:rFonts w:ascii="Wingdings" w:hAnsi="Wingdings" w:hint="default"/>
      </w:rPr>
    </w:lvl>
  </w:abstractNum>
  <w:abstractNum w:abstractNumId="21" w15:restartNumberingAfterBreak="0">
    <w:nsid w:val="6BA15072"/>
    <w:multiLevelType w:val="hybridMultilevel"/>
    <w:tmpl w:val="BA70EF6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6C9B3BDB"/>
    <w:multiLevelType w:val="hybridMultilevel"/>
    <w:tmpl w:val="69CC18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C9F56CE"/>
    <w:multiLevelType w:val="hybridMultilevel"/>
    <w:tmpl w:val="38EC05D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4" w15:restartNumberingAfterBreak="0">
    <w:nsid w:val="734D33A5"/>
    <w:multiLevelType w:val="hybridMultilevel"/>
    <w:tmpl w:val="F0544726"/>
    <w:lvl w:ilvl="0" w:tplc="CA88433C">
      <w:start w:val="1"/>
      <w:numFmt w:val="bullet"/>
      <w:lvlText w:val=""/>
      <w:lvlJc w:val="left"/>
      <w:pPr>
        <w:ind w:left="720" w:hanging="360"/>
      </w:pPr>
      <w:rPr>
        <w:rFonts w:ascii="Symbol" w:hAnsi="Symbol" w:hint="default"/>
      </w:rPr>
    </w:lvl>
    <w:lvl w:ilvl="1" w:tplc="B4AA66BE">
      <w:start w:val="1"/>
      <w:numFmt w:val="bullet"/>
      <w:lvlText w:val="o"/>
      <w:lvlJc w:val="left"/>
      <w:pPr>
        <w:ind w:left="1440" w:hanging="360"/>
      </w:pPr>
      <w:rPr>
        <w:rFonts w:ascii="Courier New" w:hAnsi="Courier New" w:hint="default"/>
      </w:rPr>
    </w:lvl>
    <w:lvl w:ilvl="2" w:tplc="22F44FC2">
      <w:start w:val="1"/>
      <w:numFmt w:val="bullet"/>
      <w:lvlText w:val=""/>
      <w:lvlJc w:val="left"/>
      <w:pPr>
        <w:ind w:left="2160" w:hanging="360"/>
      </w:pPr>
      <w:rPr>
        <w:rFonts w:ascii="Wingdings" w:hAnsi="Wingdings" w:hint="default"/>
      </w:rPr>
    </w:lvl>
    <w:lvl w:ilvl="3" w:tplc="1CBCD770">
      <w:start w:val="1"/>
      <w:numFmt w:val="bullet"/>
      <w:lvlText w:val=""/>
      <w:lvlJc w:val="left"/>
      <w:pPr>
        <w:ind w:left="2880" w:hanging="360"/>
      </w:pPr>
      <w:rPr>
        <w:rFonts w:ascii="Symbol" w:hAnsi="Symbol" w:hint="default"/>
      </w:rPr>
    </w:lvl>
    <w:lvl w:ilvl="4" w:tplc="6DD64208">
      <w:start w:val="1"/>
      <w:numFmt w:val="bullet"/>
      <w:lvlText w:val="o"/>
      <w:lvlJc w:val="left"/>
      <w:pPr>
        <w:ind w:left="3600" w:hanging="360"/>
      </w:pPr>
      <w:rPr>
        <w:rFonts w:ascii="Courier New" w:hAnsi="Courier New" w:hint="default"/>
      </w:rPr>
    </w:lvl>
    <w:lvl w:ilvl="5" w:tplc="BCB2B236">
      <w:start w:val="1"/>
      <w:numFmt w:val="bullet"/>
      <w:lvlText w:val=""/>
      <w:lvlJc w:val="left"/>
      <w:pPr>
        <w:ind w:left="4320" w:hanging="360"/>
      </w:pPr>
      <w:rPr>
        <w:rFonts w:ascii="Wingdings" w:hAnsi="Wingdings" w:hint="default"/>
      </w:rPr>
    </w:lvl>
    <w:lvl w:ilvl="6" w:tplc="5FA47ED6">
      <w:start w:val="1"/>
      <w:numFmt w:val="bullet"/>
      <w:lvlText w:val=""/>
      <w:lvlJc w:val="left"/>
      <w:pPr>
        <w:ind w:left="5040" w:hanging="360"/>
      </w:pPr>
      <w:rPr>
        <w:rFonts w:ascii="Symbol" w:hAnsi="Symbol" w:hint="default"/>
      </w:rPr>
    </w:lvl>
    <w:lvl w:ilvl="7" w:tplc="6796519C">
      <w:start w:val="1"/>
      <w:numFmt w:val="bullet"/>
      <w:lvlText w:val="o"/>
      <w:lvlJc w:val="left"/>
      <w:pPr>
        <w:ind w:left="5760" w:hanging="360"/>
      </w:pPr>
      <w:rPr>
        <w:rFonts w:ascii="Courier New" w:hAnsi="Courier New" w:hint="default"/>
      </w:rPr>
    </w:lvl>
    <w:lvl w:ilvl="8" w:tplc="2B3E67FE">
      <w:start w:val="1"/>
      <w:numFmt w:val="bullet"/>
      <w:lvlText w:val=""/>
      <w:lvlJc w:val="left"/>
      <w:pPr>
        <w:ind w:left="6480" w:hanging="360"/>
      </w:pPr>
      <w:rPr>
        <w:rFonts w:ascii="Wingdings" w:hAnsi="Wingdings" w:hint="default"/>
      </w:rPr>
    </w:lvl>
  </w:abstractNum>
  <w:abstractNum w:abstractNumId="25" w15:restartNumberingAfterBreak="0">
    <w:nsid w:val="77A83D6D"/>
    <w:multiLevelType w:val="hybridMultilevel"/>
    <w:tmpl w:val="721AB4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7CF2369F"/>
    <w:multiLevelType w:val="hybridMultilevel"/>
    <w:tmpl w:val="6F0CA152"/>
    <w:lvl w:ilvl="0" w:tplc="66427130">
      <w:start w:val="1"/>
      <w:numFmt w:val="bullet"/>
      <w:lvlText w:val=""/>
      <w:lvlJc w:val="left"/>
      <w:pPr>
        <w:ind w:left="360" w:hanging="360"/>
      </w:pPr>
      <w:rPr>
        <w:rFonts w:ascii="Symbol" w:hAnsi="Symbol" w:hint="default"/>
      </w:rPr>
    </w:lvl>
    <w:lvl w:ilvl="1" w:tplc="ABB851FE">
      <w:start w:val="1"/>
      <w:numFmt w:val="bullet"/>
      <w:lvlText w:val="o"/>
      <w:lvlJc w:val="left"/>
      <w:pPr>
        <w:ind w:left="1080" w:hanging="360"/>
      </w:pPr>
      <w:rPr>
        <w:rFonts w:ascii="Courier New" w:hAnsi="Courier New" w:hint="default"/>
      </w:rPr>
    </w:lvl>
    <w:lvl w:ilvl="2" w:tplc="DB700E60">
      <w:start w:val="1"/>
      <w:numFmt w:val="bullet"/>
      <w:lvlText w:val=""/>
      <w:lvlJc w:val="left"/>
      <w:pPr>
        <w:ind w:left="1800" w:hanging="360"/>
      </w:pPr>
      <w:rPr>
        <w:rFonts w:ascii="Wingdings" w:hAnsi="Wingdings" w:hint="default"/>
      </w:rPr>
    </w:lvl>
    <w:lvl w:ilvl="3" w:tplc="DA6A8C1A">
      <w:start w:val="1"/>
      <w:numFmt w:val="bullet"/>
      <w:lvlText w:val=""/>
      <w:lvlJc w:val="left"/>
      <w:pPr>
        <w:ind w:left="2520" w:hanging="360"/>
      </w:pPr>
      <w:rPr>
        <w:rFonts w:ascii="Symbol" w:hAnsi="Symbol" w:hint="default"/>
      </w:rPr>
    </w:lvl>
    <w:lvl w:ilvl="4" w:tplc="4C5CD9CA">
      <w:start w:val="1"/>
      <w:numFmt w:val="bullet"/>
      <w:lvlText w:val="o"/>
      <w:lvlJc w:val="left"/>
      <w:pPr>
        <w:ind w:left="3240" w:hanging="360"/>
      </w:pPr>
      <w:rPr>
        <w:rFonts w:ascii="Courier New" w:hAnsi="Courier New" w:hint="default"/>
      </w:rPr>
    </w:lvl>
    <w:lvl w:ilvl="5" w:tplc="DB1AF26A">
      <w:start w:val="1"/>
      <w:numFmt w:val="bullet"/>
      <w:lvlText w:val=""/>
      <w:lvlJc w:val="left"/>
      <w:pPr>
        <w:ind w:left="3960" w:hanging="360"/>
      </w:pPr>
      <w:rPr>
        <w:rFonts w:ascii="Wingdings" w:hAnsi="Wingdings" w:hint="default"/>
      </w:rPr>
    </w:lvl>
    <w:lvl w:ilvl="6" w:tplc="6EE4A35C">
      <w:start w:val="1"/>
      <w:numFmt w:val="bullet"/>
      <w:lvlText w:val=""/>
      <w:lvlJc w:val="left"/>
      <w:pPr>
        <w:ind w:left="4680" w:hanging="360"/>
      </w:pPr>
      <w:rPr>
        <w:rFonts w:ascii="Symbol" w:hAnsi="Symbol" w:hint="default"/>
      </w:rPr>
    </w:lvl>
    <w:lvl w:ilvl="7" w:tplc="9DFC58D0">
      <w:start w:val="1"/>
      <w:numFmt w:val="bullet"/>
      <w:lvlText w:val="o"/>
      <w:lvlJc w:val="left"/>
      <w:pPr>
        <w:ind w:left="5400" w:hanging="360"/>
      </w:pPr>
      <w:rPr>
        <w:rFonts w:ascii="Courier New" w:hAnsi="Courier New" w:hint="default"/>
      </w:rPr>
    </w:lvl>
    <w:lvl w:ilvl="8" w:tplc="B538D26A">
      <w:start w:val="1"/>
      <w:numFmt w:val="bullet"/>
      <w:lvlText w:val=""/>
      <w:lvlJc w:val="left"/>
      <w:pPr>
        <w:ind w:left="6120" w:hanging="360"/>
      </w:pPr>
      <w:rPr>
        <w:rFonts w:ascii="Wingdings" w:hAnsi="Wingdings" w:hint="default"/>
      </w:rPr>
    </w:lvl>
  </w:abstractNum>
  <w:num w:numId="1" w16cid:durableId="1104379120">
    <w:abstractNumId w:val="6"/>
  </w:num>
  <w:num w:numId="2" w16cid:durableId="36897922">
    <w:abstractNumId w:val="24"/>
  </w:num>
  <w:num w:numId="3" w16cid:durableId="800072859">
    <w:abstractNumId w:val="5"/>
  </w:num>
  <w:num w:numId="4" w16cid:durableId="653409773">
    <w:abstractNumId w:val="11"/>
  </w:num>
  <w:num w:numId="5" w16cid:durableId="593973050">
    <w:abstractNumId w:val="13"/>
  </w:num>
  <w:num w:numId="6" w16cid:durableId="1509442326">
    <w:abstractNumId w:val="16"/>
  </w:num>
  <w:num w:numId="7" w16cid:durableId="1326787324">
    <w:abstractNumId w:val="12"/>
  </w:num>
  <w:num w:numId="8" w16cid:durableId="1690909784">
    <w:abstractNumId w:val="0"/>
  </w:num>
  <w:num w:numId="9" w16cid:durableId="1012075726">
    <w:abstractNumId w:val="22"/>
  </w:num>
  <w:num w:numId="10" w16cid:durableId="414938474">
    <w:abstractNumId w:val="17"/>
  </w:num>
  <w:num w:numId="11" w16cid:durableId="1789464799">
    <w:abstractNumId w:val="21"/>
  </w:num>
  <w:num w:numId="12" w16cid:durableId="917397378">
    <w:abstractNumId w:val="15"/>
  </w:num>
  <w:num w:numId="13" w16cid:durableId="2116435003">
    <w:abstractNumId w:val="19"/>
  </w:num>
  <w:num w:numId="14" w16cid:durableId="462233831">
    <w:abstractNumId w:val="25"/>
  </w:num>
  <w:num w:numId="15" w16cid:durableId="1410813785">
    <w:abstractNumId w:val="18"/>
  </w:num>
  <w:num w:numId="16" w16cid:durableId="713120561">
    <w:abstractNumId w:val="8"/>
  </w:num>
  <w:num w:numId="17" w16cid:durableId="1931231726">
    <w:abstractNumId w:val="4"/>
  </w:num>
  <w:num w:numId="18" w16cid:durableId="758063048">
    <w:abstractNumId w:val="10"/>
  </w:num>
  <w:num w:numId="19" w16cid:durableId="757943751">
    <w:abstractNumId w:val="2"/>
  </w:num>
  <w:num w:numId="20" w16cid:durableId="1879317911">
    <w:abstractNumId w:val="26"/>
  </w:num>
  <w:num w:numId="21" w16cid:durableId="1173764994">
    <w:abstractNumId w:val="9"/>
  </w:num>
  <w:num w:numId="22" w16cid:durableId="1983608689">
    <w:abstractNumId w:val="14"/>
  </w:num>
  <w:num w:numId="23" w16cid:durableId="595754330">
    <w:abstractNumId w:val="1"/>
  </w:num>
  <w:num w:numId="24" w16cid:durableId="1233003753">
    <w:abstractNumId w:val="7"/>
  </w:num>
  <w:num w:numId="25" w16cid:durableId="1303149650">
    <w:abstractNumId w:val="3"/>
  </w:num>
  <w:num w:numId="26" w16cid:durableId="1073966254">
    <w:abstractNumId w:val="20"/>
  </w:num>
  <w:num w:numId="27" w16cid:durableId="26616158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343"/>
    <w:rsid w:val="0000404A"/>
    <w:rsid w:val="00020B4F"/>
    <w:rsid w:val="00034AB7"/>
    <w:rsid w:val="00052BBF"/>
    <w:rsid w:val="000610AF"/>
    <w:rsid w:val="000641B9"/>
    <w:rsid w:val="0008759A"/>
    <w:rsid w:val="000B14D2"/>
    <w:rsid w:val="000B1D9D"/>
    <w:rsid w:val="000C0510"/>
    <w:rsid w:val="000D77EE"/>
    <w:rsid w:val="000E3540"/>
    <w:rsid w:val="00103276"/>
    <w:rsid w:val="00125841"/>
    <w:rsid w:val="001271AC"/>
    <w:rsid w:val="00145588"/>
    <w:rsid w:val="001571B3"/>
    <w:rsid w:val="00164C5F"/>
    <w:rsid w:val="00167317"/>
    <w:rsid w:val="00183C17"/>
    <w:rsid w:val="001B3B99"/>
    <w:rsid w:val="001C024B"/>
    <w:rsid w:val="001C1881"/>
    <w:rsid w:val="001E6A24"/>
    <w:rsid w:val="00222343"/>
    <w:rsid w:val="00224459"/>
    <w:rsid w:val="00230D3A"/>
    <w:rsid w:val="002340A0"/>
    <w:rsid w:val="00241B83"/>
    <w:rsid w:val="00263ABA"/>
    <w:rsid w:val="00276689"/>
    <w:rsid w:val="00280C3A"/>
    <w:rsid w:val="00285C00"/>
    <w:rsid w:val="00291B7D"/>
    <w:rsid w:val="00291F18"/>
    <w:rsid w:val="002A1BE0"/>
    <w:rsid w:val="002C0D50"/>
    <w:rsid w:val="002D1A56"/>
    <w:rsid w:val="002E1047"/>
    <w:rsid w:val="002E5B38"/>
    <w:rsid w:val="002F3863"/>
    <w:rsid w:val="0031447A"/>
    <w:rsid w:val="00326A2F"/>
    <w:rsid w:val="00335623"/>
    <w:rsid w:val="00353263"/>
    <w:rsid w:val="003703C0"/>
    <w:rsid w:val="003917BD"/>
    <w:rsid w:val="003C05D1"/>
    <w:rsid w:val="003E41FC"/>
    <w:rsid w:val="003F2148"/>
    <w:rsid w:val="003F32D9"/>
    <w:rsid w:val="004046E4"/>
    <w:rsid w:val="00410E96"/>
    <w:rsid w:val="00482461"/>
    <w:rsid w:val="004A3346"/>
    <w:rsid w:val="004B27FE"/>
    <w:rsid w:val="004C281F"/>
    <w:rsid w:val="004D3189"/>
    <w:rsid w:val="005057AA"/>
    <w:rsid w:val="00514F57"/>
    <w:rsid w:val="00526ECC"/>
    <w:rsid w:val="00536272"/>
    <w:rsid w:val="00537179"/>
    <w:rsid w:val="00537C0F"/>
    <w:rsid w:val="005704CC"/>
    <w:rsid w:val="00596CF0"/>
    <w:rsid w:val="005A7171"/>
    <w:rsid w:val="005C6B01"/>
    <w:rsid w:val="005D11CE"/>
    <w:rsid w:val="005E712B"/>
    <w:rsid w:val="005F55B8"/>
    <w:rsid w:val="005F55BE"/>
    <w:rsid w:val="00603E5D"/>
    <w:rsid w:val="00617087"/>
    <w:rsid w:val="0062211F"/>
    <w:rsid w:val="00637B0D"/>
    <w:rsid w:val="00644E1B"/>
    <w:rsid w:val="00666CE2"/>
    <w:rsid w:val="006A2584"/>
    <w:rsid w:val="006A52E8"/>
    <w:rsid w:val="006A75D0"/>
    <w:rsid w:val="006D24C0"/>
    <w:rsid w:val="006D2B05"/>
    <w:rsid w:val="00706530"/>
    <w:rsid w:val="00710E7F"/>
    <w:rsid w:val="00742C2C"/>
    <w:rsid w:val="00742F6F"/>
    <w:rsid w:val="007567D4"/>
    <w:rsid w:val="00766490"/>
    <w:rsid w:val="00797AED"/>
    <w:rsid w:val="007B7733"/>
    <w:rsid w:val="007C76BE"/>
    <w:rsid w:val="007E6350"/>
    <w:rsid w:val="00806FCE"/>
    <w:rsid w:val="00807247"/>
    <w:rsid w:val="00815BBE"/>
    <w:rsid w:val="00822975"/>
    <w:rsid w:val="0083410B"/>
    <w:rsid w:val="00860AA6"/>
    <w:rsid w:val="00867748"/>
    <w:rsid w:val="008D18DF"/>
    <w:rsid w:val="008D418D"/>
    <w:rsid w:val="008D6759"/>
    <w:rsid w:val="008E04CB"/>
    <w:rsid w:val="008F347B"/>
    <w:rsid w:val="00914A34"/>
    <w:rsid w:val="00943BEE"/>
    <w:rsid w:val="00950744"/>
    <w:rsid w:val="00954D6A"/>
    <w:rsid w:val="00962AE3"/>
    <w:rsid w:val="009727D3"/>
    <w:rsid w:val="00981526"/>
    <w:rsid w:val="0099369D"/>
    <w:rsid w:val="009B19D9"/>
    <w:rsid w:val="009C2E06"/>
    <w:rsid w:val="009C44E5"/>
    <w:rsid w:val="009F6D80"/>
    <w:rsid w:val="00A00AF9"/>
    <w:rsid w:val="00A15396"/>
    <w:rsid w:val="00A356CE"/>
    <w:rsid w:val="00A510FA"/>
    <w:rsid w:val="00A514FA"/>
    <w:rsid w:val="00A57F4B"/>
    <w:rsid w:val="00A713D0"/>
    <w:rsid w:val="00A84CE8"/>
    <w:rsid w:val="00A94912"/>
    <w:rsid w:val="00AC5F69"/>
    <w:rsid w:val="00AD418E"/>
    <w:rsid w:val="00AE2F2B"/>
    <w:rsid w:val="00AF1E9C"/>
    <w:rsid w:val="00B06701"/>
    <w:rsid w:val="00B579F8"/>
    <w:rsid w:val="00B77FE7"/>
    <w:rsid w:val="00B808C6"/>
    <w:rsid w:val="00B82A92"/>
    <w:rsid w:val="00B97332"/>
    <w:rsid w:val="00BA5667"/>
    <w:rsid w:val="00BB636F"/>
    <w:rsid w:val="00BF3129"/>
    <w:rsid w:val="00C20C49"/>
    <w:rsid w:val="00C418F0"/>
    <w:rsid w:val="00C440BD"/>
    <w:rsid w:val="00C54E19"/>
    <w:rsid w:val="00C748A7"/>
    <w:rsid w:val="00C77920"/>
    <w:rsid w:val="00CD1AA2"/>
    <w:rsid w:val="00CD3FFD"/>
    <w:rsid w:val="00CE3059"/>
    <w:rsid w:val="00D12B55"/>
    <w:rsid w:val="00D25317"/>
    <w:rsid w:val="00D263E1"/>
    <w:rsid w:val="00D41440"/>
    <w:rsid w:val="00D54BC2"/>
    <w:rsid w:val="00D55647"/>
    <w:rsid w:val="00D65218"/>
    <w:rsid w:val="00D77BAD"/>
    <w:rsid w:val="00D9077C"/>
    <w:rsid w:val="00D964FB"/>
    <w:rsid w:val="00DC0844"/>
    <w:rsid w:val="00DD7F37"/>
    <w:rsid w:val="00DE37F5"/>
    <w:rsid w:val="00DF1B4E"/>
    <w:rsid w:val="00E0520D"/>
    <w:rsid w:val="00E15767"/>
    <w:rsid w:val="00E16BDD"/>
    <w:rsid w:val="00E3693E"/>
    <w:rsid w:val="00E50DD4"/>
    <w:rsid w:val="00E57431"/>
    <w:rsid w:val="00E70183"/>
    <w:rsid w:val="00E72BD3"/>
    <w:rsid w:val="00E7318E"/>
    <w:rsid w:val="00E73274"/>
    <w:rsid w:val="00E93DCE"/>
    <w:rsid w:val="00E97F10"/>
    <w:rsid w:val="00EB5958"/>
    <w:rsid w:val="00ED576C"/>
    <w:rsid w:val="00F0266A"/>
    <w:rsid w:val="00F06E1F"/>
    <w:rsid w:val="00F150C9"/>
    <w:rsid w:val="00F24D46"/>
    <w:rsid w:val="00F25D29"/>
    <w:rsid w:val="00F3381A"/>
    <w:rsid w:val="00F423BC"/>
    <w:rsid w:val="00F42E63"/>
    <w:rsid w:val="00F51307"/>
    <w:rsid w:val="00F56786"/>
    <w:rsid w:val="00F64277"/>
    <w:rsid w:val="00F6489F"/>
    <w:rsid w:val="00F7600D"/>
    <w:rsid w:val="00F8196E"/>
    <w:rsid w:val="00F95BFA"/>
    <w:rsid w:val="0F823621"/>
    <w:rsid w:val="2425FF3E"/>
    <w:rsid w:val="2C23CAA7"/>
    <w:rsid w:val="43A62C42"/>
    <w:rsid w:val="47FD1738"/>
    <w:rsid w:val="68B9BD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542CB666"/>
  <w15:chartTrackingRefBased/>
  <w15:docId w15:val="{902A73D9-EA28-45D9-A5C1-772F8F1C4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22343"/>
    <w:rPr>
      <w:lang w:val="nl-NL"/>
    </w:rPr>
  </w:style>
  <w:style w:type="paragraph" w:styleId="Kop1">
    <w:name w:val="heading 1"/>
    <w:basedOn w:val="Standaard"/>
    <w:next w:val="Standaard"/>
    <w:link w:val="Kop1Char"/>
    <w:uiPriority w:val="9"/>
    <w:qFormat/>
    <w:rsid w:val="0022234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22234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222343"/>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222343"/>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222343"/>
    <w:pPr>
      <w:keepNext/>
      <w:keepLines/>
      <w:spacing w:before="80" w:after="40"/>
      <w:outlineLvl w:val="4"/>
    </w:pPr>
    <w:rPr>
      <w:rFonts w:asciiTheme="minorHAnsi" w:eastAsiaTheme="majorEastAsia" w:hAnsiTheme="minorHAnsi" w:cstheme="majorBidi"/>
      <w:color w:val="2E74B5" w:themeColor="accent1" w:themeShade="BF"/>
    </w:rPr>
  </w:style>
  <w:style w:type="paragraph" w:styleId="Kop6">
    <w:name w:val="heading 6"/>
    <w:basedOn w:val="Standaard"/>
    <w:next w:val="Standaard"/>
    <w:link w:val="Kop6Char"/>
    <w:uiPriority w:val="9"/>
    <w:semiHidden/>
    <w:unhideWhenUsed/>
    <w:qFormat/>
    <w:rsid w:val="00222343"/>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222343"/>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222343"/>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222343"/>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22343"/>
    <w:rPr>
      <w:rFonts w:asciiTheme="majorHAnsi" w:eastAsiaTheme="majorEastAsia" w:hAnsiTheme="majorHAnsi" w:cstheme="majorBidi"/>
      <w:color w:val="2E74B5" w:themeColor="accent1" w:themeShade="BF"/>
      <w:sz w:val="40"/>
      <w:szCs w:val="40"/>
      <w:lang w:val="nl-NL"/>
    </w:rPr>
  </w:style>
  <w:style w:type="character" w:customStyle="1" w:styleId="Kop2Char">
    <w:name w:val="Kop 2 Char"/>
    <w:basedOn w:val="Standaardalinea-lettertype"/>
    <w:link w:val="Kop2"/>
    <w:uiPriority w:val="9"/>
    <w:semiHidden/>
    <w:rsid w:val="00222343"/>
    <w:rPr>
      <w:rFonts w:asciiTheme="majorHAnsi" w:eastAsiaTheme="majorEastAsia" w:hAnsiTheme="majorHAnsi" w:cstheme="majorBidi"/>
      <w:color w:val="2E74B5" w:themeColor="accent1" w:themeShade="BF"/>
      <w:sz w:val="32"/>
      <w:szCs w:val="32"/>
      <w:lang w:val="nl-NL"/>
    </w:rPr>
  </w:style>
  <w:style w:type="character" w:customStyle="1" w:styleId="Kop3Char">
    <w:name w:val="Kop 3 Char"/>
    <w:basedOn w:val="Standaardalinea-lettertype"/>
    <w:link w:val="Kop3"/>
    <w:uiPriority w:val="9"/>
    <w:semiHidden/>
    <w:rsid w:val="00222343"/>
    <w:rPr>
      <w:rFonts w:asciiTheme="minorHAnsi" w:eastAsiaTheme="majorEastAsia" w:hAnsiTheme="minorHAnsi" w:cstheme="majorBidi"/>
      <w:color w:val="2E74B5" w:themeColor="accent1" w:themeShade="BF"/>
      <w:sz w:val="28"/>
      <w:szCs w:val="28"/>
      <w:lang w:val="nl-NL"/>
    </w:rPr>
  </w:style>
  <w:style w:type="character" w:customStyle="1" w:styleId="Kop4Char">
    <w:name w:val="Kop 4 Char"/>
    <w:basedOn w:val="Standaardalinea-lettertype"/>
    <w:link w:val="Kop4"/>
    <w:uiPriority w:val="9"/>
    <w:semiHidden/>
    <w:rsid w:val="00222343"/>
    <w:rPr>
      <w:rFonts w:asciiTheme="minorHAnsi" w:eastAsiaTheme="majorEastAsia" w:hAnsiTheme="minorHAnsi" w:cstheme="majorBidi"/>
      <w:i/>
      <w:iCs/>
      <w:color w:val="2E74B5" w:themeColor="accent1" w:themeShade="BF"/>
      <w:lang w:val="nl-NL"/>
    </w:rPr>
  </w:style>
  <w:style w:type="character" w:customStyle="1" w:styleId="Kop5Char">
    <w:name w:val="Kop 5 Char"/>
    <w:basedOn w:val="Standaardalinea-lettertype"/>
    <w:link w:val="Kop5"/>
    <w:uiPriority w:val="9"/>
    <w:semiHidden/>
    <w:rsid w:val="00222343"/>
    <w:rPr>
      <w:rFonts w:asciiTheme="minorHAnsi" w:eastAsiaTheme="majorEastAsia" w:hAnsiTheme="minorHAnsi" w:cstheme="majorBidi"/>
      <w:color w:val="2E74B5" w:themeColor="accent1" w:themeShade="BF"/>
      <w:lang w:val="nl-NL"/>
    </w:rPr>
  </w:style>
  <w:style w:type="character" w:customStyle="1" w:styleId="Kop6Char">
    <w:name w:val="Kop 6 Char"/>
    <w:basedOn w:val="Standaardalinea-lettertype"/>
    <w:link w:val="Kop6"/>
    <w:uiPriority w:val="9"/>
    <w:semiHidden/>
    <w:rsid w:val="00222343"/>
    <w:rPr>
      <w:rFonts w:asciiTheme="minorHAnsi" w:eastAsiaTheme="majorEastAsia" w:hAnsiTheme="minorHAnsi" w:cstheme="majorBidi"/>
      <w:i/>
      <w:iCs/>
      <w:color w:val="595959" w:themeColor="text1" w:themeTint="A6"/>
      <w:lang w:val="nl-NL"/>
    </w:rPr>
  </w:style>
  <w:style w:type="character" w:customStyle="1" w:styleId="Kop7Char">
    <w:name w:val="Kop 7 Char"/>
    <w:basedOn w:val="Standaardalinea-lettertype"/>
    <w:link w:val="Kop7"/>
    <w:uiPriority w:val="9"/>
    <w:semiHidden/>
    <w:rsid w:val="00222343"/>
    <w:rPr>
      <w:rFonts w:asciiTheme="minorHAnsi" w:eastAsiaTheme="majorEastAsia" w:hAnsiTheme="minorHAnsi" w:cstheme="majorBidi"/>
      <w:color w:val="595959" w:themeColor="text1" w:themeTint="A6"/>
      <w:lang w:val="nl-NL"/>
    </w:rPr>
  </w:style>
  <w:style w:type="character" w:customStyle="1" w:styleId="Kop8Char">
    <w:name w:val="Kop 8 Char"/>
    <w:basedOn w:val="Standaardalinea-lettertype"/>
    <w:link w:val="Kop8"/>
    <w:uiPriority w:val="9"/>
    <w:semiHidden/>
    <w:rsid w:val="00222343"/>
    <w:rPr>
      <w:rFonts w:asciiTheme="minorHAnsi" w:eastAsiaTheme="majorEastAsia" w:hAnsiTheme="minorHAnsi" w:cstheme="majorBidi"/>
      <w:i/>
      <w:iCs/>
      <w:color w:val="272727" w:themeColor="text1" w:themeTint="D8"/>
      <w:lang w:val="nl-NL"/>
    </w:rPr>
  </w:style>
  <w:style w:type="character" w:customStyle="1" w:styleId="Kop9Char">
    <w:name w:val="Kop 9 Char"/>
    <w:basedOn w:val="Standaardalinea-lettertype"/>
    <w:link w:val="Kop9"/>
    <w:uiPriority w:val="9"/>
    <w:semiHidden/>
    <w:rsid w:val="00222343"/>
    <w:rPr>
      <w:rFonts w:asciiTheme="minorHAnsi" w:eastAsiaTheme="majorEastAsia" w:hAnsiTheme="minorHAnsi" w:cstheme="majorBidi"/>
      <w:color w:val="272727" w:themeColor="text1" w:themeTint="D8"/>
      <w:lang w:val="nl-NL"/>
    </w:rPr>
  </w:style>
  <w:style w:type="paragraph" w:styleId="Titel">
    <w:name w:val="Title"/>
    <w:basedOn w:val="Standaard"/>
    <w:next w:val="Standaard"/>
    <w:link w:val="TitelChar"/>
    <w:uiPriority w:val="10"/>
    <w:qFormat/>
    <w:rsid w:val="002223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22343"/>
    <w:rPr>
      <w:rFonts w:asciiTheme="majorHAnsi" w:eastAsiaTheme="majorEastAsia" w:hAnsiTheme="majorHAnsi" w:cstheme="majorBidi"/>
      <w:spacing w:val="-10"/>
      <w:kern w:val="28"/>
      <w:sz w:val="56"/>
      <w:szCs w:val="56"/>
      <w:lang w:val="nl-NL"/>
    </w:rPr>
  </w:style>
  <w:style w:type="paragraph" w:styleId="Ondertitel">
    <w:name w:val="Subtitle"/>
    <w:basedOn w:val="Standaard"/>
    <w:next w:val="Standaard"/>
    <w:link w:val="OndertitelChar"/>
    <w:uiPriority w:val="11"/>
    <w:qFormat/>
    <w:rsid w:val="0022234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22343"/>
    <w:rPr>
      <w:rFonts w:asciiTheme="minorHAnsi" w:eastAsiaTheme="majorEastAsia" w:hAnsiTheme="minorHAnsi"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22234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22343"/>
    <w:rPr>
      <w:i/>
      <w:iCs/>
      <w:color w:val="404040" w:themeColor="text1" w:themeTint="BF"/>
      <w:lang w:val="nl-NL"/>
    </w:rPr>
  </w:style>
  <w:style w:type="paragraph" w:styleId="Lijstalinea">
    <w:name w:val="List Paragraph"/>
    <w:basedOn w:val="Standaard"/>
    <w:uiPriority w:val="34"/>
    <w:qFormat/>
    <w:rsid w:val="00222343"/>
    <w:pPr>
      <w:ind w:left="720"/>
      <w:contextualSpacing/>
    </w:pPr>
  </w:style>
  <w:style w:type="character" w:styleId="Intensievebenadrukking">
    <w:name w:val="Intense Emphasis"/>
    <w:basedOn w:val="Standaardalinea-lettertype"/>
    <w:uiPriority w:val="21"/>
    <w:qFormat/>
    <w:rsid w:val="00222343"/>
    <w:rPr>
      <w:i/>
      <w:iCs/>
      <w:color w:val="2E74B5" w:themeColor="accent1" w:themeShade="BF"/>
    </w:rPr>
  </w:style>
  <w:style w:type="paragraph" w:styleId="Duidelijkcitaat">
    <w:name w:val="Intense Quote"/>
    <w:basedOn w:val="Standaard"/>
    <w:next w:val="Standaard"/>
    <w:link w:val="DuidelijkcitaatChar"/>
    <w:uiPriority w:val="30"/>
    <w:qFormat/>
    <w:rsid w:val="0022234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222343"/>
    <w:rPr>
      <w:i/>
      <w:iCs/>
      <w:color w:val="2E74B5" w:themeColor="accent1" w:themeShade="BF"/>
      <w:lang w:val="nl-NL"/>
    </w:rPr>
  </w:style>
  <w:style w:type="character" w:styleId="Intensieveverwijzing">
    <w:name w:val="Intense Reference"/>
    <w:basedOn w:val="Standaardalinea-lettertype"/>
    <w:uiPriority w:val="32"/>
    <w:qFormat/>
    <w:rsid w:val="00222343"/>
    <w:rPr>
      <w:b/>
      <w:bCs/>
      <w:smallCaps/>
      <w:color w:val="2E74B5" w:themeColor="accent1" w:themeShade="BF"/>
      <w:spacing w:val="5"/>
    </w:rPr>
  </w:style>
  <w:style w:type="character" w:styleId="Verwijzingopmerking">
    <w:name w:val="annotation reference"/>
    <w:basedOn w:val="Standaardalinea-lettertype"/>
    <w:uiPriority w:val="99"/>
    <w:semiHidden/>
    <w:unhideWhenUsed/>
    <w:rsid w:val="00222343"/>
    <w:rPr>
      <w:sz w:val="16"/>
      <w:szCs w:val="16"/>
    </w:rPr>
  </w:style>
  <w:style w:type="paragraph" w:styleId="Tekstopmerking">
    <w:name w:val="annotation text"/>
    <w:basedOn w:val="Standaard"/>
    <w:link w:val="TekstopmerkingChar"/>
    <w:uiPriority w:val="99"/>
    <w:unhideWhenUsed/>
    <w:rsid w:val="00222343"/>
    <w:pPr>
      <w:spacing w:line="240" w:lineRule="auto"/>
    </w:pPr>
    <w:rPr>
      <w:sz w:val="20"/>
      <w:szCs w:val="20"/>
      <w:lang w:val="en-US"/>
    </w:rPr>
  </w:style>
  <w:style w:type="character" w:customStyle="1" w:styleId="TekstopmerkingChar">
    <w:name w:val="Tekst opmerking Char"/>
    <w:basedOn w:val="Standaardalinea-lettertype"/>
    <w:link w:val="Tekstopmerking"/>
    <w:uiPriority w:val="99"/>
    <w:rsid w:val="00222343"/>
    <w:rPr>
      <w:sz w:val="20"/>
      <w:szCs w:val="20"/>
    </w:rPr>
  </w:style>
  <w:style w:type="table" w:styleId="Tabelraster">
    <w:name w:val="Table Grid"/>
    <w:basedOn w:val="Standaardtabel"/>
    <w:uiPriority w:val="39"/>
    <w:rsid w:val="00222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semiHidden/>
    <w:unhideWhenUsed/>
    <w:rsid w:val="00C20C49"/>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C20C49"/>
    <w:rPr>
      <w:lang w:val="nl-NL"/>
    </w:rPr>
  </w:style>
  <w:style w:type="paragraph" w:styleId="Voettekst">
    <w:name w:val="footer"/>
    <w:basedOn w:val="Standaard"/>
    <w:link w:val="VoettekstChar"/>
    <w:uiPriority w:val="99"/>
    <w:semiHidden/>
    <w:unhideWhenUsed/>
    <w:rsid w:val="00C20C4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C20C49"/>
    <w:rPr>
      <w:lang w:val="nl-NL"/>
    </w:rPr>
  </w:style>
  <w:style w:type="paragraph" w:styleId="Onderwerpvanopmerking">
    <w:name w:val="annotation subject"/>
    <w:basedOn w:val="Tekstopmerking"/>
    <w:next w:val="Tekstopmerking"/>
    <w:link w:val="OnderwerpvanopmerkingChar"/>
    <w:uiPriority w:val="99"/>
    <w:semiHidden/>
    <w:unhideWhenUsed/>
    <w:rsid w:val="00A510FA"/>
    <w:rPr>
      <w:b/>
      <w:bCs/>
      <w:lang w:val="nl-NL"/>
    </w:rPr>
  </w:style>
  <w:style w:type="character" w:customStyle="1" w:styleId="OnderwerpvanopmerkingChar">
    <w:name w:val="Onderwerp van opmerking Char"/>
    <w:basedOn w:val="TekstopmerkingChar"/>
    <w:link w:val="Onderwerpvanopmerking"/>
    <w:uiPriority w:val="99"/>
    <w:semiHidden/>
    <w:rsid w:val="00A510FA"/>
    <w:rPr>
      <w:b/>
      <w:bCs/>
      <w:sz w:val="20"/>
      <w:szCs w:val="20"/>
      <w:lang w:val="nl-NL"/>
    </w:rPr>
  </w:style>
  <w:style w:type="paragraph" w:styleId="Voetnoottekst">
    <w:name w:val="footnote text"/>
    <w:basedOn w:val="Standaard"/>
    <w:link w:val="VoetnoottekstChar"/>
    <w:uiPriority w:val="99"/>
    <w:semiHidden/>
    <w:unhideWhenUsed/>
    <w:rsid w:val="000E354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E3540"/>
    <w:rPr>
      <w:sz w:val="20"/>
      <w:szCs w:val="20"/>
      <w:lang w:val="nl-NL"/>
    </w:rPr>
  </w:style>
  <w:style w:type="character" w:styleId="Voetnootmarkering">
    <w:name w:val="footnote reference"/>
    <w:basedOn w:val="Standaardalinea-lettertype"/>
    <w:uiPriority w:val="99"/>
    <w:semiHidden/>
    <w:unhideWhenUsed/>
    <w:rsid w:val="000E3540"/>
    <w:rPr>
      <w:vertAlign w:val="superscript"/>
    </w:rPr>
  </w:style>
  <w:style w:type="character" w:styleId="Hyperlink">
    <w:name w:val="Hyperlink"/>
    <w:basedOn w:val="Standaardalinea-lettertype"/>
    <w:uiPriority w:val="99"/>
    <w:unhideWhenUsed/>
    <w:rsid w:val="00797AED"/>
    <w:rPr>
      <w:color w:val="0563C1" w:themeColor="hyperlink"/>
      <w:u w:val="single"/>
    </w:rPr>
  </w:style>
  <w:style w:type="character" w:styleId="Onopgelostemelding">
    <w:name w:val="Unresolved Mention"/>
    <w:basedOn w:val="Standaardalinea-lettertype"/>
    <w:uiPriority w:val="99"/>
    <w:semiHidden/>
    <w:unhideWhenUsed/>
    <w:rsid w:val="00797AED"/>
    <w:rPr>
      <w:color w:val="605E5C"/>
      <w:shd w:val="clear" w:color="auto" w:fill="E1DFDD"/>
    </w:rPr>
  </w:style>
  <w:style w:type="paragraph" w:styleId="Revisie">
    <w:name w:val="Revision"/>
    <w:hidden/>
    <w:uiPriority w:val="99"/>
    <w:semiHidden/>
    <w:rsid w:val="002E5B38"/>
    <w:pPr>
      <w:spacing w:after="0" w:line="240" w:lineRule="auto"/>
    </w:pPr>
    <w:rPr>
      <w:lang w:val="nl-NL"/>
    </w:rPr>
  </w:style>
  <w:style w:type="character" w:styleId="GevolgdeHyperlink">
    <w:name w:val="FollowedHyperlink"/>
    <w:basedOn w:val="Standaardalinea-lettertype"/>
    <w:uiPriority w:val="99"/>
    <w:semiHidden/>
    <w:unhideWhenUsed/>
    <w:rsid w:val="00E93D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85539">
      <w:bodyDiv w:val="1"/>
      <w:marLeft w:val="0"/>
      <w:marRight w:val="0"/>
      <w:marTop w:val="0"/>
      <w:marBottom w:val="0"/>
      <w:divBdr>
        <w:top w:val="none" w:sz="0" w:space="0" w:color="auto"/>
        <w:left w:val="none" w:sz="0" w:space="0" w:color="auto"/>
        <w:bottom w:val="none" w:sz="0" w:space="0" w:color="auto"/>
        <w:right w:val="none" w:sz="0" w:space="0" w:color="auto"/>
      </w:divBdr>
    </w:div>
    <w:div w:id="148208637">
      <w:bodyDiv w:val="1"/>
      <w:marLeft w:val="0"/>
      <w:marRight w:val="0"/>
      <w:marTop w:val="0"/>
      <w:marBottom w:val="0"/>
      <w:divBdr>
        <w:top w:val="none" w:sz="0" w:space="0" w:color="auto"/>
        <w:left w:val="none" w:sz="0" w:space="0" w:color="auto"/>
        <w:bottom w:val="none" w:sz="0" w:space="0" w:color="auto"/>
        <w:right w:val="none" w:sz="0" w:space="0" w:color="auto"/>
      </w:divBdr>
    </w:div>
    <w:div w:id="999506791">
      <w:bodyDiv w:val="1"/>
      <w:marLeft w:val="0"/>
      <w:marRight w:val="0"/>
      <w:marTop w:val="0"/>
      <w:marBottom w:val="0"/>
      <w:divBdr>
        <w:top w:val="none" w:sz="0" w:space="0" w:color="auto"/>
        <w:left w:val="none" w:sz="0" w:space="0" w:color="auto"/>
        <w:bottom w:val="none" w:sz="0" w:space="0" w:color="auto"/>
        <w:right w:val="none" w:sz="0" w:space="0" w:color="auto"/>
      </w:divBdr>
    </w:div>
    <w:div w:id="1235437183">
      <w:bodyDiv w:val="1"/>
      <w:marLeft w:val="0"/>
      <w:marRight w:val="0"/>
      <w:marTop w:val="0"/>
      <w:marBottom w:val="0"/>
      <w:divBdr>
        <w:top w:val="none" w:sz="0" w:space="0" w:color="auto"/>
        <w:left w:val="none" w:sz="0" w:space="0" w:color="auto"/>
        <w:bottom w:val="none" w:sz="0" w:space="0" w:color="auto"/>
        <w:right w:val="none" w:sz="0" w:space="0" w:color="auto"/>
      </w:divBdr>
    </w:div>
    <w:div w:id="131579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tweedekamer.nl/debat_en_vergadering/commissievergaderingen/details?id=2025A00493" TargetMode="External"/><Relationship Id="rId1" Type="http://schemas.openxmlformats.org/officeDocument/2006/relationships/hyperlink" Target="https://kpmg.com/nl/nl/home/insights/2025/01/krachten-gebundeld.htm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1722</ap:Words>
  <ap:Characters>9473</ap:Characters>
  <ap:DocSecurity>4</ap:DocSecurity>
  <ap:Lines>78</ap:Lines>
  <ap:Paragraphs>22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11173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2025-05-14T05:27:00.0000000Z</dcterms:created>
  <dcterms:modified xsi:type="dcterms:W3CDTF">2025-05-14T05:27:00.0000000Z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0x01010013257578DA629F469018C8B6299304B0</vt:lpwstr>
  </property>
  <property fmtid="{D5CDD505-2E9C-101B-9397-08002B2CF9AE}" pid="3" name="MSIP_Label_6800fede-0e59-47ad-af95-4e63bbdb932d_Enabled">
    <vt:lpwstr>true</vt:lpwstr>
  </property>
  <property fmtid="{D5CDD505-2E9C-101B-9397-08002B2CF9AE}" pid="4" name="MSIP_Label_6800fede-0e59-47ad-af95-4e63bbdb932d_SetDate">
    <vt:lpwstr>2025-03-07T09:44:34Z</vt:lpwstr>
  </property>
  <property fmtid="{D5CDD505-2E9C-101B-9397-08002B2CF9AE}" pid="5" name="MSIP_Label_6800fede-0e59-47ad-af95-4e63bbdb932d_Method">
    <vt:lpwstr>Standard</vt:lpwstr>
  </property>
  <property fmtid="{D5CDD505-2E9C-101B-9397-08002B2CF9AE}" pid="6" name="MSIP_Label_6800fede-0e59-47ad-af95-4e63bbdb932d_Name">
    <vt:lpwstr>FIN-DGGT-Rijksoverheid</vt:lpwstr>
  </property>
  <property fmtid="{D5CDD505-2E9C-101B-9397-08002B2CF9AE}" pid="7" name="MSIP_Label_6800fede-0e59-47ad-af95-4e63bbdb932d_SiteId">
    <vt:lpwstr>84712536-f524-40a0-913b-5d25ba502732</vt:lpwstr>
  </property>
  <property fmtid="{D5CDD505-2E9C-101B-9397-08002B2CF9AE}" pid="8" name="MSIP_Label_6800fede-0e59-47ad-af95-4e63bbdb932d_ActionId">
    <vt:lpwstr>15c868e4-cba2-40ee-b9f1-eab2c44fa68d</vt:lpwstr>
  </property>
  <property fmtid="{D5CDD505-2E9C-101B-9397-08002B2CF9AE}" pid="9" name="MSIP_Label_6800fede-0e59-47ad-af95-4e63bbdb932d_ContentBits">
    <vt:lpwstr>0</vt:lpwstr>
  </property>
</Properties>
</file>