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579E8BF6" w14:paraId="4D2FCB61" w14:textId="77777777">
        <w:tc>
          <w:tcPr>
            <w:tcW w:w="6379" w:type="dxa"/>
            <w:gridSpan w:val="2"/>
            <w:tcBorders>
              <w:top w:val="nil"/>
              <w:left w:val="nil"/>
              <w:bottom w:val="nil"/>
              <w:right w:val="nil"/>
            </w:tcBorders>
            <w:vAlign w:val="center"/>
          </w:tcPr>
          <w:p w:rsidR="004330ED" w:rsidP="179E135F" w:rsidRDefault="25B34A12" w14:paraId="760380A5" w14:textId="687DDBDD">
            <w:pPr>
              <w:pStyle w:val="Amendement"/>
              <w:tabs>
                <w:tab w:val="clear" w:pos="3310"/>
                <w:tab w:val="clear" w:pos="3600"/>
              </w:tabs>
              <w:rPr>
                <w:rFonts w:ascii="Times New Roman" w:hAnsi="Times New Roman"/>
                <w:spacing w:val="40"/>
                <w:sz w:val="22"/>
                <w:szCs w:val="22"/>
              </w:rPr>
            </w:pPr>
            <w:r w:rsidRPr="179E135F">
              <w:rPr>
                <w:rFonts w:ascii="Times New Roman" w:hAnsi="Times New Roman"/>
                <w:spacing w:val="40"/>
                <w:sz w:val="30"/>
                <w:szCs w:val="30"/>
              </w:rPr>
              <w:t>T</w:t>
            </w:r>
            <w:r w:rsidRPr="179E135F" w:rsidR="1186C9AC">
              <w:rPr>
                <w:rFonts w:ascii="Times New Roman" w:hAnsi="Times New Roman"/>
                <w:spacing w:val="40"/>
                <w:sz w:val="22"/>
                <w:szCs w:val="22"/>
              </w:rPr>
              <w:t>WEEDE</w:t>
            </w:r>
            <w:r w:rsidRPr="179E135F">
              <w:rPr>
                <w:rFonts w:ascii="Times New Roman" w:hAnsi="Times New Roman"/>
                <w:spacing w:val="40"/>
                <w:sz w:val="22"/>
                <w:szCs w:val="22"/>
              </w:rPr>
              <w:t xml:space="preserve"> </w:t>
            </w:r>
            <w:r w:rsidRPr="179E135F">
              <w:rPr>
                <w:rFonts w:ascii="Times New Roman" w:hAnsi="Times New Roman"/>
                <w:spacing w:val="40"/>
                <w:sz w:val="30"/>
                <w:szCs w:val="30"/>
              </w:rPr>
              <w:t>K</w:t>
            </w:r>
            <w:r w:rsidRPr="179E135F" w:rsidR="1186C9AC">
              <w:rPr>
                <w:rFonts w:ascii="Times New Roman" w:hAnsi="Times New Roman"/>
                <w:spacing w:val="40"/>
                <w:sz w:val="22"/>
                <w:szCs w:val="22"/>
              </w:rPr>
              <w:t xml:space="preserve">AMER </w:t>
            </w:r>
            <w:r w:rsidRPr="179E135F">
              <w:rPr>
                <w:rFonts w:ascii="Times New Roman" w:hAnsi="Times New Roman"/>
                <w:spacing w:val="40"/>
                <w:sz w:val="22"/>
                <w:szCs w:val="22"/>
              </w:rPr>
              <w:t>DER</w:t>
            </w:r>
            <w:r w:rsidRPr="179E135F">
              <w:rPr>
                <w:rFonts w:ascii="Times New Roman" w:hAnsi="Times New Roman"/>
                <w:spacing w:val="40"/>
                <w:sz w:val="30"/>
                <w:szCs w:val="30"/>
              </w:rPr>
              <w:t xml:space="preserve"> S</w:t>
            </w:r>
            <w:r w:rsidRPr="179E135F">
              <w:rPr>
                <w:rFonts w:ascii="Times New Roman" w:hAnsi="Times New Roman"/>
                <w:spacing w:val="40"/>
                <w:sz w:val="22"/>
                <w:szCs w:val="22"/>
              </w:rPr>
              <w:t>TATEN-</w:t>
            </w:r>
            <w:r w:rsidRPr="179E135F">
              <w:rPr>
                <w:rFonts w:ascii="Times New Roman" w:hAnsi="Times New Roman"/>
                <w:spacing w:val="40"/>
                <w:sz w:val="30"/>
                <w:szCs w:val="30"/>
              </w:rPr>
              <w:t>G</w:t>
            </w:r>
            <w:r w:rsidRPr="179E135F">
              <w:rPr>
                <w:rFonts w:ascii="Times New Roman" w:hAnsi="Times New Roman"/>
                <w:spacing w:val="40"/>
                <w:sz w:val="22"/>
                <w:szCs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579E8B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4803300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E084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E084A">
              <w:rPr>
                <w:rFonts w:ascii="Times New Roman" w:hAnsi="Times New Roman"/>
                <w:b w:val="0"/>
              </w:rPr>
              <w:t>5</w:t>
            </w:r>
          </w:p>
        </w:tc>
      </w:tr>
      <w:tr w:rsidR="004330ED" w:rsidTr="579E8B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579E8B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579E8B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579E8B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579E8B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579E8B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579E8B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5341EF81">
            <w:pPr>
              <w:pStyle w:val="Amendement"/>
              <w:tabs>
                <w:tab w:val="clear" w:pos="3310"/>
                <w:tab w:val="clear" w:pos="3600"/>
              </w:tabs>
              <w:rPr>
                <w:rFonts w:ascii="Times New Roman" w:hAnsi="Times New Roman"/>
              </w:rPr>
            </w:pPr>
            <w:r w:rsidRPr="157C49A7">
              <w:rPr>
                <w:rFonts w:ascii="Times New Roman" w:hAnsi="Times New Roman"/>
              </w:rPr>
              <w:t xml:space="preserve">Nr. </w:t>
            </w:r>
            <w:r w:rsidR="009A17EC">
              <w:rPr>
                <w:rFonts w:ascii="Times New Roman" w:hAnsi="Times New Roman"/>
                <w:caps/>
              </w:rPr>
              <w:t>27</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B956C1" w14:paraId="431F3971" w14:textId="0CE0CC50">
            <w:pPr>
              <w:pStyle w:val="Amendement"/>
              <w:tabs>
                <w:tab w:val="clear" w:pos="3310"/>
                <w:tab w:val="clear" w:pos="3600"/>
              </w:tabs>
              <w:ind w:left="-70"/>
              <w:rPr>
                <w:rFonts w:ascii="Times New Roman" w:hAnsi="Times New Roman"/>
                <w:caps/>
              </w:rPr>
            </w:pPr>
            <w:r>
              <w:rPr>
                <w:rFonts w:ascii="Times New Roman" w:hAnsi="Times New Roman"/>
                <w:caps/>
              </w:rPr>
              <w:t xml:space="preserve">Tweede </w:t>
            </w:r>
            <w:r w:rsidR="00B00C66">
              <w:rPr>
                <w:rFonts w:ascii="Times New Roman" w:hAnsi="Times New Roman"/>
                <w:caps/>
              </w:rPr>
              <w:t xml:space="preserve">Nader </w:t>
            </w:r>
            <w:r w:rsidR="00D248C8">
              <w:rPr>
                <w:rFonts w:ascii="Times New Roman" w:hAnsi="Times New Roman"/>
                <w:caps/>
              </w:rPr>
              <w:t xml:space="preserve">Gewijzigd </w:t>
            </w:r>
            <w:r w:rsidRPr="0FFAE6F6" w:rsidR="003C21AC">
              <w:rPr>
                <w:rFonts w:ascii="Times New Roman" w:hAnsi="Times New Roman"/>
                <w:caps/>
              </w:rPr>
              <w:t xml:space="preserve">AMENDEMENT VAN HET LID </w:t>
            </w:r>
            <w:r w:rsidRPr="0FFAE6F6" w:rsidR="549990FC">
              <w:rPr>
                <w:rFonts w:ascii="Times New Roman" w:hAnsi="Times New Roman"/>
                <w:caps/>
              </w:rPr>
              <w:t>Joseph</w:t>
            </w:r>
            <w:r w:rsidRPr="0FFAE6F6" w:rsidR="406851FC">
              <w:rPr>
                <w:rFonts w:ascii="Times New Roman" w:hAnsi="Times New Roman"/>
                <w:caps/>
              </w:rPr>
              <w:t xml:space="preserve"> c.s.</w:t>
            </w:r>
            <w:r w:rsidR="00D248C8">
              <w:rPr>
                <w:rFonts w:ascii="Times New Roman" w:hAnsi="Times New Roman"/>
                <w:caps/>
              </w:rPr>
              <w:t xml:space="preserve"> </w:t>
            </w:r>
            <w:r w:rsidRPr="00C276DD" w:rsidR="00D248C8">
              <w:rPr>
                <w:rFonts w:ascii="Times New Roman" w:hAnsi="Times New Roman"/>
                <w:bCs/>
                <w:caps/>
                <w:szCs w:val="24"/>
              </w:rPr>
              <w:t>TER VERVANGING VAN DAT GEDRUKT ONDER NR.</w:t>
            </w:r>
            <w:r w:rsidR="00D248C8">
              <w:rPr>
                <w:rFonts w:ascii="Times New Roman" w:hAnsi="Times New Roman"/>
                <w:caps/>
              </w:rPr>
              <w:t xml:space="preserve"> </w:t>
            </w:r>
            <w:r w:rsidR="00AC1518">
              <w:rPr>
                <w:rFonts w:ascii="Times New Roman" w:hAnsi="Times New Roman"/>
                <w:caps/>
              </w:rPr>
              <w:t>1</w:t>
            </w:r>
            <w:r>
              <w:rPr>
                <w:rFonts w:ascii="Times New Roman" w:hAnsi="Times New Roman"/>
                <w:caps/>
              </w:rPr>
              <w:t>7</w:t>
            </w:r>
          </w:p>
        </w:tc>
      </w:tr>
      <w:tr w:rsidR="003C21AC" w:rsidTr="579E8B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7FE57E1A">
            <w:pPr>
              <w:pStyle w:val="Amendement"/>
              <w:tabs>
                <w:tab w:val="clear" w:pos="3310"/>
                <w:tab w:val="clear" w:pos="3600"/>
              </w:tabs>
              <w:ind w:left="-70"/>
              <w:rPr>
                <w:rFonts w:ascii="Times New Roman" w:hAnsi="Times New Roman"/>
              </w:rPr>
            </w:pPr>
            <w:r w:rsidRPr="579E8BF6">
              <w:rPr>
                <w:rFonts w:ascii="Times New Roman" w:hAnsi="Times New Roman"/>
                <w:b w:val="0"/>
              </w:rPr>
              <w:t>Ontvangen</w:t>
            </w:r>
            <w:r w:rsidR="00B00C66">
              <w:rPr>
                <w:rFonts w:ascii="Times New Roman" w:hAnsi="Times New Roman"/>
                <w:b w:val="0"/>
              </w:rPr>
              <w:t xml:space="preserve"> </w:t>
            </w:r>
            <w:r w:rsidR="009A17EC">
              <w:rPr>
                <w:rFonts w:ascii="Times New Roman" w:hAnsi="Times New Roman"/>
                <w:b w:val="0"/>
              </w:rPr>
              <w:t>13</w:t>
            </w:r>
            <w:r w:rsidR="00B956C1">
              <w:rPr>
                <w:rFonts w:ascii="Times New Roman" w:hAnsi="Times New Roman"/>
                <w:b w:val="0"/>
              </w:rPr>
              <w:t xml:space="preserve"> mei</w:t>
            </w:r>
            <w:r w:rsidR="00B00C66">
              <w:rPr>
                <w:rFonts w:ascii="Times New Roman" w:hAnsi="Times New Roman"/>
                <w:b w:val="0"/>
              </w:rPr>
              <w:t xml:space="preserve"> </w:t>
            </w:r>
            <w:r w:rsidRPr="579E8BF6" w:rsidR="00EF1B52">
              <w:rPr>
                <w:rFonts w:ascii="Times New Roman" w:hAnsi="Times New Roman"/>
                <w:b w:val="0"/>
              </w:rPr>
              <w:t>2025</w:t>
            </w:r>
          </w:p>
        </w:tc>
      </w:tr>
      <w:tr w:rsidR="00B01BA6" w:rsidTr="579E8B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579E8B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351D1E15">
            <w:r>
              <w:t xml:space="preserve">    </w:t>
            </w:r>
            <w:r w:rsidRPr="00EA69AC" w:rsidR="00B01BA6">
              <w:t>De ondergetekende</w:t>
            </w:r>
            <w:r w:rsidR="00EF1B52">
              <w:t>n</w:t>
            </w:r>
            <w:r w:rsidRPr="00EA69AC" w:rsidR="00B01BA6">
              <w:t xml:space="preserve"> stel</w:t>
            </w:r>
            <w:r w:rsidR="00EF1B52">
              <w:t>len</w:t>
            </w:r>
            <w:r w:rsidRPr="00EA69AC" w:rsidR="00B01BA6">
              <w:t xml:space="preserve"> het volgende amendement voor:</w:t>
            </w:r>
          </w:p>
        </w:tc>
      </w:tr>
    </w:tbl>
    <w:p w:rsidR="004330ED" w:rsidP="00D774B3" w:rsidRDefault="004330ED" w14:paraId="44D7DC46" w14:textId="77777777"/>
    <w:p w:rsidR="006C0E96" w:rsidP="00D774B3" w:rsidRDefault="006C0E96" w14:paraId="1A4B71E1" w14:textId="337835C4">
      <w:r>
        <w:t>I</w:t>
      </w:r>
    </w:p>
    <w:p w:rsidR="006C0E96" w:rsidP="00D774B3" w:rsidRDefault="006C0E96" w14:paraId="563B2B3C" w14:textId="77777777"/>
    <w:p w:rsidR="006C0E96" w:rsidP="00785583" w:rsidRDefault="006C0E96" w14:paraId="4321DF92" w14:textId="5BEB1FD1">
      <w:pPr>
        <w:ind w:firstLine="284"/>
      </w:pPr>
      <w:r>
        <w:t xml:space="preserve">In het opschrift wordt na “pensioenstelsel” ingevoegd </w:t>
      </w:r>
      <w:r w:rsidR="00096056">
        <w:t>“</w:t>
      </w:r>
      <w:r w:rsidRPr="00096056" w:rsidR="00096056">
        <w:rPr>
          <w:color w:val="000000" w:themeColor="text1"/>
        </w:rPr>
        <w:t>en het waarborgen van zeggenschap bij interne collectieve waardeoverdracht</w:t>
      </w:r>
      <w:r w:rsidRPr="0034157D" w:rsidR="00B956C1">
        <w:rPr>
          <w:color w:val="000000" w:themeColor="text1"/>
        </w:rPr>
        <w:t>”</w:t>
      </w:r>
      <w:r>
        <w:t>.</w:t>
      </w:r>
    </w:p>
    <w:p w:rsidR="006C0E96" w:rsidP="00D774B3" w:rsidRDefault="006C0E96" w14:paraId="641F9FC3" w14:textId="77777777"/>
    <w:p w:rsidR="006C0E96" w:rsidP="00D774B3" w:rsidRDefault="006C0E96" w14:paraId="7C7B62A3" w14:textId="102E5EEC">
      <w:r>
        <w:t>II</w:t>
      </w:r>
    </w:p>
    <w:p w:rsidR="006C0E96" w:rsidP="00D774B3" w:rsidRDefault="006C0E96" w14:paraId="6BEECCF3" w14:textId="77777777"/>
    <w:p w:rsidR="006C0E96" w:rsidP="00D774B3" w:rsidRDefault="006C0E96" w14:paraId="60B744FB" w14:textId="3FA6B763">
      <w:r>
        <w:tab/>
        <w:t>In de beweegreden wordt na “</w:t>
      </w:r>
      <w:r w:rsidR="00A73533">
        <w:t xml:space="preserve">wijzigen” ingevoegd </w:t>
      </w:r>
      <w:r w:rsidRPr="0034157D" w:rsidR="00B956C1">
        <w:rPr>
          <w:color w:val="000000" w:themeColor="text1"/>
        </w:rPr>
        <w:t>“en dat het tevens gewenst is om een individueel bezwaarrecht dan wel een goedkeuringsrecht te geven bij interne collectieve waardeoverdracht”</w:t>
      </w:r>
      <w:r w:rsidR="00A73533">
        <w:t>.</w:t>
      </w:r>
    </w:p>
    <w:p w:rsidR="006C0E96" w:rsidP="00D774B3" w:rsidRDefault="006C0E96" w14:paraId="69C491CD" w14:textId="77777777"/>
    <w:p w:rsidR="00A73533" w:rsidP="00D774B3" w:rsidRDefault="00A73533" w14:paraId="40166204" w14:textId="7961404F">
      <w:r>
        <w:t>III</w:t>
      </w:r>
    </w:p>
    <w:p w:rsidRPr="00EA69AC" w:rsidR="00A73533" w:rsidP="00D774B3" w:rsidRDefault="00A73533" w14:paraId="1E2ADEB6" w14:textId="77777777"/>
    <w:p w:rsidRPr="00C13D0C" w:rsidR="006C0E96" w:rsidP="006C0E96" w:rsidRDefault="006C0E96" w14:paraId="310E4604" w14:textId="4B9FC4E2">
      <w:pPr>
        <w:ind w:firstLine="284"/>
      </w:pPr>
      <w:r w:rsidRPr="00C13D0C">
        <w:t>Na artikel I, onderdeel A, word</w:t>
      </w:r>
      <w:r w:rsidR="00B956C1">
        <w:t xml:space="preserve">en </w:t>
      </w:r>
      <w:r w:rsidR="00565A73">
        <w:t>vier</w:t>
      </w:r>
      <w:r w:rsidRPr="00C13D0C">
        <w:t xml:space="preserve"> onderdel</w:t>
      </w:r>
      <w:r w:rsidR="00B956C1">
        <w:t>en</w:t>
      </w:r>
      <w:r w:rsidRPr="00C13D0C">
        <w:t xml:space="preserve"> ingevoegd, luidende:</w:t>
      </w:r>
    </w:p>
    <w:p w:rsidR="006C0E96" w:rsidP="006C0E96" w:rsidRDefault="006C0E96" w14:paraId="01714988" w14:textId="77777777"/>
    <w:p w:rsidRPr="0034157D" w:rsidR="00B956C1" w:rsidP="00B956C1" w:rsidRDefault="00B956C1" w14:paraId="5E049338" w14:textId="77777777">
      <w:pPr>
        <w:rPr>
          <w:color w:val="000000" w:themeColor="text1"/>
        </w:rPr>
      </w:pPr>
      <w:r w:rsidRPr="0034157D">
        <w:rPr>
          <w:color w:val="000000" w:themeColor="text1"/>
        </w:rPr>
        <w:t>Aa</w:t>
      </w:r>
    </w:p>
    <w:p w:rsidR="00B956C1" w:rsidP="00B956C1" w:rsidRDefault="00B956C1" w14:paraId="7090A195" w14:textId="77777777">
      <w:pPr>
        <w:rPr>
          <w:color w:val="000000" w:themeColor="text1"/>
        </w:rPr>
      </w:pPr>
    </w:p>
    <w:p w:rsidR="00B30A2F" w:rsidP="00B956C1" w:rsidRDefault="00B30A2F" w14:paraId="728D47C0" w14:textId="5DC8ECE3">
      <w:pPr>
        <w:rPr>
          <w:color w:val="000000" w:themeColor="text1"/>
        </w:rPr>
      </w:pPr>
      <w:r>
        <w:rPr>
          <w:color w:val="000000" w:themeColor="text1"/>
        </w:rPr>
        <w:tab/>
        <w:t>Artikel 150i, tweede lid, wordt als volgt gewijzigd:</w:t>
      </w:r>
    </w:p>
    <w:p w:rsidR="00B30A2F" w:rsidP="00B956C1" w:rsidRDefault="00B30A2F" w14:paraId="498248E1" w14:textId="77777777">
      <w:pPr>
        <w:rPr>
          <w:color w:val="000000" w:themeColor="text1"/>
        </w:rPr>
      </w:pPr>
    </w:p>
    <w:p w:rsidRPr="00B30A2F" w:rsidR="00B30A2F" w:rsidP="00B30A2F" w:rsidRDefault="00B30A2F" w14:paraId="7EED86F5" w14:textId="61F57D72">
      <w:pPr>
        <w:rPr>
          <w:color w:val="000000" w:themeColor="text1"/>
        </w:rPr>
      </w:pPr>
      <w:r>
        <w:rPr>
          <w:color w:val="000000" w:themeColor="text1"/>
        </w:rPr>
        <w:tab/>
        <w:t>1. Aan onderdeel e wordt toegevoegd “i</w:t>
      </w:r>
      <w:r w:rsidRPr="00B30A2F">
        <w:rPr>
          <w:color w:val="000000" w:themeColor="text1"/>
        </w:rPr>
        <w:t>n het geval van:</w:t>
      </w:r>
    </w:p>
    <w:p w:rsidRPr="00B30A2F" w:rsidR="00B30A2F" w:rsidP="009F4021" w:rsidRDefault="00B30A2F" w14:paraId="795F7277" w14:textId="77777777">
      <w:pPr>
        <w:ind w:firstLine="284"/>
        <w:rPr>
          <w:color w:val="000000" w:themeColor="text1"/>
        </w:rPr>
      </w:pPr>
      <w:r w:rsidRPr="00B30A2F">
        <w:rPr>
          <w:color w:val="000000" w:themeColor="text1"/>
        </w:rPr>
        <w:t>1°. volledige interne collectieve waardeoverdracht;</w:t>
      </w:r>
    </w:p>
    <w:p w:rsidRPr="00B30A2F" w:rsidR="00B30A2F" w:rsidP="009F4021" w:rsidRDefault="00B30A2F" w14:paraId="5DB73D09" w14:textId="19C91B03">
      <w:pPr>
        <w:ind w:firstLine="284"/>
        <w:rPr>
          <w:color w:val="000000" w:themeColor="text1"/>
        </w:rPr>
      </w:pPr>
      <w:r w:rsidRPr="00B30A2F">
        <w:rPr>
          <w:color w:val="000000" w:themeColor="text1"/>
        </w:rPr>
        <w:t xml:space="preserve">2°. gedeeltelijke interne collectieve waardeoverdracht waarbij de </w:t>
      </w:r>
      <w:r w:rsidR="00C61C70">
        <w:rPr>
          <w:color w:val="000000" w:themeColor="text1"/>
        </w:rPr>
        <w:t xml:space="preserve">personen die </w:t>
      </w:r>
      <w:r w:rsidRPr="00B30A2F">
        <w:rPr>
          <w:color w:val="000000" w:themeColor="text1"/>
        </w:rPr>
        <w:t>bezwaar</w:t>
      </w:r>
      <w:r w:rsidR="00C61C70">
        <w:rPr>
          <w:color w:val="000000" w:themeColor="text1"/>
        </w:rPr>
        <w:t xml:space="preserve"> </w:t>
      </w:r>
      <w:r w:rsidRPr="00B30A2F">
        <w:rPr>
          <w:color w:val="000000" w:themeColor="text1"/>
        </w:rPr>
        <w:t>make</w:t>
      </w:r>
      <w:r w:rsidR="00C61C70">
        <w:rPr>
          <w:color w:val="000000" w:themeColor="text1"/>
        </w:rPr>
        <w:t>n</w:t>
      </w:r>
      <w:r w:rsidRPr="00B30A2F">
        <w:rPr>
          <w:color w:val="000000" w:themeColor="text1"/>
        </w:rPr>
        <w:t>, bedoeld in artikel 150m, elfde lid, daarvan worden uitgezonderd; of</w:t>
      </w:r>
    </w:p>
    <w:p w:rsidRPr="00B30A2F" w:rsidR="00B30A2F" w:rsidP="009F4021" w:rsidRDefault="00B30A2F" w14:paraId="59AD5B35" w14:textId="3E17FD57">
      <w:pPr>
        <w:ind w:firstLine="284"/>
        <w:rPr>
          <w:color w:val="000000" w:themeColor="text1"/>
        </w:rPr>
      </w:pPr>
      <w:r w:rsidRPr="573173B0">
        <w:rPr>
          <w:color w:val="000000" w:themeColor="text1"/>
        </w:rPr>
        <w:t xml:space="preserve">3°. indien van toepassing, niet overgaan tot de interne collectieve waardeoverdracht als gevolg van een ontbrekende goedkeuring als bedoeld in artikel 150m, veertiende lid; </w:t>
      </w:r>
    </w:p>
    <w:p w:rsidRPr="0034157D" w:rsidR="00B30A2F" w:rsidP="00B956C1" w:rsidRDefault="00B30A2F" w14:paraId="2B604044" w14:textId="77777777">
      <w:pPr>
        <w:rPr>
          <w:color w:val="000000" w:themeColor="text1"/>
        </w:rPr>
      </w:pPr>
    </w:p>
    <w:p w:rsidRPr="0034157D" w:rsidR="00B956C1" w:rsidP="00B956C1" w:rsidRDefault="00B30A2F" w14:paraId="7793D3F3" w14:textId="2D0BDF23">
      <w:pPr>
        <w:ind w:firstLine="284"/>
        <w:rPr>
          <w:color w:val="000000" w:themeColor="text1"/>
        </w:rPr>
      </w:pPr>
      <w:r>
        <w:rPr>
          <w:color w:val="000000" w:themeColor="text1"/>
        </w:rPr>
        <w:t>2. O</w:t>
      </w:r>
      <w:r w:rsidRPr="0034157D" w:rsidR="00B956C1">
        <w:rPr>
          <w:color w:val="000000" w:themeColor="text1"/>
        </w:rPr>
        <w:t xml:space="preserve">nder vervanging van </w:t>
      </w:r>
      <w:r w:rsidR="00604D89">
        <w:rPr>
          <w:color w:val="000000" w:themeColor="text1"/>
        </w:rPr>
        <w:t>“</w:t>
      </w:r>
      <w:r w:rsidRPr="0034157D" w:rsidR="00B956C1">
        <w:rPr>
          <w:color w:val="000000" w:themeColor="text1"/>
        </w:rPr>
        <w:t>; en</w:t>
      </w:r>
      <w:r w:rsidR="00604D89">
        <w:rPr>
          <w:color w:val="000000" w:themeColor="text1"/>
        </w:rPr>
        <w:t>”</w:t>
      </w:r>
      <w:r w:rsidRPr="0034157D" w:rsidR="00B956C1">
        <w:rPr>
          <w:color w:val="000000" w:themeColor="text1"/>
        </w:rPr>
        <w:t xml:space="preserve"> aan het slot van onderdeel g door een puntkomma en onder vervanging van de punt aan het slot van onderdeel h door een puntkomma </w:t>
      </w:r>
      <w:r>
        <w:rPr>
          <w:color w:val="000000" w:themeColor="text1"/>
        </w:rPr>
        <w:t xml:space="preserve">worden </w:t>
      </w:r>
      <w:r w:rsidRPr="0034157D" w:rsidR="00B956C1">
        <w:rPr>
          <w:color w:val="000000" w:themeColor="text1"/>
        </w:rPr>
        <w:t>drie onderdelen toegevoegd, luidende:</w:t>
      </w:r>
    </w:p>
    <w:p w:rsidRPr="0034157D" w:rsidR="00B956C1" w:rsidP="00B956C1" w:rsidRDefault="00B956C1" w14:paraId="4580E39A" w14:textId="6E748013">
      <w:pPr>
        <w:ind w:firstLine="284"/>
        <w:rPr>
          <w:color w:val="000000" w:themeColor="text1"/>
        </w:rPr>
      </w:pPr>
      <w:r w:rsidRPr="0034157D">
        <w:rPr>
          <w:color w:val="000000" w:themeColor="text1"/>
        </w:rPr>
        <w:t>i. de wijze waarop de procedure van het individueel bezwaarrecht</w:t>
      </w:r>
      <w:r w:rsidRPr="00F81EE5" w:rsidR="00F81EE5">
        <w:rPr>
          <w:color w:val="000000" w:themeColor="text1"/>
        </w:rPr>
        <w:t xml:space="preserve"> </w:t>
      </w:r>
      <w:r w:rsidRPr="0034157D" w:rsidR="00F81EE5">
        <w:rPr>
          <w:color w:val="000000" w:themeColor="text1"/>
        </w:rPr>
        <w:t>dan wel het goedkeuringsrecht</w:t>
      </w:r>
      <w:r w:rsidRPr="0034157D">
        <w:rPr>
          <w:color w:val="000000" w:themeColor="text1"/>
        </w:rPr>
        <w:t xml:space="preserve">, bedoeld in artikel 150m, </w:t>
      </w:r>
      <w:r w:rsidR="00F81EE5">
        <w:rPr>
          <w:color w:val="000000" w:themeColor="text1"/>
        </w:rPr>
        <w:t xml:space="preserve">negende </w:t>
      </w:r>
      <w:r w:rsidRPr="0034157D">
        <w:rPr>
          <w:color w:val="000000" w:themeColor="text1"/>
        </w:rPr>
        <w:t>lid, wordt vormgegeven</w:t>
      </w:r>
      <w:r w:rsidR="00434B57">
        <w:rPr>
          <w:color w:val="000000" w:themeColor="text1"/>
        </w:rPr>
        <w:t xml:space="preserve"> en de motivering voor de gekozen procedure</w:t>
      </w:r>
      <w:r w:rsidRPr="0034157D">
        <w:rPr>
          <w:color w:val="000000" w:themeColor="text1"/>
        </w:rPr>
        <w:t>;</w:t>
      </w:r>
    </w:p>
    <w:p w:rsidRPr="0034157D" w:rsidR="00B956C1" w:rsidP="00B956C1" w:rsidRDefault="00B956C1" w14:paraId="7CA86515" w14:textId="06624FF8">
      <w:pPr>
        <w:ind w:firstLine="284"/>
        <w:rPr>
          <w:color w:val="000000" w:themeColor="text1"/>
        </w:rPr>
      </w:pPr>
      <w:r w:rsidRPr="0034157D">
        <w:rPr>
          <w:color w:val="000000" w:themeColor="text1"/>
        </w:rPr>
        <w:t>j. de verwachtingen van het pensioenfonds met betrekking tot de uitkomst van het individueel bezwaarrecht</w:t>
      </w:r>
      <w:r w:rsidRPr="00F81EE5" w:rsidR="00F81EE5">
        <w:rPr>
          <w:color w:val="000000" w:themeColor="text1"/>
        </w:rPr>
        <w:t xml:space="preserve"> </w:t>
      </w:r>
      <w:r w:rsidRPr="0034157D" w:rsidR="00F81EE5">
        <w:rPr>
          <w:color w:val="000000" w:themeColor="text1"/>
        </w:rPr>
        <w:t>dan wel het goedkeuringsrecht</w:t>
      </w:r>
      <w:r w:rsidRPr="0034157D">
        <w:rPr>
          <w:color w:val="000000" w:themeColor="text1"/>
        </w:rPr>
        <w:t xml:space="preserve">, bedoeld in artikel 150m, </w:t>
      </w:r>
      <w:r w:rsidR="00F81EE5">
        <w:rPr>
          <w:color w:val="000000" w:themeColor="text1"/>
        </w:rPr>
        <w:t xml:space="preserve">negende </w:t>
      </w:r>
      <w:r w:rsidRPr="0034157D">
        <w:rPr>
          <w:color w:val="000000" w:themeColor="text1"/>
        </w:rPr>
        <w:t>lid;</w:t>
      </w:r>
      <w:r w:rsidR="000F24CE">
        <w:rPr>
          <w:color w:val="000000" w:themeColor="text1"/>
        </w:rPr>
        <w:t xml:space="preserve"> en</w:t>
      </w:r>
    </w:p>
    <w:p w:rsidRPr="0034157D" w:rsidR="00B956C1" w:rsidP="00B956C1" w:rsidRDefault="00B956C1" w14:paraId="633AC42C" w14:textId="3147E785">
      <w:pPr>
        <w:ind w:firstLine="284"/>
        <w:rPr>
          <w:color w:val="000000" w:themeColor="text1"/>
        </w:rPr>
      </w:pPr>
      <w:r w:rsidRPr="0034157D">
        <w:rPr>
          <w:color w:val="000000" w:themeColor="text1"/>
        </w:rPr>
        <w:t xml:space="preserve">k. </w:t>
      </w:r>
      <w:r w:rsidR="00565A73">
        <w:rPr>
          <w:color w:val="000000" w:themeColor="text1"/>
        </w:rPr>
        <w:t>i</w:t>
      </w:r>
      <w:r w:rsidRPr="0034157D">
        <w:rPr>
          <w:color w:val="000000" w:themeColor="text1"/>
        </w:rPr>
        <w:t xml:space="preserve">ndien van toepassing, de motivering van de evenwichtigheid, bedoeld in artikel 150m, </w:t>
      </w:r>
      <w:r w:rsidR="00401CD9">
        <w:rPr>
          <w:color w:val="000000" w:themeColor="text1"/>
        </w:rPr>
        <w:t xml:space="preserve">zestiende </w:t>
      </w:r>
      <w:r w:rsidRPr="0034157D">
        <w:rPr>
          <w:color w:val="000000" w:themeColor="text1"/>
        </w:rPr>
        <w:t>lid.</w:t>
      </w:r>
    </w:p>
    <w:p w:rsidRPr="0034157D" w:rsidR="00B956C1" w:rsidP="00B956C1" w:rsidRDefault="00B956C1" w14:paraId="730BA70D" w14:textId="77777777">
      <w:pPr>
        <w:rPr>
          <w:color w:val="000000" w:themeColor="text1"/>
        </w:rPr>
      </w:pPr>
    </w:p>
    <w:p w:rsidRPr="0034157D" w:rsidR="00B956C1" w:rsidP="00B956C1" w:rsidRDefault="00B956C1" w14:paraId="21148B1F" w14:textId="77777777">
      <w:pPr>
        <w:rPr>
          <w:color w:val="000000" w:themeColor="text1"/>
        </w:rPr>
      </w:pPr>
      <w:r w:rsidRPr="0034157D">
        <w:rPr>
          <w:color w:val="000000" w:themeColor="text1"/>
        </w:rPr>
        <w:t>Ab</w:t>
      </w:r>
    </w:p>
    <w:p w:rsidRPr="0034157D" w:rsidR="00B956C1" w:rsidP="00B956C1" w:rsidRDefault="00B956C1" w14:paraId="2C29DF3B" w14:textId="77777777">
      <w:pPr>
        <w:rPr>
          <w:color w:val="000000" w:themeColor="text1"/>
        </w:rPr>
      </w:pPr>
    </w:p>
    <w:p w:rsidRPr="0034157D" w:rsidR="00B956C1" w:rsidP="00B956C1" w:rsidRDefault="00B956C1" w14:paraId="5D65B266" w14:textId="3CF94EB0">
      <w:pPr>
        <w:ind w:firstLine="284"/>
        <w:rPr>
          <w:color w:val="000000" w:themeColor="text1"/>
        </w:rPr>
      </w:pPr>
      <w:r w:rsidRPr="0034157D">
        <w:rPr>
          <w:color w:val="000000" w:themeColor="text1"/>
        </w:rPr>
        <w:t xml:space="preserve">In artikel 150j, tweede lid, onderdeel a, wordt </w:t>
      </w:r>
      <w:r w:rsidR="007F3CDC">
        <w:rPr>
          <w:color w:val="000000" w:themeColor="text1"/>
        </w:rPr>
        <w:t>na “pensioenrechten” ingevoegd “</w:t>
      </w:r>
      <w:r w:rsidRPr="0034157D">
        <w:rPr>
          <w:color w:val="000000" w:themeColor="text1"/>
        </w:rPr>
        <w:t>en met de gevolgen van het al dan niet kenbaar maken van bezwaren tegen de interne collectieve waardeoverdracht</w:t>
      </w:r>
      <w:r w:rsidR="00E90B64">
        <w:rPr>
          <w:color w:val="000000" w:themeColor="text1"/>
        </w:rPr>
        <w:t xml:space="preserve"> e</w:t>
      </w:r>
      <w:r w:rsidRPr="00E90B64" w:rsidR="00E90B64">
        <w:rPr>
          <w:color w:val="000000" w:themeColor="text1"/>
        </w:rPr>
        <w:t>n met de gevolgen van de gevallen, genoemd in artikel 150i, tweede lid, onderdeel e</w:t>
      </w:r>
      <w:r w:rsidR="007F3CDC">
        <w:rPr>
          <w:color w:val="000000" w:themeColor="text1"/>
        </w:rPr>
        <w:t>”</w:t>
      </w:r>
      <w:r w:rsidRPr="0034157D">
        <w:rPr>
          <w:color w:val="000000" w:themeColor="text1"/>
        </w:rPr>
        <w:t xml:space="preserve"> en wordt </w:t>
      </w:r>
      <w:r w:rsidR="007F3CDC">
        <w:rPr>
          <w:color w:val="000000" w:themeColor="text1"/>
        </w:rPr>
        <w:t>na “optimistisch scenario” toegevoegd “</w:t>
      </w:r>
      <w:r w:rsidRPr="0034157D">
        <w:rPr>
          <w:color w:val="000000" w:themeColor="text1"/>
        </w:rPr>
        <w:t>, met de waarschuwing dat de</w:t>
      </w:r>
      <w:r w:rsidRPr="0034157D" w:rsidR="007F3CDC">
        <w:rPr>
          <w:color w:val="000000" w:themeColor="text1"/>
        </w:rPr>
        <w:t xml:space="preserve"> definitieve hoogte van de te ontvangen pensioenuitkeringen </w:t>
      </w:r>
      <w:r w:rsidR="007F3CDC">
        <w:rPr>
          <w:color w:val="000000" w:themeColor="text1"/>
        </w:rPr>
        <w:t xml:space="preserve">kan verschillen van de weergegeven </w:t>
      </w:r>
      <w:r w:rsidRPr="0034157D">
        <w:rPr>
          <w:color w:val="000000" w:themeColor="text1"/>
        </w:rPr>
        <w:t>verwachtingen</w:t>
      </w:r>
      <w:r w:rsidR="007F3CDC">
        <w:rPr>
          <w:color w:val="000000" w:themeColor="text1"/>
        </w:rPr>
        <w:t>”</w:t>
      </w:r>
      <w:r w:rsidRPr="0034157D">
        <w:rPr>
          <w:color w:val="000000" w:themeColor="text1"/>
        </w:rPr>
        <w:t>.</w:t>
      </w:r>
    </w:p>
    <w:p w:rsidRPr="0034157D" w:rsidR="00B956C1" w:rsidP="00B956C1" w:rsidRDefault="00B956C1" w14:paraId="5A206E91" w14:textId="77777777">
      <w:pPr>
        <w:rPr>
          <w:color w:val="000000" w:themeColor="text1"/>
        </w:rPr>
      </w:pPr>
    </w:p>
    <w:p w:rsidR="00B956C1" w:rsidP="00B956C1" w:rsidRDefault="00B956C1" w14:paraId="407EB926" w14:textId="6FF0C154">
      <w:pPr>
        <w:rPr>
          <w:color w:val="000000" w:themeColor="text1"/>
        </w:rPr>
      </w:pPr>
      <w:r w:rsidRPr="0034157D">
        <w:rPr>
          <w:color w:val="000000" w:themeColor="text1"/>
        </w:rPr>
        <w:t>Ac</w:t>
      </w:r>
    </w:p>
    <w:p w:rsidR="00D51C4B" w:rsidP="00B956C1" w:rsidRDefault="00E90B64" w14:paraId="7032F330" w14:textId="1D1315B2">
      <w:pPr>
        <w:rPr>
          <w:color w:val="000000" w:themeColor="text1"/>
        </w:rPr>
      </w:pPr>
      <w:r>
        <w:rPr>
          <w:color w:val="000000" w:themeColor="text1"/>
        </w:rPr>
        <w:tab/>
      </w:r>
    </w:p>
    <w:p w:rsidR="00E90B64" w:rsidP="00B956C1" w:rsidRDefault="00E90B64" w14:paraId="238FC0C0" w14:textId="686D90BB">
      <w:pPr>
        <w:rPr>
          <w:color w:val="000000" w:themeColor="text1"/>
        </w:rPr>
      </w:pPr>
      <w:r>
        <w:rPr>
          <w:color w:val="000000" w:themeColor="text1"/>
        </w:rPr>
        <w:tab/>
        <w:t>Artikel 150l wordt als volgt gewijzigd:</w:t>
      </w:r>
    </w:p>
    <w:p w:rsidR="00E90B64" w:rsidP="00B956C1" w:rsidRDefault="00E90B64" w14:paraId="7F593C21" w14:textId="77777777">
      <w:pPr>
        <w:rPr>
          <w:color w:val="000000" w:themeColor="text1"/>
        </w:rPr>
      </w:pPr>
    </w:p>
    <w:p w:rsidR="00D51C4B" w:rsidP="00D51C4B" w:rsidRDefault="00E90B64" w14:paraId="1B50E110" w14:textId="7A7BCD5A">
      <w:pPr>
        <w:rPr>
          <w:color w:val="000000" w:themeColor="text1"/>
        </w:rPr>
      </w:pPr>
      <w:r>
        <w:rPr>
          <w:color w:val="000000" w:themeColor="text1"/>
        </w:rPr>
        <w:tab/>
        <w:t xml:space="preserve">1. In het </w:t>
      </w:r>
      <w:r w:rsidR="00D51C4B">
        <w:rPr>
          <w:color w:val="000000" w:themeColor="text1"/>
        </w:rPr>
        <w:t>vierde lid wordt onder vervanging van “; of” in onderdeel b door een puntkomma en onder vervanging van de punt in onderdeel c door “</w:t>
      </w:r>
      <w:r w:rsidR="00F94D5A">
        <w:rPr>
          <w:color w:val="000000" w:themeColor="text1"/>
        </w:rPr>
        <w:t>;</w:t>
      </w:r>
      <w:r w:rsidR="00D51C4B">
        <w:rPr>
          <w:color w:val="000000" w:themeColor="text1"/>
        </w:rPr>
        <w:t xml:space="preserve"> of” een onderdeel toegevoegd, luidende:</w:t>
      </w:r>
    </w:p>
    <w:p w:rsidR="00D51C4B" w:rsidP="00D51C4B" w:rsidRDefault="00D51C4B" w14:paraId="7C4B5B37" w14:textId="7A81FC6A">
      <w:pPr>
        <w:rPr>
          <w:color w:val="000000" w:themeColor="text1"/>
        </w:rPr>
      </w:pPr>
      <w:r>
        <w:rPr>
          <w:color w:val="000000" w:themeColor="text1"/>
        </w:rPr>
        <w:tab/>
        <w:t>d. geen goedkeuring is ver</w:t>
      </w:r>
      <w:r w:rsidR="0049445E">
        <w:rPr>
          <w:color w:val="000000" w:themeColor="text1"/>
        </w:rPr>
        <w:t>leend</w:t>
      </w:r>
      <w:r>
        <w:rPr>
          <w:color w:val="000000" w:themeColor="text1"/>
        </w:rPr>
        <w:t xml:space="preserve"> als bedoeld in artikel 150m, </w:t>
      </w:r>
      <w:r w:rsidR="00DF1749">
        <w:rPr>
          <w:color w:val="000000" w:themeColor="text1"/>
        </w:rPr>
        <w:t>veertiende</w:t>
      </w:r>
      <w:r>
        <w:rPr>
          <w:color w:val="000000" w:themeColor="text1"/>
        </w:rPr>
        <w:t xml:space="preserve"> lid.</w:t>
      </w:r>
    </w:p>
    <w:p w:rsidR="00D51C4B" w:rsidP="00B956C1" w:rsidRDefault="00D51C4B" w14:paraId="7207B72B" w14:textId="77777777">
      <w:pPr>
        <w:rPr>
          <w:color w:val="000000" w:themeColor="text1"/>
        </w:rPr>
      </w:pPr>
    </w:p>
    <w:p w:rsidR="0059386E" w:rsidP="00B956C1" w:rsidRDefault="0059386E" w14:paraId="448CCC4D" w14:textId="52857CFC">
      <w:pPr>
        <w:rPr>
          <w:color w:val="000000" w:themeColor="text1"/>
        </w:rPr>
      </w:pPr>
      <w:r>
        <w:rPr>
          <w:color w:val="000000" w:themeColor="text1"/>
        </w:rPr>
        <w:tab/>
        <w:t>2. In het vijfde lid wordt na “</w:t>
      </w:r>
      <w:r w:rsidR="00C61C70">
        <w:rPr>
          <w:color w:val="000000" w:themeColor="text1"/>
        </w:rPr>
        <w:t xml:space="preserve">bedoeld in dit </w:t>
      </w:r>
      <w:r>
        <w:rPr>
          <w:color w:val="000000" w:themeColor="text1"/>
        </w:rPr>
        <w:t>artikel</w:t>
      </w:r>
      <w:r w:rsidR="00C61C70">
        <w:rPr>
          <w:color w:val="000000" w:themeColor="text1"/>
        </w:rPr>
        <w:t>,</w:t>
      </w:r>
      <w:r>
        <w:rPr>
          <w:color w:val="000000" w:themeColor="text1"/>
        </w:rPr>
        <w:t>” ingevoegd “ of indien er geen goedkeuring is verleend als bedoeld in artikel 150m, veertiende lid</w:t>
      </w:r>
      <w:r w:rsidR="00C61C70">
        <w:rPr>
          <w:color w:val="000000" w:themeColor="text1"/>
        </w:rPr>
        <w:t>,</w:t>
      </w:r>
      <w:r>
        <w:rPr>
          <w:color w:val="000000" w:themeColor="text1"/>
        </w:rPr>
        <w:t>”.</w:t>
      </w:r>
    </w:p>
    <w:p w:rsidR="0059386E" w:rsidP="00B956C1" w:rsidRDefault="0059386E" w14:paraId="4C15D3E2" w14:textId="77777777">
      <w:pPr>
        <w:rPr>
          <w:color w:val="000000" w:themeColor="text1"/>
        </w:rPr>
      </w:pPr>
    </w:p>
    <w:p w:rsidR="00E90B64" w:rsidP="00B956C1" w:rsidRDefault="00E90B64" w14:paraId="1A4A64F8" w14:textId="0283341C">
      <w:pPr>
        <w:rPr>
          <w:color w:val="000000" w:themeColor="text1"/>
        </w:rPr>
      </w:pPr>
      <w:r>
        <w:rPr>
          <w:color w:val="000000" w:themeColor="text1"/>
        </w:rPr>
        <w:tab/>
      </w:r>
      <w:r w:rsidR="009F4021">
        <w:rPr>
          <w:color w:val="000000" w:themeColor="text1"/>
        </w:rPr>
        <w:t>3</w:t>
      </w:r>
      <w:r>
        <w:rPr>
          <w:color w:val="000000" w:themeColor="text1"/>
        </w:rPr>
        <w:t>. In het zevende lid wordt na “</w:t>
      </w:r>
      <w:r w:rsidR="0049445E">
        <w:rPr>
          <w:color w:val="000000" w:themeColor="text1"/>
        </w:rPr>
        <w:t>150m,”</w:t>
      </w:r>
      <w:r>
        <w:rPr>
          <w:color w:val="000000" w:themeColor="text1"/>
        </w:rPr>
        <w:t xml:space="preserve"> toegevoegd “of voor zover het </w:t>
      </w:r>
      <w:r w:rsidRPr="00B30A2F">
        <w:rPr>
          <w:color w:val="000000" w:themeColor="text1"/>
        </w:rPr>
        <w:t>de</w:t>
      </w:r>
      <w:r>
        <w:rPr>
          <w:color w:val="000000" w:themeColor="text1"/>
        </w:rPr>
        <w:t xml:space="preserve"> pensioenovereenkomsten betreft van de</w:t>
      </w:r>
      <w:r w:rsidRPr="00B30A2F">
        <w:rPr>
          <w:color w:val="000000" w:themeColor="text1"/>
        </w:rPr>
        <w:t xml:space="preserve"> </w:t>
      </w:r>
      <w:r w:rsidR="00C61C70">
        <w:rPr>
          <w:color w:val="000000" w:themeColor="text1"/>
        </w:rPr>
        <w:t xml:space="preserve">personen die </w:t>
      </w:r>
      <w:r w:rsidRPr="00B30A2F">
        <w:rPr>
          <w:color w:val="000000" w:themeColor="text1"/>
        </w:rPr>
        <w:t>bezwaar</w:t>
      </w:r>
      <w:r w:rsidR="00C61C70">
        <w:rPr>
          <w:color w:val="000000" w:themeColor="text1"/>
        </w:rPr>
        <w:t xml:space="preserve"> </w:t>
      </w:r>
      <w:r w:rsidRPr="00B30A2F">
        <w:rPr>
          <w:color w:val="000000" w:themeColor="text1"/>
        </w:rPr>
        <w:t>make</w:t>
      </w:r>
      <w:r w:rsidR="00C61C70">
        <w:rPr>
          <w:color w:val="000000" w:themeColor="text1"/>
        </w:rPr>
        <w:t>n</w:t>
      </w:r>
      <w:r w:rsidRPr="00B30A2F">
        <w:rPr>
          <w:color w:val="000000" w:themeColor="text1"/>
        </w:rPr>
        <w:t xml:space="preserve">, bedoeld in </w:t>
      </w:r>
      <w:r w:rsidR="0049445E">
        <w:rPr>
          <w:color w:val="000000" w:themeColor="text1"/>
        </w:rPr>
        <w:t>het elfde lid van dat artikel,</w:t>
      </w:r>
      <w:r>
        <w:rPr>
          <w:color w:val="000000" w:themeColor="text1"/>
        </w:rPr>
        <w:t>”</w:t>
      </w:r>
      <w:r w:rsidR="0049445E">
        <w:rPr>
          <w:color w:val="000000" w:themeColor="text1"/>
        </w:rPr>
        <w:t>.</w:t>
      </w:r>
      <w:r>
        <w:rPr>
          <w:color w:val="000000" w:themeColor="text1"/>
        </w:rPr>
        <w:tab/>
      </w:r>
    </w:p>
    <w:p w:rsidR="00E90B64" w:rsidP="00B956C1" w:rsidRDefault="00E90B64" w14:paraId="734F8449" w14:textId="77777777">
      <w:pPr>
        <w:rPr>
          <w:color w:val="000000" w:themeColor="text1"/>
        </w:rPr>
      </w:pPr>
    </w:p>
    <w:p w:rsidR="00D51C4B" w:rsidP="00B956C1" w:rsidRDefault="00D51C4B" w14:paraId="4006400C" w14:textId="18DCDAD9">
      <w:pPr>
        <w:rPr>
          <w:b/>
          <w:bCs/>
          <w:color w:val="000000" w:themeColor="text1"/>
          <w:u w:val="single"/>
        </w:rPr>
      </w:pPr>
      <w:r>
        <w:rPr>
          <w:color w:val="000000" w:themeColor="text1"/>
        </w:rPr>
        <w:t>Ad</w:t>
      </w:r>
    </w:p>
    <w:p w:rsidRPr="00B956C1" w:rsidR="00B956C1" w:rsidP="00B956C1" w:rsidRDefault="00B956C1" w14:paraId="5E316E90" w14:textId="77777777">
      <w:pPr>
        <w:rPr>
          <w:b/>
          <w:bCs/>
          <w:color w:val="000000" w:themeColor="text1"/>
          <w:u w:val="single"/>
        </w:rPr>
      </w:pPr>
    </w:p>
    <w:p w:rsidRPr="0034157D" w:rsidR="00B956C1" w:rsidP="00604D89" w:rsidRDefault="00604D89" w14:paraId="405FC381" w14:textId="52279AEA">
      <w:pPr>
        <w:ind w:firstLine="284"/>
        <w:rPr>
          <w:color w:val="000000" w:themeColor="text1"/>
        </w:rPr>
      </w:pPr>
      <w:r>
        <w:rPr>
          <w:color w:val="000000" w:themeColor="text1"/>
        </w:rPr>
        <w:t>Na a</w:t>
      </w:r>
      <w:r w:rsidRPr="0034157D" w:rsidR="00B956C1">
        <w:rPr>
          <w:color w:val="000000" w:themeColor="text1"/>
        </w:rPr>
        <w:t>rtikel 150m</w:t>
      </w:r>
      <w:r>
        <w:rPr>
          <w:color w:val="000000" w:themeColor="text1"/>
        </w:rPr>
        <w:t>, achtste lid, worden,</w:t>
      </w:r>
      <w:r w:rsidR="007F3CDC">
        <w:rPr>
          <w:color w:val="000000" w:themeColor="text1"/>
        </w:rPr>
        <w:t xml:space="preserve"> onder vernummering van het negende en tiende lid tot zeventiende en achttiende lid,</w:t>
      </w:r>
      <w:r w:rsidRPr="0034157D" w:rsidR="00B956C1">
        <w:rPr>
          <w:color w:val="000000" w:themeColor="text1"/>
        </w:rPr>
        <w:t xml:space="preserve"> acht leden ingevoegd luidende: </w:t>
      </w:r>
    </w:p>
    <w:p w:rsidRPr="0034157D" w:rsidR="00B956C1" w:rsidP="00B956C1" w:rsidRDefault="007F3CDC" w14:paraId="7504FC64" w14:textId="2F6D9374">
      <w:pPr>
        <w:ind w:firstLine="284"/>
        <w:rPr>
          <w:color w:val="000000" w:themeColor="text1"/>
        </w:rPr>
      </w:pPr>
      <w:r>
        <w:rPr>
          <w:color w:val="000000" w:themeColor="text1"/>
        </w:rPr>
        <w:t>9</w:t>
      </w:r>
      <w:r w:rsidRPr="0034157D" w:rsidR="00B956C1">
        <w:rPr>
          <w:color w:val="000000" w:themeColor="text1"/>
        </w:rPr>
        <w:t xml:space="preserve">. Deelnemers, gewezen deelnemers, gewezen partners en pensioengerechtigden kunnen, overeenkomstig artikel 83, tweede lid, onderdeel a, gedurende een redelijke termijn van ten minste zes weken aansluitend aan het moment van informeren, bedoeld in </w:t>
      </w:r>
      <w:r>
        <w:rPr>
          <w:color w:val="000000" w:themeColor="text1"/>
        </w:rPr>
        <w:t>het tiende lid</w:t>
      </w:r>
      <w:r w:rsidRPr="0034157D" w:rsidR="00B956C1">
        <w:rPr>
          <w:color w:val="000000" w:themeColor="text1"/>
        </w:rPr>
        <w:t xml:space="preserve">, bij het pensioenfonds individueel bezwaar kenbaar maken tegen de voorgenomen interne collectieve waardeoverdracht, tenzij het pensioenfonds aan de deelnemers, gewezen deelnemers, gewezen partners en pensioengerechtigden </w:t>
      </w:r>
      <w:r w:rsidR="0071333F">
        <w:rPr>
          <w:color w:val="000000" w:themeColor="text1"/>
        </w:rPr>
        <w:t>een goedkeurings</w:t>
      </w:r>
      <w:r w:rsidR="00F81EE5">
        <w:rPr>
          <w:color w:val="000000" w:themeColor="text1"/>
        </w:rPr>
        <w:t>recht</w:t>
      </w:r>
      <w:r w:rsidRPr="0034157D" w:rsidR="00B956C1">
        <w:rPr>
          <w:color w:val="000000" w:themeColor="text1"/>
        </w:rPr>
        <w:t xml:space="preserve"> biedt</w:t>
      </w:r>
      <w:r w:rsidR="0071333F">
        <w:rPr>
          <w:color w:val="000000" w:themeColor="text1"/>
        </w:rPr>
        <w:t xml:space="preserve"> als </w:t>
      </w:r>
      <w:r w:rsidRPr="0034157D" w:rsidR="00B956C1">
        <w:rPr>
          <w:color w:val="000000" w:themeColor="text1"/>
        </w:rPr>
        <w:t xml:space="preserve">bedoeld in </w:t>
      </w:r>
      <w:r w:rsidR="0071333F">
        <w:rPr>
          <w:color w:val="000000" w:themeColor="text1"/>
        </w:rPr>
        <w:t xml:space="preserve">het twaalfde </w:t>
      </w:r>
      <w:r w:rsidRPr="0034157D" w:rsidR="00B956C1">
        <w:rPr>
          <w:color w:val="000000" w:themeColor="text1"/>
        </w:rPr>
        <w:t>lid.</w:t>
      </w:r>
    </w:p>
    <w:p w:rsidRPr="0034157D" w:rsidR="00B956C1" w:rsidP="00B956C1" w:rsidRDefault="007F3CDC" w14:paraId="5B538289" w14:textId="41199731">
      <w:pPr>
        <w:ind w:firstLine="284"/>
        <w:rPr>
          <w:color w:val="000000" w:themeColor="text1"/>
        </w:rPr>
      </w:pPr>
      <w:r>
        <w:rPr>
          <w:color w:val="000000" w:themeColor="text1"/>
        </w:rPr>
        <w:t>10</w:t>
      </w:r>
      <w:r w:rsidRPr="0034157D" w:rsidR="00B956C1">
        <w:rPr>
          <w:color w:val="000000" w:themeColor="text1"/>
        </w:rPr>
        <w:t xml:space="preserve">. Het pensioenfonds verstrekt </w:t>
      </w:r>
      <w:r w:rsidR="0071333F">
        <w:rPr>
          <w:color w:val="000000" w:themeColor="text1"/>
        </w:rPr>
        <w:t>de</w:t>
      </w:r>
      <w:r w:rsidRPr="0034157D" w:rsidR="0071333F">
        <w:rPr>
          <w:color w:val="000000" w:themeColor="text1"/>
        </w:rPr>
        <w:t xml:space="preserve"> deelnemers, gewezen deelnemers, gewezen partners en pensioengerechtigden overeenkomstig artikel 150j, tweede lid, onderdeel a, </w:t>
      </w:r>
      <w:r w:rsidRPr="0034157D" w:rsidR="00B956C1">
        <w:rPr>
          <w:color w:val="000000" w:themeColor="text1"/>
        </w:rPr>
        <w:t>elektronisch of schriftelijk informatie over het voornemen tot interne collectieve waardeoverdracht. Daarbij geeft het pensioenfonds aan de deelnemers, gewezen deelnemers, gewezen partners en pensioengerechtigden</w:t>
      </w:r>
      <w:r w:rsidRPr="0034157D" w:rsidR="00B956C1">
        <w:rPr>
          <w:rStyle w:val="Verwijzingopmerking"/>
          <w:rFonts w:eastAsiaTheme="minorHAnsi" w:cstheme="minorBidi"/>
          <w:color w:val="000000" w:themeColor="text1"/>
          <w:lang w:eastAsia="en-US"/>
        </w:rPr>
        <w:t xml:space="preserve"> </w:t>
      </w:r>
      <w:r w:rsidRPr="0034157D" w:rsidR="00B956C1">
        <w:rPr>
          <w:color w:val="000000" w:themeColor="text1"/>
        </w:rPr>
        <w:t xml:space="preserve">tevens de mogelijkheid om bezwaren </w:t>
      </w:r>
      <w:r w:rsidRPr="0034157D" w:rsidR="0071333F">
        <w:rPr>
          <w:color w:val="000000" w:themeColor="text1"/>
        </w:rPr>
        <w:t xml:space="preserve">tegen deze voorgenomen waardeoverdracht </w:t>
      </w:r>
      <w:r w:rsidRPr="0034157D" w:rsidR="00B956C1">
        <w:rPr>
          <w:color w:val="000000" w:themeColor="text1"/>
        </w:rPr>
        <w:t>bij het pensioenfonds kenbaar te maken, dan wel</w:t>
      </w:r>
      <w:r w:rsidR="0071333F">
        <w:rPr>
          <w:color w:val="000000" w:themeColor="text1"/>
        </w:rPr>
        <w:t>, indien het pensioenfonds heeft gekozen voor</w:t>
      </w:r>
      <w:r w:rsidRPr="0034157D" w:rsidR="00B956C1">
        <w:rPr>
          <w:color w:val="000000" w:themeColor="text1"/>
        </w:rPr>
        <w:t xml:space="preserve"> het goedkeuringsrecht</w:t>
      </w:r>
      <w:r w:rsidR="0071333F">
        <w:rPr>
          <w:color w:val="000000" w:themeColor="text1"/>
        </w:rPr>
        <w:t xml:space="preserve">, bedoeld in het twaalfde lid, </w:t>
      </w:r>
      <w:r w:rsidR="00F53812">
        <w:rPr>
          <w:color w:val="000000" w:themeColor="text1"/>
        </w:rPr>
        <w:t xml:space="preserve">de mogelijkheid </w:t>
      </w:r>
      <w:r w:rsidR="0071333F">
        <w:rPr>
          <w:color w:val="000000" w:themeColor="text1"/>
        </w:rPr>
        <w:t>hiervan gebruik te maken</w:t>
      </w:r>
      <w:r w:rsidRPr="0034157D" w:rsidR="00B956C1">
        <w:rPr>
          <w:color w:val="000000" w:themeColor="text1"/>
        </w:rPr>
        <w:t>.</w:t>
      </w:r>
    </w:p>
    <w:p w:rsidRPr="0034157D" w:rsidR="00B956C1" w:rsidP="00B956C1" w:rsidRDefault="007F3CDC" w14:paraId="45B0F046" w14:textId="3FD15FA0">
      <w:pPr>
        <w:ind w:firstLine="284"/>
        <w:rPr>
          <w:color w:val="000000" w:themeColor="text1"/>
        </w:rPr>
      </w:pPr>
      <w:r>
        <w:rPr>
          <w:color w:val="000000" w:themeColor="text1"/>
        </w:rPr>
        <w:t>11</w:t>
      </w:r>
      <w:r w:rsidRPr="0034157D" w:rsidR="00B956C1">
        <w:rPr>
          <w:color w:val="000000" w:themeColor="text1"/>
        </w:rPr>
        <w:t>. De pensioenaanspraken en pensioenrechten van deelnemers, gewezen deelnemers, gewezen partners en pensioengerechtigden die bezwaren kenbaar hebben gemaakt</w:t>
      </w:r>
      <w:r w:rsidR="0071333F">
        <w:rPr>
          <w:color w:val="000000" w:themeColor="text1"/>
        </w:rPr>
        <w:t xml:space="preserve"> als bedoeld in het tiende lid</w:t>
      </w:r>
      <w:r w:rsidRPr="0034157D" w:rsidR="00B956C1">
        <w:rPr>
          <w:color w:val="000000" w:themeColor="text1"/>
        </w:rPr>
        <w:t>, worden niet in de interne collectieve waardeoverdracht betrokken. Het vermogen dat niet wordt betrokken in de waardeoverdracht, wordt vastgesteld op basis van de technische voorziening van de pensioenaanspraken en pensioenrechten vermenigvuldigd met de dekkingsgraad op of direct voorafgaand aan het tijdstip van deze waardeoverdracht.</w:t>
      </w:r>
      <w:r w:rsidR="00D51C4B">
        <w:rPr>
          <w:color w:val="000000" w:themeColor="text1"/>
        </w:rPr>
        <w:t xml:space="preserve"> </w:t>
      </w:r>
    </w:p>
    <w:p w:rsidRPr="0034157D" w:rsidR="00B956C1" w:rsidP="00B956C1" w:rsidRDefault="007F3CDC" w14:paraId="517E8069" w14:textId="1796F6DD">
      <w:pPr>
        <w:ind w:firstLine="284"/>
        <w:rPr>
          <w:color w:val="000000" w:themeColor="text1"/>
        </w:rPr>
      </w:pPr>
      <w:r>
        <w:rPr>
          <w:color w:val="000000" w:themeColor="text1"/>
        </w:rPr>
        <w:t xml:space="preserve">12. </w:t>
      </w:r>
      <w:r w:rsidRPr="0034157D" w:rsidR="00B956C1">
        <w:rPr>
          <w:color w:val="000000" w:themeColor="text1"/>
        </w:rPr>
        <w:t>Een pensioenfonds kan</w:t>
      </w:r>
      <w:r w:rsidR="00434B57">
        <w:rPr>
          <w:color w:val="000000" w:themeColor="text1"/>
        </w:rPr>
        <w:t xml:space="preserve"> gemotiveerd</w:t>
      </w:r>
      <w:r w:rsidR="001C7321">
        <w:rPr>
          <w:color w:val="000000" w:themeColor="text1"/>
        </w:rPr>
        <w:t>,</w:t>
      </w:r>
      <w:r w:rsidRPr="0034157D" w:rsidR="00B956C1">
        <w:rPr>
          <w:color w:val="000000" w:themeColor="text1"/>
        </w:rPr>
        <w:t xml:space="preserve"> in plaats van </w:t>
      </w:r>
      <w:r w:rsidR="00434B57">
        <w:rPr>
          <w:color w:val="000000" w:themeColor="text1"/>
        </w:rPr>
        <w:t>de</w:t>
      </w:r>
      <w:r w:rsidRPr="0034157D" w:rsidR="00B956C1">
        <w:rPr>
          <w:color w:val="000000" w:themeColor="text1"/>
        </w:rPr>
        <w:t xml:space="preserve"> </w:t>
      </w:r>
      <w:r w:rsidR="00434B57">
        <w:rPr>
          <w:color w:val="000000" w:themeColor="text1"/>
        </w:rPr>
        <w:t>mogelijk</w:t>
      </w:r>
      <w:r w:rsidRPr="0034157D" w:rsidR="00B956C1">
        <w:rPr>
          <w:color w:val="000000" w:themeColor="text1"/>
        </w:rPr>
        <w:t xml:space="preserve">heid </w:t>
      </w:r>
      <w:r w:rsidR="001C7321">
        <w:rPr>
          <w:color w:val="000000" w:themeColor="text1"/>
        </w:rPr>
        <w:t>om individueel bezwaar te maken,</w:t>
      </w:r>
      <w:r w:rsidRPr="0034157D" w:rsidR="00B956C1">
        <w:rPr>
          <w:color w:val="000000" w:themeColor="text1"/>
        </w:rPr>
        <w:t xml:space="preserve"> aan de deelnemers, gewezen deelnemers, gewezen partners en pensioengerechtigden </w:t>
      </w:r>
      <w:r w:rsidR="001C7321">
        <w:rPr>
          <w:color w:val="000000" w:themeColor="text1"/>
        </w:rPr>
        <w:t xml:space="preserve">een goedkeuringsrecht voor </w:t>
      </w:r>
      <w:r w:rsidRPr="0034157D" w:rsidR="00B956C1">
        <w:rPr>
          <w:color w:val="000000" w:themeColor="text1"/>
        </w:rPr>
        <w:t xml:space="preserve">de interne collectieve waardeoverdracht </w:t>
      </w:r>
      <w:r w:rsidR="001C7321">
        <w:rPr>
          <w:color w:val="000000" w:themeColor="text1"/>
        </w:rPr>
        <w:t>bieden</w:t>
      </w:r>
      <w:r w:rsidRPr="0034157D" w:rsidR="00B956C1">
        <w:rPr>
          <w:color w:val="000000" w:themeColor="text1"/>
        </w:rPr>
        <w:t>. In dat geval kunnen de deelnemers, gewezen deelnemers, gewezen partners en pensioengerechtigden hun stem uitbrengen gedurende een redelijke termijn van ten</w:t>
      </w:r>
      <w:r w:rsidR="001C7321">
        <w:rPr>
          <w:color w:val="000000" w:themeColor="text1"/>
        </w:rPr>
        <w:t xml:space="preserve"> </w:t>
      </w:r>
      <w:r w:rsidRPr="0034157D" w:rsidR="00B956C1">
        <w:rPr>
          <w:color w:val="000000" w:themeColor="text1"/>
        </w:rPr>
        <w:t xml:space="preserve">minste zes weken vanaf het moment van informeren, bedoeld in </w:t>
      </w:r>
      <w:r w:rsidR="001C7321">
        <w:rPr>
          <w:color w:val="000000" w:themeColor="text1"/>
        </w:rPr>
        <w:t xml:space="preserve">het tiende </w:t>
      </w:r>
      <w:r w:rsidRPr="0034157D" w:rsidR="00B956C1">
        <w:rPr>
          <w:color w:val="000000" w:themeColor="text1"/>
        </w:rPr>
        <w:t>lid.</w:t>
      </w:r>
    </w:p>
    <w:p w:rsidRPr="0034157D" w:rsidR="00B956C1" w:rsidP="00B956C1" w:rsidRDefault="007F3CDC" w14:paraId="761BFECA" w14:textId="3E752622">
      <w:pPr>
        <w:ind w:firstLine="284"/>
        <w:rPr>
          <w:color w:val="000000" w:themeColor="text1"/>
        </w:rPr>
      </w:pPr>
      <w:r>
        <w:rPr>
          <w:color w:val="000000" w:themeColor="text1"/>
        </w:rPr>
        <w:t>13</w:t>
      </w:r>
      <w:r w:rsidRPr="0034157D" w:rsidR="00B956C1">
        <w:rPr>
          <w:color w:val="000000" w:themeColor="text1"/>
        </w:rPr>
        <w:t xml:space="preserve">. Indien het pensioenfonds </w:t>
      </w:r>
      <w:r w:rsidR="001C7321">
        <w:rPr>
          <w:color w:val="000000" w:themeColor="text1"/>
        </w:rPr>
        <w:t xml:space="preserve">een goedkeuringsrecht voor </w:t>
      </w:r>
      <w:r w:rsidRPr="0034157D" w:rsidR="00B956C1">
        <w:rPr>
          <w:color w:val="000000" w:themeColor="text1"/>
        </w:rPr>
        <w:t>de interne collectieve waardeoverdracht</w:t>
      </w:r>
      <w:r w:rsidR="001C7321">
        <w:rPr>
          <w:color w:val="000000" w:themeColor="text1"/>
        </w:rPr>
        <w:t xml:space="preserve"> biedt, </w:t>
      </w:r>
      <w:r w:rsidRPr="0034157D" w:rsidR="00B956C1">
        <w:rPr>
          <w:color w:val="000000" w:themeColor="text1"/>
        </w:rPr>
        <w:t>is de goedkeuring verleend wanneer:</w:t>
      </w:r>
    </w:p>
    <w:p w:rsidRPr="0034157D" w:rsidR="00B956C1" w:rsidP="00B956C1" w:rsidRDefault="001C7321" w14:paraId="2B0A92A1" w14:textId="7B65AB48">
      <w:pPr>
        <w:ind w:firstLine="284"/>
        <w:rPr>
          <w:color w:val="000000" w:themeColor="text1"/>
        </w:rPr>
      </w:pPr>
      <w:r>
        <w:rPr>
          <w:color w:val="000000" w:themeColor="text1"/>
        </w:rPr>
        <w:lastRenderedPageBreak/>
        <w:t>a</w:t>
      </w:r>
      <w:r w:rsidRPr="0034157D" w:rsidR="00B956C1">
        <w:rPr>
          <w:color w:val="000000" w:themeColor="text1"/>
        </w:rPr>
        <w:t xml:space="preserve">. een meerderheid van de deelnemers, gewezen deelnemers, gewezen partners en pensioengerechtigden die hebben gereageerd op een daartoe strekkend schriftelijk of elektronisch verzoek het voorgenomen besluit met betrekking tot de interne collectieve waardeoverdracht heeft goedgekeurd; </w:t>
      </w:r>
      <w:r>
        <w:rPr>
          <w:color w:val="000000" w:themeColor="text1"/>
        </w:rPr>
        <w:t>en</w:t>
      </w:r>
    </w:p>
    <w:p w:rsidRPr="0034157D" w:rsidR="00B956C1" w:rsidP="00B956C1" w:rsidRDefault="001C7321" w14:paraId="4FA7FF15" w14:textId="7EE1E1CA">
      <w:pPr>
        <w:ind w:firstLine="284"/>
        <w:rPr>
          <w:color w:val="000000" w:themeColor="text1"/>
        </w:rPr>
      </w:pPr>
      <w:r>
        <w:rPr>
          <w:color w:val="000000" w:themeColor="text1"/>
        </w:rPr>
        <w:t>b</w:t>
      </w:r>
      <w:r w:rsidRPr="0034157D" w:rsidR="00B956C1">
        <w:rPr>
          <w:color w:val="000000" w:themeColor="text1"/>
        </w:rPr>
        <w:t xml:space="preserve">. het aantal personen dat heeft gereageerd op het verzoek, bedoeld onder </w:t>
      </w:r>
      <w:r>
        <w:rPr>
          <w:color w:val="000000" w:themeColor="text1"/>
        </w:rPr>
        <w:t>a</w:t>
      </w:r>
      <w:r w:rsidRPr="0034157D" w:rsidR="00B956C1">
        <w:rPr>
          <w:color w:val="000000" w:themeColor="text1"/>
        </w:rPr>
        <w:t>, minimaal dertig procent vertegenwoordigt van alle bij de interne collectieve waardeoverdracht betrokken deelnemers, gewezen deelnemers, gewezen partners en pensioengerechtigden, ongeacht de waarde die de betreffende deelnemers, gewezen deelnemers, gewezen partners en pensioengerechtigden vertegenwoordigen.</w:t>
      </w:r>
    </w:p>
    <w:p w:rsidRPr="0049445E" w:rsidR="0049445E" w:rsidP="0049445E" w:rsidRDefault="007F3CDC" w14:paraId="430E1A20" w14:textId="7474D022">
      <w:pPr>
        <w:ind w:firstLine="284"/>
        <w:rPr>
          <w:color w:val="000000" w:themeColor="text1"/>
        </w:rPr>
      </w:pPr>
      <w:r>
        <w:rPr>
          <w:color w:val="000000" w:themeColor="text1"/>
        </w:rPr>
        <w:t>14</w:t>
      </w:r>
      <w:r w:rsidRPr="0034157D" w:rsidR="00B956C1">
        <w:rPr>
          <w:color w:val="000000" w:themeColor="text1"/>
        </w:rPr>
        <w:t>. Wanneer aan de voorwaarden</w:t>
      </w:r>
      <w:r w:rsidR="001C7321">
        <w:rPr>
          <w:color w:val="000000" w:themeColor="text1"/>
        </w:rPr>
        <w:t>,</w:t>
      </w:r>
      <w:r w:rsidRPr="0034157D" w:rsidR="00B956C1">
        <w:rPr>
          <w:color w:val="000000" w:themeColor="text1"/>
        </w:rPr>
        <w:t xml:space="preserve"> bedoeld in </w:t>
      </w:r>
      <w:r w:rsidR="001C7321">
        <w:rPr>
          <w:color w:val="000000" w:themeColor="text1"/>
        </w:rPr>
        <w:t>het dertiende lid,</w:t>
      </w:r>
      <w:r w:rsidRPr="0034157D" w:rsidR="00B956C1">
        <w:rPr>
          <w:color w:val="000000" w:themeColor="text1"/>
        </w:rPr>
        <w:t xml:space="preserve"> niet is voldaan</w:t>
      </w:r>
      <w:r w:rsidR="00F53812">
        <w:rPr>
          <w:color w:val="000000" w:themeColor="text1"/>
        </w:rPr>
        <w:t>,</w:t>
      </w:r>
      <w:r w:rsidRPr="0034157D" w:rsidR="00B956C1">
        <w:rPr>
          <w:color w:val="000000" w:themeColor="text1"/>
        </w:rPr>
        <w:t xml:space="preserve"> is de goedkeuring niet verleend en wordt niet overgegaan tot interne collectieve waardeoverdracht.</w:t>
      </w:r>
      <w:r w:rsidR="00096056">
        <w:rPr>
          <w:color w:val="000000" w:themeColor="text1"/>
        </w:rPr>
        <w:t xml:space="preserve"> </w:t>
      </w:r>
      <w:r w:rsidRPr="0049445E" w:rsidR="0049445E">
        <w:rPr>
          <w:color w:val="000000" w:themeColor="text1"/>
        </w:rPr>
        <w:t xml:space="preserve">Of de goedkeuring al dan niet is verleend, wordt </w:t>
      </w:r>
      <w:r w:rsidRPr="0034157D" w:rsidR="0049445E">
        <w:rPr>
          <w:color w:val="000000" w:themeColor="text1"/>
        </w:rPr>
        <w:t>uiterlijk vier weken voor de beoogde datum van deze waardeoverdracht elektronisch gemeld</w:t>
      </w:r>
      <w:r w:rsidRPr="0049445E" w:rsidR="0049445E">
        <w:rPr>
          <w:color w:val="000000" w:themeColor="text1"/>
        </w:rPr>
        <w:t xml:space="preserve"> aan de toezichthouder.</w:t>
      </w:r>
    </w:p>
    <w:p w:rsidRPr="0034157D" w:rsidR="00B956C1" w:rsidP="00B956C1" w:rsidRDefault="007F3CDC" w14:paraId="020379D8" w14:textId="4FA7D609">
      <w:pPr>
        <w:ind w:firstLine="284"/>
        <w:rPr>
          <w:color w:val="000000" w:themeColor="text1"/>
        </w:rPr>
      </w:pPr>
      <w:r>
        <w:rPr>
          <w:color w:val="000000" w:themeColor="text1"/>
        </w:rPr>
        <w:t>15</w:t>
      </w:r>
      <w:r w:rsidRPr="0034157D" w:rsidR="00B956C1">
        <w:rPr>
          <w:color w:val="000000" w:themeColor="text1"/>
        </w:rPr>
        <w:t xml:space="preserve">. </w:t>
      </w:r>
      <w:r w:rsidRPr="00434B57" w:rsidR="00434B57">
        <w:rPr>
          <w:color w:val="000000" w:themeColor="text1"/>
        </w:rPr>
        <w:t xml:space="preserve">Artikel 48a is van overeenkomstige toepassing bij het maken van een keuze binnen </w:t>
      </w:r>
      <w:r w:rsidR="00E867E5">
        <w:rPr>
          <w:color w:val="000000" w:themeColor="text1"/>
        </w:rPr>
        <w:t xml:space="preserve">de procedure van </w:t>
      </w:r>
      <w:r w:rsidRPr="00434B57" w:rsidR="00434B57">
        <w:rPr>
          <w:color w:val="000000" w:themeColor="text1"/>
        </w:rPr>
        <w:t>bezwaarrecht dan wel goedkeuringsrecht</w:t>
      </w:r>
      <w:r w:rsidR="00E867E5">
        <w:rPr>
          <w:color w:val="000000" w:themeColor="text1"/>
        </w:rPr>
        <w:t>, genoemd in dit artikel</w:t>
      </w:r>
      <w:r w:rsidRPr="00434B57" w:rsidR="00434B57">
        <w:rPr>
          <w:color w:val="000000" w:themeColor="text1"/>
        </w:rPr>
        <w:t>.</w:t>
      </w:r>
    </w:p>
    <w:p w:rsidR="007035CA" w:rsidP="00B956C1" w:rsidRDefault="007F3CDC" w14:paraId="010E93B5" w14:textId="65B50990">
      <w:pPr>
        <w:ind w:firstLine="284"/>
        <w:rPr>
          <w:color w:val="000000" w:themeColor="text1"/>
        </w:rPr>
      </w:pPr>
      <w:r>
        <w:rPr>
          <w:color w:val="000000" w:themeColor="text1"/>
        </w:rPr>
        <w:t>16</w:t>
      </w:r>
      <w:r w:rsidRPr="0034157D" w:rsidR="00B956C1">
        <w:rPr>
          <w:color w:val="000000" w:themeColor="text1"/>
        </w:rPr>
        <w:t xml:space="preserve">. Het pensioenfonds kan het vermogen dat overeenkomstig </w:t>
      </w:r>
      <w:r w:rsidR="00F81EE5">
        <w:rPr>
          <w:color w:val="000000" w:themeColor="text1"/>
        </w:rPr>
        <w:t xml:space="preserve">het elfde of veertiende </w:t>
      </w:r>
      <w:r w:rsidRPr="0034157D" w:rsidR="00B956C1">
        <w:rPr>
          <w:color w:val="000000" w:themeColor="text1"/>
        </w:rPr>
        <w:t xml:space="preserve">lid niet wordt betrokken in de interne collectieve waardeoverdracht verminderen met een bedrag dat wordt aangewend voor de compensatie van deelnemers, mits dit </w:t>
      </w:r>
      <w:r w:rsidR="003F15DC">
        <w:rPr>
          <w:color w:val="000000" w:themeColor="text1"/>
        </w:rPr>
        <w:t>e</w:t>
      </w:r>
      <w:r w:rsidRPr="0034157D" w:rsidR="00B956C1">
        <w:rPr>
          <w:color w:val="000000" w:themeColor="text1"/>
        </w:rPr>
        <w:t>venwichtig is.</w:t>
      </w:r>
      <w:r w:rsidR="00D51C4B">
        <w:rPr>
          <w:color w:val="000000" w:themeColor="text1"/>
        </w:rPr>
        <w:t xml:space="preserve"> </w:t>
      </w:r>
    </w:p>
    <w:p w:rsidR="00B956C1" w:rsidP="00B956C1" w:rsidRDefault="00B956C1" w14:paraId="39009C15" w14:textId="5762B6E0">
      <w:pPr>
        <w:ind w:firstLine="284"/>
        <w:rPr>
          <w:color w:val="000000" w:themeColor="text1"/>
        </w:rPr>
      </w:pPr>
    </w:p>
    <w:p w:rsidR="003F15DC" w:rsidP="003F15DC" w:rsidRDefault="003F15DC" w14:paraId="64F4419B" w14:textId="767DADC8">
      <w:pPr>
        <w:rPr>
          <w:color w:val="000000" w:themeColor="text1"/>
        </w:rPr>
      </w:pPr>
      <w:r>
        <w:rPr>
          <w:color w:val="000000" w:themeColor="text1"/>
        </w:rPr>
        <w:t>IV</w:t>
      </w:r>
    </w:p>
    <w:p w:rsidR="003F15DC" w:rsidP="003F15DC" w:rsidRDefault="003F15DC" w14:paraId="6D137455" w14:textId="77777777">
      <w:pPr>
        <w:rPr>
          <w:color w:val="000000" w:themeColor="text1"/>
        </w:rPr>
      </w:pPr>
    </w:p>
    <w:p w:rsidR="003F15DC" w:rsidP="003F15DC" w:rsidRDefault="003F15DC" w14:paraId="0F6C6FE6" w14:textId="77777777">
      <w:pPr>
        <w:rPr>
          <w:color w:val="000000" w:themeColor="text1"/>
        </w:rPr>
      </w:pPr>
      <w:r>
        <w:rPr>
          <w:color w:val="000000" w:themeColor="text1"/>
        </w:rPr>
        <w:tab/>
        <w:t>Na artikel I, onderdeel C, aanhef, wordt een onderdeel ingevoegd, luidende:</w:t>
      </w:r>
    </w:p>
    <w:p w:rsidR="003F15DC" w:rsidP="003F15DC" w:rsidRDefault="003F15DC" w14:paraId="233E0B62" w14:textId="77777777">
      <w:pPr>
        <w:rPr>
          <w:color w:val="000000" w:themeColor="text1"/>
        </w:rPr>
      </w:pPr>
    </w:p>
    <w:p w:rsidR="003F15DC" w:rsidP="003F15DC" w:rsidRDefault="00665606" w14:paraId="16B98CD0" w14:textId="45FA5723">
      <w:pPr>
        <w:ind w:firstLine="284"/>
        <w:rPr>
          <w:color w:val="000000" w:themeColor="text1"/>
        </w:rPr>
      </w:pPr>
      <w:r>
        <w:rPr>
          <w:color w:val="000000" w:themeColor="text1"/>
        </w:rPr>
        <w:t>0</w:t>
      </w:r>
      <w:r w:rsidR="003F15DC">
        <w:rPr>
          <w:color w:val="000000" w:themeColor="text1"/>
        </w:rPr>
        <w:t>1. In het eerste lid wordt na “plaatsvindt,” ingevoegd “of, indien geen goedkeuring is verleend als bedoeld in artikel 150m, veertiende lid, plaats zou vinden”.</w:t>
      </w:r>
    </w:p>
    <w:p w:rsidRPr="0034157D" w:rsidR="003F15DC" w:rsidP="00B956C1" w:rsidRDefault="003F15DC" w14:paraId="74E91CF2" w14:textId="77777777">
      <w:pPr>
        <w:ind w:firstLine="284"/>
        <w:rPr>
          <w:color w:val="000000" w:themeColor="text1"/>
        </w:rPr>
      </w:pPr>
    </w:p>
    <w:p w:rsidR="00B6155C" w:rsidP="001F7A06" w:rsidRDefault="00565A73" w14:paraId="071915B1" w14:textId="1933A791">
      <w:r>
        <w:t>V</w:t>
      </w:r>
    </w:p>
    <w:p w:rsidR="00B6155C" w:rsidP="001F7A06" w:rsidRDefault="00B6155C" w14:paraId="5B3EC23D" w14:textId="77777777"/>
    <w:p w:rsidR="00B6155C" w:rsidP="001F7A06" w:rsidRDefault="00B6155C" w14:paraId="2732DFE6" w14:textId="77777777">
      <w:r>
        <w:tab/>
        <w:t>Aan artikel I wordt een onderdeel toegevoegd luidende:</w:t>
      </w:r>
    </w:p>
    <w:p w:rsidR="00B6155C" w:rsidP="001F7A06" w:rsidRDefault="00B6155C" w14:paraId="6C82A2B8" w14:textId="77777777"/>
    <w:p w:rsidR="00401CD9" w:rsidP="001F7A06" w:rsidRDefault="00401CD9" w14:paraId="1A089D3C" w14:textId="78F64397">
      <w:r>
        <w:t>I</w:t>
      </w:r>
    </w:p>
    <w:p w:rsidR="00524C55" w:rsidP="001F7A06" w:rsidRDefault="00524C55" w14:paraId="009A312B" w14:textId="77777777"/>
    <w:p w:rsidR="00524C55" w:rsidP="00B30A2F" w:rsidRDefault="00524C55" w14:paraId="6AC3D1F9" w14:textId="5B1942B6">
      <w:pPr>
        <w:ind w:firstLine="284"/>
      </w:pPr>
      <w:r>
        <w:t>Na artikel 220i wordt een artikel ingevoegd, luidende:</w:t>
      </w:r>
    </w:p>
    <w:p w:rsidR="00401CD9" w:rsidP="001F7A06" w:rsidRDefault="00401CD9" w14:paraId="49E0DBB5" w14:textId="77777777"/>
    <w:p w:rsidRPr="0034157D" w:rsidR="00B956C1" w:rsidP="00B956C1" w:rsidRDefault="00B956C1" w14:paraId="6D6EF90C" w14:textId="77777777">
      <w:pPr>
        <w:rPr>
          <w:b/>
          <w:bCs/>
          <w:color w:val="000000" w:themeColor="text1"/>
        </w:rPr>
      </w:pPr>
      <w:r w:rsidRPr="0034157D">
        <w:rPr>
          <w:b/>
          <w:bCs/>
          <w:color w:val="000000" w:themeColor="text1"/>
        </w:rPr>
        <w:t xml:space="preserve">Artikel 220j. Overgangsrecht individueel bezwaarrecht en goedkeuringsrecht interne waardeoverdracht </w:t>
      </w:r>
    </w:p>
    <w:p w:rsidRPr="0034157D" w:rsidR="00B956C1" w:rsidP="00B956C1" w:rsidRDefault="00B956C1" w14:paraId="5555362C" w14:textId="77777777">
      <w:pPr>
        <w:rPr>
          <w:color w:val="000000" w:themeColor="text1"/>
        </w:rPr>
      </w:pPr>
    </w:p>
    <w:p w:rsidRPr="0034157D" w:rsidR="00B956C1" w:rsidP="00B956C1" w:rsidRDefault="00B956C1" w14:paraId="410C16B8" w14:textId="6DB02CB5">
      <w:pPr>
        <w:ind w:firstLine="284"/>
        <w:rPr>
          <w:color w:val="000000" w:themeColor="text1"/>
        </w:rPr>
      </w:pPr>
      <w:r w:rsidRPr="0034157D">
        <w:rPr>
          <w:color w:val="000000" w:themeColor="text1"/>
        </w:rPr>
        <w:t>1.</w:t>
      </w:r>
      <w:r w:rsidR="00401CD9">
        <w:rPr>
          <w:color w:val="000000" w:themeColor="text1"/>
        </w:rPr>
        <w:t xml:space="preserve"> </w:t>
      </w:r>
      <w:r w:rsidRPr="0034157D">
        <w:rPr>
          <w:color w:val="000000" w:themeColor="text1"/>
        </w:rPr>
        <w:t>De artikelen 150i, 150j</w:t>
      </w:r>
      <w:r w:rsidR="00524C55">
        <w:rPr>
          <w:color w:val="000000" w:themeColor="text1"/>
        </w:rPr>
        <w:t>, 150l</w:t>
      </w:r>
      <w:r w:rsidR="003F15DC">
        <w:rPr>
          <w:color w:val="000000" w:themeColor="text1"/>
        </w:rPr>
        <w:t>,</w:t>
      </w:r>
      <w:r w:rsidRPr="0034157D">
        <w:rPr>
          <w:color w:val="000000" w:themeColor="text1"/>
        </w:rPr>
        <w:t xml:space="preserve"> 150m</w:t>
      </w:r>
      <w:r w:rsidR="003F15DC">
        <w:rPr>
          <w:color w:val="000000" w:themeColor="text1"/>
        </w:rPr>
        <w:t xml:space="preserve"> en 150p</w:t>
      </w:r>
      <w:r w:rsidRPr="0034157D">
        <w:rPr>
          <w:color w:val="000000" w:themeColor="text1"/>
        </w:rPr>
        <w:t>, zoals deze luidden onmiddellijk voorafgaand aan het tijdstip van inwerkingtreding van de Wet houdende wijziging van de Pensioenwet, de Wet op de loonbelasting 1964 en enige andere wetten in verband met de verlenging van de transitieperiode naar het nieuwe pensioenstelsel</w:t>
      </w:r>
      <w:r w:rsidR="00E9708A">
        <w:rPr>
          <w:color w:val="000000" w:themeColor="text1"/>
        </w:rPr>
        <w:t xml:space="preserve"> </w:t>
      </w:r>
      <w:r w:rsidRPr="00096056" w:rsidR="00E9708A">
        <w:rPr>
          <w:color w:val="000000" w:themeColor="text1"/>
        </w:rPr>
        <w:t>en het waarborgen van zeggenschap bij interne collectieve waardeoverdracht</w:t>
      </w:r>
      <w:r w:rsidR="00E9708A">
        <w:rPr>
          <w:color w:val="000000" w:themeColor="text1"/>
        </w:rPr>
        <w:t xml:space="preserve">, </w:t>
      </w:r>
      <w:r w:rsidRPr="0034157D">
        <w:rPr>
          <w:color w:val="000000" w:themeColor="text1"/>
        </w:rPr>
        <w:t xml:space="preserve">blijven van toepassing voor het pensioenfonds dat overgaat tot </w:t>
      </w:r>
      <w:r w:rsidR="00B11210">
        <w:rPr>
          <w:color w:val="000000" w:themeColor="text1"/>
        </w:rPr>
        <w:t xml:space="preserve">interne </w:t>
      </w:r>
      <w:r w:rsidRPr="0034157D">
        <w:rPr>
          <w:color w:val="000000" w:themeColor="text1"/>
        </w:rPr>
        <w:t>collectieve waardeoverdracht uiterlijk zestig dagen na de datum van uitgifte van het Staatsblad waarin die wet wordt bekendgemaakt.</w:t>
      </w:r>
    </w:p>
    <w:p w:rsidRPr="0034157D" w:rsidR="00B956C1" w:rsidP="00B956C1" w:rsidRDefault="00B956C1" w14:paraId="07D0576E" w14:textId="042D10C2">
      <w:pPr>
        <w:ind w:firstLine="284"/>
        <w:rPr>
          <w:color w:val="000000" w:themeColor="text1"/>
        </w:rPr>
      </w:pPr>
      <w:r w:rsidRPr="4F1579BB">
        <w:rPr>
          <w:color w:val="000000" w:themeColor="text1"/>
        </w:rPr>
        <w:t>2. Indien het implementatieplan met inbegrip van het communicatieplan al is ingediend bij de toezichthouder op of voorafgaand aan het tijdstip van inwerkingtreding van de Wijziging van de Pensioenwet, de Wet op de loonbelasting 1964 en enige andere wetten in verband met de verlenging van de transitieperiode naar het nieuwe pensioenstelsel</w:t>
      </w:r>
      <w:r w:rsidRPr="4F1579BB" w:rsidR="00E9708A">
        <w:rPr>
          <w:color w:val="000000" w:themeColor="text1"/>
        </w:rPr>
        <w:t xml:space="preserve"> en het waarborgen van zeggenschap bij interne collectieve waardeoverdracht</w:t>
      </w:r>
      <w:r w:rsidRPr="4F1579BB">
        <w:rPr>
          <w:color w:val="000000" w:themeColor="text1"/>
        </w:rPr>
        <w:t xml:space="preserve">, legt het pensioenfonds in een aanvulling </w:t>
      </w:r>
      <w:r w:rsidRPr="4F1579BB" w:rsidR="00FA6620">
        <w:rPr>
          <w:color w:val="000000" w:themeColor="text1"/>
        </w:rPr>
        <w:t>op die plannen</w:t>
      </w:r>
      <w:r w:rsidRPr="4F1579BB">
        <w:rPr>
          <w:color w:val="000000" w:themeColor="text1"/>
        </w:rPr>
        <w:t xml:space="preserve"> vast wat in artikel 150i, tweede lid, onderdelen </w:t>
      </w:r>
      <w:r w:rsidR="00924F31">
        <w:rPr>
          <w:color w:val="000000" w:themeColor="text1"/>
        </w:rPr>
        <w:t xml:space="preserve">e, </w:t>
      </w:r>
      <w:r w:rsidRPr="4F1579BB">
        <w:rPr>
          <w:color w:val="000000" w:themeColor="text1"/>
        </w:rPr>
        <w:t>i, j</w:t>
      </w:r>
      <w:r w:rsidRPr="4F1579BB" w:rsidR="00401CD9">
        <w:rPr>
          <w:color w:val="000000" w:themeColor="text1"/>
        </w:rPr>
        <w:t xml:space="preserve"> en</w:t>
      </w:r>
      <w:r w:rsidRPr="4F1579BB">
        <w:rPr>
          <w:color w:val="000000" w:themeColor="text1"/>
        </w:rPr>
        <w:t xml:space="preserve"> k</w:t>
      </w:r>
      <w:r w:rsidRPr="4F1579BB" w:rsidR="00401CD9">
        <w:rPr>
          <w:color w:val="000000" w:themeColor="text1"/>
        </w:rPr>
        <w:t>,</w:t>
      </w:r>
      <w:r w:rsidRPr="4F1579BB">
        <w:rPr>
          <w:color w:val="000000" w:themeColor="text1"/>
        </w:rPr>
        <w:t xml:space="preserve"> en artikel 150j, tweede lid, onderdeel a, is beschreven</w:t>
      </w:r>
      <w:r w:rsidRPr="4F1579BB" w:rsidR="00FA6620">
        <w:rPr>
          <w:color w:val="000000" w:themeColor="text1"/>
        </w:rPr>
        <w:t xml:space="preserve"> voor zover die plannen nog niet voldoen aan deze bepalingen en het pensioenfonds overgaat tot interne collectieve waardeoverdracht na de periode van zestig dagen, bedoeld in het eerste lid</w:t>
      </w:r>
      <w:r w:rsidRPr="4F1579BB">
        <w:rPr>
          <w:color w:val="000000" w:themeColor="text1"/>
        </w:rPr>
        <w:t>.</w:t>
      </w:r>
    </w:p>
    <w:p w:rsidR="00B956C1" w:rsidP="00B956C1" w:rsidRDefault="00B956C1" w14:paraId="634C0F57" w14:textId="4E1E03CC">
      <w:pPr>
        <w:ind w:firstLine="284"/>
      </w:pPr>
      <w:r w:rsidRPr="0034157D">
        <w:rPr>
          <w:color w:val="000000" w:themeColor="text1"/>
        </w:rPr>
        <w:t xml:space="preserve">3. In afwijking van artikel 10 kunnen reeds voor het moment van interne collectieve waardeoverdracht, bedoeld in artikel 150m, opgebouwde pensioenaanspraken en pensioenrechten van </w:t>
      </w:r>
      <w:r w:rsidR="00901B2C">
        <w:rPr>
          <w:color w:val="000000" w:themeColor="text1"/>
        </w:rPr>
        <w:t xml:space="preserve">personen die </w:t>
      </w:r>
      <w:r w:rsidRPr="0034157D">
        <w:rPr>
          <w:color w:val="000000" w:themeColor="text1"/>
        </w:rPr>
        <w:t>bezwaar</w:t>
      </w:r>
      <w:r w:rsidR="00901B2C">
        <w:rPr>
          <w:color w:val="000000" w:themeColor="text1"/>
        </w:rPr>
        <w:t xml:space="preserve"> </w:t>
      </w:r>
      <w:r w:rsidRPr="0034157D">
        <w:rPr>
          <w:color w:val="000000" w:themeColor="text1"/>
        </w:rPr>
        <w:t>make</w:t>
      </w:r>
      <w:r w:rsidR="00901B2C">
        <w:rPr>
          <w:color w:val="000000" w:themeColor="text1"/>
        </w:rPr>
        <w:t>n</w:t>
      </w:r>
      <w:r w:rsidRPr="0034157D">
        <w:rPr>
          <w:color w:val="000000" w:themeColor="text1"/>
        </w:rPr>
        <w:t xml:space="preserve"> als bedoeld in artikel 150m, </w:t>
      </w:r>
      <w:r w:rsidR="00901B2C">
        <w:rPr>
          <w:color w:val="000000" w:themeColor="text1"/>
        </w:rPr>
        <w:t>negende lid</w:t>
      </w:r>
      <w:r w:rsidRPr="0034157D">
        <w:rPr>
          <w:color w:val="000000" w:themeColor="text1"/>
        </w:rPr>
        <w:t xml:space="preserve">, worden voortgezet op grond van een uitkeringsovereenkomst als bedoeld in artikel 1, zoals dat artikel luidde op de dag voorafgaand aan het tijdstip van inwerkingtreding van de Wet toekomst pensioenen. De pensioenovereenkomst kan slechts </w:t>
      </w:r>
      <w:r w:rsidRPr="0034157D">
        <w:rPr>
          <w:color w:val="000000" w:themeColor="text1"/>
        </w:rPr>
        <w:lastRenderedPageBreak/>
        <w:t>worden gewijzigd voor zover dit noodzakelijk is om de pensioenovereenkomst aan een andere pensioenuitvoerder te kunnen overdragen.</w:t>
      </w:r>
    </w:p>
    <w:p w:rsidR="00E47AC4" w:rsidP="001F7A06" w:rsidRDefault="00E47AC4" w14:paraId="286EE192" w14:textId="3AF1A064">
      <w:r>
        <w:tab/>
      </w:r>
    </w:p>
    <w:p w:rsidRPr="00C13D0C" w:rsidR="00BC37F7" w:rsidP="001F7A06" w:rsidRDefault="00BC37F7" w14:paraId="7E734B04" w14:textId="589D55FB">
      <w:r w:rsidRPr="00C13D0C">
        <w:t>V</w:t>
      </w:r>
      <w:r w:rsidR="00565A73">
        <w:t>I</w:t>
      </w:r>
    </w:p>
    <w:p w:rsidR="00BC37F7" w:rsidP="001F7A06" w:rsidRDefault="00BC37F7" w14:paraId="17C1BE12" w14:textId="77777777"/>
    <w:p w:rsidRPr="00C13D0C" w:rsidR="00B0036B" w:rsidP="00B0036B" w:rsidRDefault="00B0036B" w14:paraId="3E8AF0CD" w14:textId="6C8D0D08">
      <w:pPr>
        <w:ind w:firstLine="284"/>
      </w:pPr>
      <w:r w:rsidRPr="00C13D0C">
        <w:t>Na artikel I</w:t>
      </w:r>
      <w:r>
        <w:t>V</w:t>
      </w:r>
      <w:r w:rsidRPr="00C13D0C">
        <w:t>, onderdeel A, word</w:t>
      </w:r>
      <w:r>
        <w:t xml:space="preserve">en </w:t>
      </w:r>
      <w:r w:rsidR="00565A73">
        <w:t>vier</w:t>
      </w:r>
      <w:r w:rsidRPr="00C13D0C">
        <w:t xml:space="preserve"> onderdel</w:t>
      </w:r>
      <w:r>
        <w:t>en</w:t>
      </w:r>
      <w:r w:rsidRPr="00C13D0C">
        <w:t xml:space="preserve"> ingevoegd, luidende:</w:t>
      </w:r>
    </w:p>
    <w:p w:rsidR="00B0036B" w:rsidP="00B0036B" w:rsidRDefault="00B0036B" w14:paraId="7344B4F9" w14:textId="77777777"/>
    <w:p w:rsidRPr="0034157D" w:rsidR="00B0036B" w:rsidP="00B0036B" w:rsidRDefault="00B0036B" w14:paraId="2DDF9FC1" w14:textId="77777777">
      <w:pPr>
        <w:rPr>
          <w:color w:val="000000" w:themeColor="text1"/>
        </w:rPr>
      </w:pPr>
      <w:r w:rsidRPr="0034157D">
        <w:rPr>
          <w:color w:val="000000" w:themeColor="text1"/>
        </w:rPr>
        <w:t>Aa</w:t>
      </w:r>
    </w:p>
    <w:p w:rsidR="00B0036B" w:rsidP="00B0036B" w:rsidRDefault="00B0036B" w14:paraId="77008D25" w14:textId="77777777">
      <w:pPr>
        <w:rPr>
          <w:color w:val="000000" w:themeColor="text1"/>
        </w:rPr>
      </w:pPr>
    </w:p>
    <w:p w:rsidR="003F15DC" w:rsidP="009F4021" w:rsidRDefault="003F15DC" w14:paraId="2902B24F" w14:textId="7A39D627">
      <w:pPr>
        <w:ind w:firstLine="284"/>
        <w:rPr>
          <w:color w:val="000000" w:themeColor="text1"/>
        </w:rPr>
      </w:pPr>
      <w:r>
        <w:rPr>
          <w:color w:val="000000" w:themeColor="text1"/>
        </w:rPr>
        <w:t>Artikel 145h, tweede lid, wordt als volgt gewijzigd:</w:t>
      </w:r>
    </w:p>
    <w:p w:rsidR="003F15DC" w:rsidP="003F15DC" w:rsidRDefault="003F15DC" w14:paraId="677F5212" w14:textId="77777777">
      <w:pPr>
        <w:rPr>
          <w:color w:val="000000" w:themeColor="text1"/>
        </w:rPr>
      </w:pPr>
    </w:p>
    <w:p w:rsidRPr="00B30A2F" w:rsidR="003F15DC" w:rsidP="003F15DC" w:rsidRDefault="003F15DC" w14:paraId="1A7C606C" w14:textId="77777777">
      <w:pPr>
        <w:rPr>
          <w:color w:val="000000" w:themeColor="text1"/>
        </w:rPr>
      </w:pPr>
      <w:r>
        <w:rPr>
          <w:color w:val="000000" w:themeColor="text1"/>
        </w:rPr>
        <w:tab/>
        <w:t>1. Aan onderdeel e wordt toegevoegd “i</w:t>
      </w:r>
      <w:r w:rsidRPr="00B30A2F">
        <w:rPr>
          <w:color w:val="000000" w:themeColor="text1"/>
        </w:rPr>
        <w:t>n het geval van:</w:t>
      </w:r>
    </w:p>
    <w:p w:rsidRPr="00B30A2F" w:rsidR="003F15DC" w:rsidP="003F15DC" w:rsidRDefault="003F15DC" w14:paraId="308BC795" w14:textId="77777777">
      <w:pPr>
        <w:ind w:firstLine="284"/>
        <w:rPr>
          <w:color w:val="000000" w:themeColor="text1"/>
        </w:rPr>
      </w:pPr>
      <w:r w:rsidRPr="00B30A2F">
        <w:rPr>
          <w:color w:val="000000" w:themeColor="text1"/>
        </w:rPr>
        <w:t>1°. volledige interne collectieve waardeoverdracht;</w:t>
      </w:r>
    </w:p>
    <w:p w:rsidRPr="00B30A2F" w:rsidR="003F15DC" w:rsidP="003F15DC" w:rsidRDefault="003F15DC" w14:paraId="7D746961" w14:textId="26D75DF1">
      <w:pPr>
        <w:ind w:firstLine="284"/>
        <w:rPr>
          <w:color w:val="000000" w:themeColor="text1"/>
        </w:rPr>
      </w:pPr>
      <w:r w:rsidRPr="00B30A2F">
        <w:rPr>
          <w:color w:val="000000" w:themeColor="text1"/>
        </w:rPr>
        <w:t xml:space="preserve">2°. gedeeltelijke interne collectieve waardeoverdracht waarbij de </w:t>
      </w:r>
      <w:r w:rsidR="00C61C70">
        <w:rPr>
          <w:color w:val="000000" w:themeColor="text1"/>
        </w:rPr>
        <w:t xml:space="preserve">personen die </w:t>
      </w:r>
      <w:r w:rsidRPr="00B30A2F">
        <w:rPr>
          <w:color w:val="000000" w:themeColor="text1"/>
        </w:rPr>
        <w:t>bezwaar</w:t>
      </w:r>
      <w:r w:rsidR="00C61C70">
        <w:rPr>
          <w:color w:val="000000" w:themeColor="text1"/>
        </w:rPr>
        <w:t xml:space="preserve"> </w:t>
      </w:r>
      <w:r w:rsidRPr="00B30A2F">
        <w:rPr>
          <w:color w:val="000000" w:themeColor="text1"/>
        </w:rPr>
        <w:t>make</w:t>
      </w:r>
      <w:r w:rsidR="00C61C70">
        <w:rPr>
          <w:color w:val="000000" w:themeColor="text1"/>
        </w:rPr>
        <w:t>n</w:t>
      </w:r>
      <w:r w:rsidRPr="00B30A2F">
        <w:rPr>
          <w:color w:val="000000" w:themeColor="text1"/>
        </w:rPr>
        <w:t>, bedoeld in artikel 1</w:t>
      </w:r>
      <w:r>
        <w:rPr>
          <w:color w:val="000000" w:themeColor="text1"/>
        </w:rPr>
        <w:t>45l</w:t>
      </w:r>
      <w:r w:rsidRPr="00B30A2F">
        <w:rPr>
          <w:color w:val="000000" w:themeColor="text1"/>
        </w:rPr>
        <w:t xml:space="preserve">, </w:t>
      </w:r>
      <w:r>
        <w:rPr>
          <w:color w:val="000000" w:themeColor="text1"/>
        </w:rPr>
        <w:t>tiende</w:t>
      </w:r>
      <w:r w:rsidRPr="00B30A2F">
        <w:rPr>
          <w:color w:val="000000" w:themeColor="text1"/>
        </w:rPr>
        <w:t xml:space="preserve"> lid, daarvan worden uitgezonderd; of</w:t>
      </w:r>
    </w:p>
    <w:p w:rsidR="003F15DC" w:rsidP="003F15DC" w:rsidRDefault="003F15DC" w14:paraId="1348167D" w14:textId="0310E19C">
      <w:pPr>
        <w:rPr>
          <w:color w:val="000000" w:themeColor="text1"/>
        </w:rPr>
      </w:pPr>
      <w:r w:rsidRPr="00B30A2F">
        <w:rPr>
          <w:color w:val="000000" w:themeColor="text1"/>
        </w:rPr>
        <w:t>3°. indien van toepassing, niet overgaan tot de interne collectieve waardeoverdracht als gevolg van een ontbrekende goedkeuring als bedoeld in artikel 1</w:t>
      </w:r>
      <w:r w:rsidR="00565A73">
        <w:rPr>
          <w:color w:val="000000" w:themeColor="text1"/>
        </w:rPr>
        <w:t>45l</w:t>
      </w:r>
      <w:r w:rsidRPr="00B30A2F">
        <w:rPr>
          <w:color w:val="000000" w:themeColor="text1"/>
        </w:rPr>
        <w:t xml:space="preserve">, </w:t>
      </w:r>
      <w:r w:rsidR="00565A73">
        <w:rPr>
          <w:color w:val="000000" w:themeColor="text1"/>
        </w:rPr>
        <w:t>d</w:t>
      </w:r>
      <w:r w:rsidRPr="00B30A2F">
        <w:rPr>
          <w:color w:val="000000" w:themeColor="text1"/>
        </w:rPr>
        <w:t>ertiende lid;</w:t>
      </w:r>
    </w:p>
    <w:p w:rsidRPr="0034157D" w:rsidR="003F15DC" w:rsidP="00B0036B" w:rsidRDefault="003F15DC" w14:paraId="52AF6122" w14:textId="77777777">
      <w:pPr>
        <w:rPr>
          <w:color w:val="000000" w:themeColor="text1"/>
        </w:rPr>
      </w:pPr>
    </w:p>
    <w:p w:rsidRPr="0034157D" w:rsidR="00B0036B" w:rsidP="00B0036B" w:rsidRDefault="00565A73" w14:paraId="6B33C311" w14:textId="311C121F">
      <w:pPr>
        <w:ind w:firstLine="284"/>
        <w:rPr>
          <w:color w:val="000000" w:themeColor="text1"/>
        </w:rPr>
      </w:pPr>
      <w:r>
        <w:rPr>
          <w:color w:val="000000" w:themeColor="text1"/>
        </w:rPr>
        <w:t xml:space="preserve">2. Onder </w:t>
      </w:r>
      <w:r w:rsidRPr="0034157D" w:rsidR="00B0036B">
        <w:rPr>
          <w:color w:val="000000" w:themeColor="text1"/>
        </w:rPr>
        <w:t xml:space="preserve">vervanging van </w:t>
      </w:r>
      <w:r w:rsidR="00604D89">
        <w:rPr>
          <w:color w:val="000000" w:themeColor="text1"/>
        </w:rPr>
        <w:t>“</w:t>
      </w:r>
      <w:r w:rsidRPr="0034157D" w:rsidR="00B0036B">
        <w:rPr>
          <w:color w:val="000000" w:themeColor="text1"/>
        </w:rPr>
        <w:t>; en</w:t>
      </w:r>
      <w:r w:rsidR="00604D89">
        <w:rPr>
          <w:color w:val="000000" w:themeColor="text1"/>
        </w:rPr>
        <w:t>”</w:t>
      </w:r>
      <w:r w:rsidRPr="0034157D" w:rsidR="00B0036B">
        <w:rPr>
          <w:color w:val="000000" w:themeColor="text1"/>
        </w:rPr>
        <w:t xml:space="preserve"> aan het slot van onderdeel g door een puntkomma en onder vervanging van de punt aan het slot van onderdeel h door een puntkomma </w:t>
      </w:r>
      <w:r>
        <w:rPr>
          <w:color w:val="000000" w:themeColor="text1"/>
        </w:rPr>
        <w:t xml:space="preserve">worden </w:t>
      </w:r>
      <w:r w:rsidRPr="0034157D" w:rsidR="00B0036B">
        <w:rPr>
          <w:color w:val="000000" w:themeColor="text1"/>
        </w:rPr>
        <w:t>drie onderdelen toegevoegd, luidende:</w:t>
      </w:r>
    </w:p>
    <w:p w:rsidRPr="0034157D" w:rsidR="00B0036B" w:rsidP="00B0036B" w:rsidRDefault="00B0036B" w14:paraId="3BCF627B" w14:textId="149E45F1">
      <w:pPr>
        <w:ind w:firstLine="284"/>
        <w:rPr>
          <w:color w:val="000000" w:themeColor="text1"/>
        </w:rPr>
      </w:pPr>
      <w:r w:rsidRPr="0034157D">
        <w:rPr>
          <w:color w:val="000000" w:themeColor="text1"/>
        </w:rPr>
        <w:t>i. de wijze waarop de procedure van het individueel bezwaarrecht</w:t>
      </w:r>
      <w:r w:rsidRPr="00F81EE5">
        <w:rPr>
          <w:color w:val="000000" w:themeColor="text1"/>
        </w:rPr>
        <w:t xml:space="preserve"> </w:t>
      </w:r>
      <w:r w:rsidRPr="0034157D">
        <w:rPr>
          <w:color w:val="000000" w:themeColor="text1"/>
        </w:rPr>
        <w:t>dan wel het goedkeuringsrecht, bedoeld in artikel 1</w:t>
      </w:r>
      <w:r>
        <w:rPr>
          <w:color w:val="000000" w:themeColor="text1"/>
        </w:rPr>
        <w:t>45l</w:t>
      </w:r>
      <w:r w:rsidRPr="0034157D">
        <w:rPr>
          <w:color w:val="000000" w:themeColor="text1"/>
        </w:rPr>
        <w:t xml:space="preserve">, </w:t>
      </w:r>
      <w:r w:rsidR="00517F17">
        <w:rPr>
          <w:color w:val="000000" w:themeColor="text1"/>
        </w:rPr>
        <w:t>achtste</w:t>
      </w:r>
      <w:r>
        <w:rPr>
          <w:color w:val="000000" w:themeColor="text1"/>
        </w:rPr>
        <w:t xml:space="preserve"> </w:t>
      </w:r>
      <w:r w:rsidRPr="0034157D">
        <w:rPr>
          <w:color w:val="000000" w:themeColor="text1"/>
        </w:rPr>
        <w:t>lid, wordt vormgegeven</w:t>
      </w:r>
      <w:r>
        <w:rPr>
          <w:color w:val="000000" w:themeColor="text1"/>
        </w:rPr>
        <w:t xml:space="preserve"> en de motivering voor de gekozen procedure</w:t>
      </w:r>
      <w:r w:rsidRPr="0034157D">
        <w:rPr>
          <w:color w:val="000000" w:themeColor="text1"/>
        </w:rPr>
        <w:t>;</w:t>
      </w:r>
    </w:p>
    <w:p w:rsidRPr="0034157D" w:rsidR="00B0036B" w:rsidP="00B0036B" w:rsidRDefault="00B0036B" w14:paraId="1E01D38A" w14:textId="420475AF">
      <w:pPr>
        <w:ind w:firstLine="284"/>
        <w:rPr>
          <w:color w:val="000000" w:themeColor="text1"/>
        </w:rPr>
      </w:pPr>
      <w:r w:rsidRPr="0034157D">
        <w:rPr>
          <w:color w:val="000000" w:themeColor="text1"/>
        </w:rPr>
        <w:t xml:space="preserve">j. de verwachtingen van het </w:t>
      </w:r>
      <w:r w:rsidR="0095783B">
        <w:rPr>
          <w:color w:val="000000" w:themeColor="text1"/>
        </w:rPr>
        <w:t>beroeps</w:t>
      </w:r>
      <w:r w:rsidRPr="0034157D">
        <w:rPr>
          <w:color w:val="000000" w:themeColor="text1"/>
        </w:rPr>
        <w:t>pensioenfonds met betrekking tot de uitkomst van het individueel bezwaarrecht</w:t>
      </w:r>
      <w:r w:rsidRPr="00F81EE5">
        <w:rPr>
          <w:color w:val="000000" w:themeColor="text1"/>
        </w:rPr>
        <w:t xml:space="preserve"> </w:t>
      </w:r>
      <w:r w:rsidRPr="0034157D">
        <w:rPr>
          <w:color w:val="000000" w:themeColor="text1"/>
        </w:rPr>
        <w:t>dan wel het goedkeuringsrecht, bedoeld in artikel 1</w:t>
      </w:r>
      <w:r>
        <w:rPr>
          <w:color w:val="000000" w:themeColor="text1"/>
        </w:rPr>
        <w:t>45l</w:t>
      </w:r>
      <w:r w:rsidRPr="0034157D">
        <w:rPr>
          <w:color w:val="000000" w:themeColor="text1"/>
        </w:rPr>
        <w:t xml:space="preserve">, </w:t>
      </w:r>
      <w:r w:rsidR="00517F17">
        <w:rPr>
          <w:color w:val="000000" w:themeColor="text1"/>
        </w:rPr>
        <w:t>achtste</w:t>
      </w:r>
      <w:r>
        <w:rPr>
          <w:color w:val="000000" w:themeColor="text1"/>
        </w:rPr>
        <w:t xml:space="preserve"> </w:t>
      </w:r>
      <w:r w:rsidRPr="0034157D">
        <w:rPr>
          <w:color w:val="000000" w:themeColor="text1"/>
        </w:rPr>
        <w:t>lid;</w:t>
      </w:r>
      <w:r>
        <w:rPr>
          <w:color w:val="000000" w:themeColor="text1"/>
        </w:rPr>
        <w:t xml:space="preserve"> en</w:t>
      </w:r>
    </w:p>
    <w:p w:rsidRPr="0034157D" w:rsidR="00B0036B" w:rsidP="00B0036B" w:rsidRDefault="00B0036B" w14:paraId="471D1A37" w14:textId="27305E15">
      <w:pPr>
        <w:ind w:firstLine="284"/>
        <w:rPr>
          <w:color w:val="000000" w:themeColor="text1"/>
        </w:rPr>
      </w:pPr>
      <w:r w:rsidRPr="0034157D">
        <w:rPr>
          <w:color w:val="000000" w:themeColor="text1"/>
        </w:rPr>
        <w:t>k. indien van toepassing, de motivering van de evenwichtigheid, bedoeld in artikel 1</w:t>
      </w:r>
      <w:r>
        <w:rPr>
          <w:color w:val="000000" w:themeColor="text1"/>
        </w:rPr>
        <w:t>45l</w:t>
      </w:r>
      <w:r w:rsidRPr="0034157D">
        <w:rPr>
          <w:color w:val="000000" w:themeColor="text1"/>
        </w:rPr>
        <w:t xml:space="preserve">, </w:t>
      </w:r>
      <w:r w:rsidR="00517F17">
        <w:rPr>
          <w:color w:val="000000" w:themeColor="text1"/>
        </w:rPr>
        <w:t>vijf</w:t>
      </w:r>
      <w:r>
        <w:rPr>
          <w:color w:val="000000" w:themeColor="text1"/>
        </w:rPr>
        <w:t xml:space="preserve">tiende </w:t>
      </w:r>
      <w:r w:rsidRPr="0034157D">
        <w:rPr>
          <w:color w:val="000000" w:themeColor="text1"/>
        </w:rPr>
        <w:t>lid.</w:t>
      </w:r>
    </w:p>
    <w:p w:rsidRPr="0034157D" w:rsidR="00B0036B" w:rsidP="00B0036B" w:rsidRDefault="00B0036B" w14:paraId="42839BF4" w14:textId="77777777">
      <w:pPr>
        <w:rPr>
          <w:color w:val="000000" w:themeColor="text1"/>
        </w:rPr>
      </w:pPr>
    </w:p>
    <w:p w:rsidRPr="0034157D" w:rsidR="00B0036B" w:rsidP="00B0036B" w:rsidRDefault="00B0036B" w14:paraId="4E02AFAA" w14:textId="77777777">
      <w:pPr>
        <w:rPr>
          <w:color w:val="000000" w:themeColor="text1"/>
        </w:rPr>
      </w:pPr>
      <w:r w:rsidRPr="0034157D">
        <w:rPr>
          <w:color w:val="000000" w:themeColor="text1"/>
        </w:rPr>
        <w:t>Ab</w:t>
      </w:r>
    </w:p>
    <w:p w:rsidRPr="0034157D" w:rsidR="00B0036B" w:rsidP="00B0036B" w:rsidRDefault="00B0036B" w14:paraId="5819E64C" w14:textId="77777777">
      <w:pPr>
        <w:rPr>
          <w:color w:val="000000" w:themeColor="text1"/>
        </w:rPr>
      </w:pPr>
    </w:p>
    <w:p w:rsidRPr="0034157D" w:rsidR="00B0036B" w:rsidP="00B0036B" w:rsidRDefault="00B0036B" w14:paraId="74A4CDC5" w14:textId="7429E2B3">
      <w:pPr>
        <w:ind w:firstLine="284"/>
        <w:rPr>
          <w:color w:val="000000" w:themeColor="text1"/>
        </w:rPr>
      </w:pPr>
      <w:r w:rsidRPr="0034157D">
        <w:rPr>
          <w:color w:val="000000" w:themeColor="text1"/>
        </w:rPr>
        <w:t>In artikel 1</w:t>
      </w:r>
      <w:r w:rsidR="00517F17">
        <w:rPr>
          <w:color w:val="000000" w:themeColor="text1"/>
        </w:rPr>
        <w:t>45i</w:t>
      </w:r>
      <w:r w:rsidRPr="0034157D">
        <w:rPr>
          <w:color w:val="000000" w:themeColor="text1"/>
        </w:rPr>
        <w:t xml:space="preserve">, tweede lid, onderdeel a, wordt </w:t>
      </w:r>
      <w:r>
        <w:rPr>
          <w:color w:val="000000" w:themeColor="text1"/>
        </w:rPr>
        <w:t>na “pensioenrechten” ingevoegd “</w:t>
      </w:r>
      <w:r w:rsidRPr="0034157D">
        <w:rPr>
          <w:color w:val="000000" w:themeColor="text1"/>
        </w:rPr>
        <w:t>en met de gevolgen van het al dan niet kenbaar maken van bezwaren tegen de interne collectieve waardeoverdracht</w:t>
      </w:r>
      <w:r w:rsidR="00565A73">
        <w:rPr>
          <w:color w:val="000000" w:themeColor="text1"/>
        </w:rPr>
        <w:t xml:space="preserve"> e</w:t>
      </w:r>
      <w:r w:rsidRPr="00E90B64" w:rsidR="00565A73">
        <w:rPr>
          <w:color w:val="000000" w:themeColor="text1"/>
        </w:rPr>
        <w:t>n met de gevolgen van de gevallen, genoemd in artikel 1</w:t>
      </w:r>
      <w:r w:rsidR="00565A73">
        <w:rPr>
          <w:color w:val="000000" w:themeColor="text1"/>
        </w:rPr>
        <w:t>4</w:t>
      </w:r>
      <w:r w:rsidRPr="00E90B64" w:rsidR="00565A73">
        <w:rPr>
          <w:color w:val="000000" w:themeColor="text1"/>
        </w:rPr>
        <w:t>5</w:t>
      </w:r>
      <w:r w:rsidR="00565A73">
        <w:rPr>
          <w:color w:val="000000" w:themeColor="text1"/>
        </w:rPr>
        <w:t>h</w:t>
      </w:r>
      <w:r w:rsidRPr="00E90B64" w:rsidR="00565A73">
        <w:rPr>
          <w:color w:val="000000" w:themeColor="text1"/>
        </w:rPr>
        <w:t>, tweede lid, onderdeel e</w:t>
      </w:r>
      <w:r>
        <w:rPr>
          <w:color w:val="000000" w:themeColor="text1"/>
        </w:rPr>
        <w:t>”</w:t>
      </w:r>
      <w:r w:rsidRPr="0034157D">
        <w:rPr>
          <w:color w:val="000000" w:themeColor="text1"/>
        </w:rPr>
        <w:t xml:space="preserve"> en wordt </w:t>
      </w:r>
      <w:r>
        <w:rPr>
          <w:color w:val="000000" w:themeColor="text1"/>
        </w:rPr>
        <w:t>na “optimistisch scenario” toegevoegd “</w:t>
      </w:r>
      <w:r w:rsidRPr="0034157D">
        <w:rPr>
          <w:color w:val="000000" w:themeColor="text1"/>
        </w:rPr>
        <w:t xml:space="preserve">, met de waarschuwing dat de definitieve hoogte van de te ontvangen pensioenuitkeringen </w:t>
      </w:r>
      <w:r>
        <w:rPr>
          <w:color w:val="000000" w:themeColor="text1"/>
        </w:rPr>
        <w:t xml:space="preserve">kan verschillen van de weergegeven </w:t>
      </w:r>
      <w:r w:rsidRPr="0034157D">
        <w:rPr>
          <w:color w:val="000000" w:themeColor="text1"/>
        </w:rPr>
        <w:t>verwachtingen</w:t>
      </w:r>
      <w:r>
        <w:rPr>
          <w:color w:val="000000" w:themeColor="text1"/>
        </w:rPr>
        <w:t>”</w:t>
      </w:r>
      <w:r w:rsidRPr="0034157D">
        <w:rPr>
          <w:color w:val="000000" w:themeColor="text1"/>
        </w:rPr>
        <w:t>.</w:t>
      </w:r>
    </w:p>
    <w:p w:rsidRPr="0034157D" w:rsidR="00B0036B" w:rsidP="00B0036B" w:rsidRDefault="00B0036B" w14:paraId="7176E870" w14:textId="77777777">
      <w:pPr>
        <w:rPr>
          <w:color w:val="000000" w:themeColor="text1"/>
        </w:rPr>
      </w:pPr>
    </w:p>
    <w:p w:rsidR="00B0036B" w:rsidP="00B0036B" w:rsidRDefault="00B0036B" w14:paraId="79C003D9" w14:textId="77777777">
      <w:pPr>
        <w:rPr>
          <w:color w:val="000000" w:themeColor="text1"/>
        </w:rPr>
      </w:pPr>
      <w:r w:rsidRPr="0034157D">
        <w:rPr>
          <w:color w:val="000000" w:themeColor="text1"/>
        </w:rPr>
        <w:t>Ac</w:t>
      </w:r>
    </w:p>
    <w:p w:rsidR="00B0036B" w:rsidP="00B0036B" w:rsidRDefault="00B0036B" w14:paraId="5660A314" w14:textId="77777777">
      <w:pPr>
        <w:rPr>
          <w:color w:val="000000" w:themeColor="text1"/>
        </w:rPr>
      </w:pPr>
    </w:p>
    <w:p w:rsidR="00565A73" w:rsidP="00B0036B" w:rsidRDefault="00565A73" w14:paraId="09444161" w14:textId="44A7B08C">
      <w:pPr>
        <w:rPr>
          <w:color w:val="000000" w:themeColor="text1"/>
        </w:rPr>
      </w:pPr>
      <w:r>
        <w:rPr>
          <w:color w:val="000000" w:themeColor="text1"/>
        </w:rPr>
        <w:tab/>
        <w:t>Artikel 145k wordt als volgt gewijzigd:</w:t>
      </w:r>
    </w:p>
    <w:p w:rsidR="00565A73" w:rsidP="00B0036B" w:rsidRDefault="00565A73" w14:paraId="1A59114E" w14:textId="4941BC5A">
      <w:pPr>
        <w:rPr>
          <w:color w:val="000000" w:themeColor="text1"/>
        </w:rPr>
      </w:pPr>
      <w:r>
        <w:rPr>
          <w:color w:val="000000" w:themeColor="text1"/>
        </w:rPr>
        <w:tab/>
      </w:r>
    </w:p>
    <w:p w:rsidR="00B0036B" w:rsidP="00B0036B" w:rsidRDefault="00B0036B" w14:paraId="545D0ADC" w14:textId="628E1595">
      <w:pPr>
        <w:rPr>
          <w:color w:val="000000" w:themeColor="text1"/>
        </w:rPr>
      </w:pPr>
      <w:r>
        <w:rPr>
          <w:color w:val="000000" w:themeColor="text1"/>
        </w:rPr>
        <w:tab/>
      </w:r>
      <w:r w:rsidR="00565A73">
        <w:rPr>
          <w:color w:val="000000" w:themeColor="text1"/>
        </w:rPr>
        <w:t xml:space="preserve">1. </w:t>
      </w:r>
      <w:r>
        <w:rPr>
          <w:color w:val="000000" w:themeColor="text1"/>
        </w:rPr>
        <w:t xml:space="preserve">Aan </w:t>
      </w:r>
      <w:r w:rsidR="00565A73">
        <w:rPr>
          <w:color w:val="000000" w:themeColor="text1"/>
        </w:rPr>
        <w:t>het</w:t>
      </w:r>
      <w:r>
        <w:rPr>
          <w:color w:val="000000" w:themeColor="text1"/>
        </w:rPr>
        <w:t xml:space="preserve"> vierde lid wordt onder vervanging van “; of” in onderdeel b door een puntkomma en onder vervanging van de punt in onderdeel c door “</w:t>
      </w:r>
      <w:r w:rsidR="0088365C">
        <w:rPr>
          <w:color w:val="000000" w:themeColor="text1"/>
        </w:rPr>
        <w:t>;</w:t>
      </w:r>
      <w:r>
        <w:rPr>
          <w:color w:val="000000" w:themeColor="text1"/>
        </w:rPr>
        <w:t xml:space="preserve"> of” een onderdeel toegevoegd, luidende:</w:t>
      </w:r>
    </w:p>
    <w:p w:rsidR="00B0036B" w:rsidP="00B0036B" w:rsidRDefault="00B0036B" w14:paraId="10767689" w14:textId="7E406537">
      <w:pPr>
        <w:rPr>
          <w:color w:val="000000" w:themeColor="text1"/>
        </w:rPr>
      </w:pPr>
      <w:r>
        <w:rPr>
          <w:color w:val="000000" w:themeColor="text1"/>
        </w:rPr>
        <w:tab/>
        <w:t>d. geen goedkeuring is verkregen als bedoeld in artikel 1</w:t>
      </w:r>
      <w:r w:rsidR="00517F17">
        <w:rPr>
          <w:color w:val="000000" w:themeColor="text1"/>
        </w:rPr>
        <w:t>45l</w:t>
      </w:r>
      <w:r>
        <w:rPr>
          <w:color w:val="000000" w:themeColor="text1"/>
        </w:rPr>
        <w:t xml:space="preserve">, </w:t>
      </w:r>
      <w:r w:rsidR="0088365C">
        <w:rPr>
          <w:color w:val="000000" w:themeColor="text1"/>
        </w:rPr>
        <w:t>dertiende</w:t>
      </w:r>
      <w:r>
        <w:rPr>
          <w:color w:val="000000" w:themeColor="text1"/>
        </w:rPr>
        <w:t xml:space="preserve"> lid.</w:t>
      </w:r>
    </w:p>
    <w:p w:rsidR="00B0036B" w:rsidP="00B0036B" w:rsidRDefault="00B0036B" w14:paraId="2BAE2CBA" w14:textId="77777777">
      <w:pPr>
        <w:rPr>
          <w:color w:val="000000" w:themeColor="text1"/>
        </w:rPr>
      </w:pPr>
    </w:p>
    <w:p w:rsidR="00565A73" w:rsidP="00565A73" w:rsidRDefault="00565A73" w14:paraId="17333950" w14:textId="4A878DCE">
      <w:pPr>
        <w:rPr>
          <w:color w:val="000000" w:themeColor="text1"/>
        </w:rPr>
      </w:pPr>
      <w:r>
        <w:rPr>
          <w:color w:val="000000" w:themeColor="text1"/>
        </w:rPr>
        <w:tab/>
        <w:t>2. In het vijfde lid wordt na “</w:t>
      </w:r>
      <w:r w:rsidR="00C61C70">
        <w:rPr>
          <w:color w:val="000000" w:themeColor="text1"/>
        </w:rPr>
        <w:t xml:space="preserve">bedoeld in dit </w:t>
      </w:r>
      <w:r>
        <w:rPr>
          <w:color w:val="000000" w:themeColor="text1"/>
        </w:rPr>
        <w:t>artikel,” ingevoegd “of indien er geen goedkeuring is verleend als bedoeld in artikel 145l, dertiende lid,</w:t>
      </w:r>
    </w:p>
    <w:p w:rsidR="00565A73" w:rsidP="00565A73" w:rsidRDefault="00565A73" w14:paraId="232A69D0" w14:textId="77777777">
      <w:pPr>
        <w:rPr>
          <w:color w:val="000000" w:themeColor="text1"/>
        </w:rPr>
      </w:pPr>
    </w:p>
    <w:p w:rsidR="00565A73" w:rsidP="00565A73" w:rsidRDefault="00565A73" w14:paraId="2D2A096F" w14:textId="1D87BE9B">
      <w:pPr>
        <w:rPr>
          <w:color w:val="000000" w:themeColor="text1"/>
        </w:rPr>
      </w:pPr>
      <w:r>
        <w:rPr>
          <w:color w:val="000000" w:themeColor="text1"/>
        </w:rPr>
        <w:tab/>
        <w:t xml:space="preserve">3. In het zevende lid wordt na “145l,” toegevoegd “of voor zover het </w:t>
      </w:r>
      <w:r w:rsidRPr="00B30A2F">
        <w:rPr>
          <w:color w:val="000000" w:themeColor="text1"/>
        </w:rPr>
        <w:t>de</w:t>
      </w:r>
      <w:r>
        <w:rPr>
          <w:color w:val="000000" w:themeColor="text1"/>
        </w:rPr>
        <w:t xml:space="preserve"> pensioenovereenkomsten betreft van de</w:t>
      </w:r>
      <w:r w:rsidR="00C61C70">
        <w:rPr>
          <w:color w:val="000000" w:themeColor="text1"/>
        </w:rPr>
        <w:t xml:space="preserve"> personen die</w:t>
      </w:r>
      <w:r w:rsidRPr="00B30A2F">
        <w:rPr>
          <w:color w:val="000000" w:themeColor="text1"/>
        </w:rPr>
        <w:t xml:space="preserve"> bezwaar</w:t>
      </w:r>
      <w:r w:rsidR="00C61C70">
        <w:rPr>
          <w:color w:val="000000" w:themeColor="text1"/>
        </w:rPr>
        <w:t xml:space="preserve"> </w:t>
      </w:r>
      <w:r w:rsidRPr="00B30A2F">
        <w:rPr>
          <w:color w:val="000000" w:themeColor="text1"/>
        </w:rPr>
        <w:t>make</w:t>
      </w:r>
      <w:r w:rsidR="00C61C70">
        <w:rPr>
          <w:color w:val="000000" w:themeColor="text1"/>
        </w:rPr>
        <w:t>n</w:t>
      </w:r>
      <w:r w:rsidRPr="00B30A2F">
        <w:rPr>
          <w:color w:val="000000" w:themeColor="text1"/>
        </w:rPr>
        <w:t xml:space="preserve">, bedoeld in </w:t>
      </w:r>
      <w:r>
        <w:rPr>
          <w:color w:val="000000" w:themeColor="text1"/>
        </w:rPr>
        <w:t>het tiend lid van dat artikel,”.</w:t>
      </w:r>
      <w:r>
        <w:rPr>
          <w:color w:val="000000" w:themeColor="text1"/>
        </w:rPr>
        <w:tab/>
      </w:r>
    </w:p>
    <w:p w:rsidR="00565A73" w:rsidP="00B0036B" w:rsidRDefault="00565A73" w14:paraId="71453CD1" w14:textId="77777777">
      <w:pPr>
        <w:rPr>
          <w:color w:val="000000" w:themeColor="text1"/>
        </w:rPr>
      </w:pPr>
    </w:p>
    <w:p w:rsidR="00B0036B" w:rsidP="00B0036B" w:rsidRDefault="00B0036B" w14:paraId="53F6B5EF" w14:textId="77777777">
      <w:pPr>
        <w:rPr>
          <w:b/>
          <w:bCs/>
          <w:color w:val="000000" w:themeColor="text1"/>
          <w:u w:val="single"/>
        </w:rPr>
      </w:pPr>
      <w:r>
        <w:rPr>
          <w:color w:val="000000" w:themeColor="text1"/>
        </w:rPr>
        <w:t>Ad</w:t>
      </w:r>
    </w:p>
    <w:p w:rsidRPr="00B956C1" w:rsidR="00B0036B" w:rsidP="00B0036B" w:rsidRDefault="00B0036B" w14:paraId="3AAE6DE9" w14:textId="77777777">
      <w:pPr>
        <w:rPr>
          <w:b/>
          <w:bCs/>
          <w:color w:val="000000" w:themeColor="text1"/>
          <w:u w:val="single"/>
        </w:rPr>
      </w:pPr>
    </w:p>
    <w:p w:rsidRPr="0034157D" w:rsidR="00B0036B" w:rsidP="00604D89" w:rsidRDefault="00604D89" w14:paraId="57C18C01" w14:textId="153509CD">
      <w:pPr>
        <w:ind w:firstLine="284"/>
        <w:rPr>
          <w:color w:val="000000" w:themeColor="text1"/>
        </w:rPr>
      </w:pPr>
      <w:r>
        <w:rPr>
          <w:color w:val="000000" w:themeColor="text1"/>
        </w:rPr>
        <w:t>Na a</w:t>
      </w:r>
      <w:r w:rsidRPr="0034157D" w:rsidR="00B0036B">
        <w:rPr>
          <w:color w:val="000000" w:themeColor="text1"/>
        </w:rPr>
        <w:t>rtikel 1</w:t>
      </w:r>
      <w:r w:rsidR="00517F17">
        <w:rPr>
          <w:color w:val="000000" w:themeColor="text1"/>
        </w:rPr>
        <w:t>45l</w:t>
      </w:r>
      <w:r>
        <w:rPr>
          <w:color w:val="000000" w:themeColor="text1"/>
        </w:rPr>
        <w:t xml:space="preserve">, </w:t>
      </w:r>
      <w:r w:rsidRPr="4F1579BB" w:rsidR="00517F17">
        <w:rPr>
          <w:color w:val="000000" w:themeColor="text1"/>
        </w:rPr>
        <w:t>zevende</w:t>
      </w:r>
      <w:r w:rsidRPr="4F1579BB" w:rsidR="00B0036B">
        <w:rPr>
          <w:color w:val="000000" w:themeColor="text1"/>
        </w:rPr>
        <w:t xml:space="preserve"> lid worden, onder vernummering van het </w:t>
      </w:r>
      <w:r w:rsidRPr="4F1579BB" w:rsidR="00517F17">
        <w:rPr>
          <w:color w:val="000000" w:themeColor="text1"/>
        </w:rPr>
        <w:t xml:space="preserve">achtste en negende </w:t>
      </w:r>
      <w:r w:rsidRPr="4F1579BB" w:rsidR="00B0036B">
        <w:rPr>
          <w:color w:val="000000" w:themeColor="text1"/>
        </w:rPr>
        <w:t>lid tot ze</w:t>
      </w:r>
      <w:r w:rsidRPr="4F1579BB" w:rsidR="00517F17">
        <w:rPr>
          <w:color w:val="000000" w:themeColor="text1"/>
        </w:rPr>
        <w:t>stiende en ze</w:t>
      </w:r>
      <w:r w:rsidRPr="4F1579BB" w:rsidR="00B0036B">
        <w:rPr>
          <w:color w:val="000000" w:themeColor="text1"/>
        </w:rPr>
        <w:t xml:space="preserve">ventiende lid, acht leden ingevoegd luidende: </w:t>
      </w:r>
    </w:p>
    <w:p w:rsidRPr="0034157D" w:rsidR="00B0036B" w:rsidP="00B0036B" w:rsidRDefault="00517F17" w14:paraId="3724D78F" w14:textId="13C09CBE">
      <w:pPr>
        <w:ind w:firstLine="284"/>
        <w:rPr>
          <w:color w:val="000000" w:themeColor="text1"/>
        </w:rPr>
      </w:pPr>
      <w:r>
        <w:rPr>
          <w:color w:val="000000" w:themeColor="text1"/>
        </w:rPr>
        <w:t>8</w:t>
      </w:r>
      <w:r w:rsidRPr="0034157D" w:rsidR="00B0036B">
        <w:rPr>
          <w:color w:val="000000" w:themeColor="text1"/>
        </w:rPr>
        <w:t xml:space="preserve">. Deelnemers, gewezen deelnemers, gewezen partners en pensioengerechtigden kunnen, </w:t>
      </w:r>
      <w:r w:rsidRPr="0034157D" w:rsidR="00B0036B">
        <w:rPr>
          <w:color w:val="000000" w:themeColor="text1"/>
        </w:rPr>
        <w:lastRenderedPageBreak/>
        <w:t xml:space="preserve">overeenkomstig artikel </w:t>
      </w:r>
      <w:r>
        <w:rPr>
          <w:color w:val="000000" w:themeColor="text1"/>
        </w:rPr>
        <w:t>91</w:t>
      </w:r>
      <w:r w:rsidRPr="0034157D" w:rsidR="00B0036B">
        <w:rPr>
          <w:color w:val="000000" w:themeColor="text1"/>
        </w:rPr>
        <w:t xml:space="preserve">, tweede lid, onderdeel a, gedurende een redelijke termijn van ten minste zes weken aansluitend aan het moment van informeren, bedoeld in </w:t>
      </w:r>
      <w:r w:rsidR="00B0036B">
        <w:rPr>
          <w:color w:val="000000" w:themeColor="text1"/>
        </w:rPr>
        <w:t xml:space="preserve">het </w:t>
      </w:r>
      <w:r>
        <w:rPr>
          <w:color w:val="000000" w:themeColor="text1"/>
        </w:rPr>
        <w:t>nege</w:t>
      </w:r>
      <w:r w:rsidR="00B0036B">
        <w:rPr>
          <w:color w:val="000000" w:themeColor="text1"/>
        </w:rPr>
        <w:t>nde lid</w:t>
      </w:r>
      <w:r w:rsidRPr="0034157D" w:rsidR="00B0036B">
        <w:rPr>
          <w:color w:val="000000" w:themeColor="text1"/>
        </w:rPr>
        <w:t>, bij het</w:t>
      </w:r>
      <w:r w:rsidR="0095783B">
        <w:rPr>
          <w:color w:val="000000" w:themeColor="text1"/>
        </w:rPr>
        <w:t xml:space="preserve"> beroeps</w:t>
      </w:r>
      <w:r w:rsidRPr="0034157D" w:rsidR="00B0036B">
        <w:rPr>
          <w:color w:val="000000" w:themeColor="text1"/>
        </w:rPr>
        <w:t xml:space="preserve">pensioenfonds individueel bezwaar kenbaar maken tegen de voorgenomen interne collectieve waardeoverdracht, tenzij het </w:t>
      </w:r>
      <w:r w:rsidR="0095783B">
        <w:rPr>
          <w:color w:val="000000" w:themeColor="text1"/>
        </w:rPr>
        <w:t>beroeps</w:t>
      </w:r>
      <w:r w:rsidRPr="0034157D" w:rsidR="00B0036B">
        <w:rPr>
          <w:color w:val="000000" w:themeColor="text1"/>
        </w:rPr>
        <w:t xml:space="preserve">pensioenfonds aan de deelnemers, gewezen deelnemers, gewezen partners en pensioengerechtigden </w:t>
      </w:r>
      <w:r w:rsidR="00B0036B">
        <w:rPr>
          <w:color w:val="000000" w:themeColor="text1"/>
        </w:rPr>
        <w:t>een goedkeuringsrecht</w:t>
      </w:r>
      <w:r w:rsidRPr="0034157D" w:rsidR="00B0036B">
        <w:rPr>
          <w:color w:val="000000" w:themeColor="text1"/>
        </w:rPr>
        <w:t xml:space="preserve"> biedt</w:t>
      </w:r>
      <w:r w:rsidR="00B0036B">
        <w:rPr>
          <w:color w:val="000000" w:themeColor="text1"/>
        </w:rPr>
        <w:t xml:space="preserve"> als </w:t>
      </w:r>
      <w:r w:rsidRPr="0034157D" w:rsidR="00B0036B">
        <w:rPr>
          <w:color w:val="000000" w:themeColor="text1"/>
        </w:rPr>
        <w:t xml:space="preserve">bedoeld in </w:t>
      </w:r>
      <w:r w:rsidR="00B0036B">
        <w:rPr>
          <w:color w:val="000000" w:themeColor="text1"/>
        </w:rPr>
        <w:t xml:space="preserve">het </w:t>
      </w:r>
      <w:r>
        <w:rPr>
          <w:color w:val="000000" w:themeColor="text1"/>
        </w:rPr>
        <w:t>elf</w:t>
      </w:r>
      <w:r w:rsidR="00B0036B">
        <w:rPr>
          <w:color w:val="000000" w:themeColor="text1"/>
        </w:rPr>
        <w:t xml:space="preserve">de </w:t>
      </w:r>
      <w:r w:rsidRPr="0034157D" w:rsidR="00B0036B">
        <w:rPr>
          <w:color w:val="000000" w:themeColor="text1"/>
        </w:rPr>
        <w:t>lid.</w:t>
      </w:r>
    </w:p>
    <w:p w:rsidRPr="0034157D" w:rsidR="00B0036B" w:rsidP="00B0036B" w:rsidRDefault="00517F17" w14:paraId="1B6E5095" w14:textId="2EB383BA">
      <w:pPr>
        <w:ind w:firstLine="284"/>
        <w:rPr>
          <w:color w:val="000000" w:themeColor="text1"/>
        </w:rPr>
      </w:pPr>
      <w:r>
        <w:rPr>
          <w:color w:val="000000" w:themeColor="text1"/>
        </w:rPr>
        <w:t>9</w:t>
      </w:r>
      <w:r w:rsidRPr="0034157D" w:rsidR="00B0036B">
        <w:rPr>
          <w:color w:val="000000" w:themeColor="text1"/>
        </w:rPr>
        <w:t>. Het</w:t>
      </w:r>
      <w:r w:rsidR="0095783B">
        <w:rPr>
          <w:color w:val="000000" w:themeColor="text1"/>
        </w:rPr>
        <w:t xml:space="preserve"> beroeps</w:t>
      </w:r>
      <w:r w:rsidRPr="0034157D" w:rsidR="00B0036B">
        <w:rPr>
          <w:color w:val="000000" w:themeColor="text1"/>
        </w:rPr>
        <w:t xml:space="preserve">pensioenfonds verstrekt </w:t>
      </w:r>
      <w:r w:rsidR="00B0036B">
        <w:rPr>
          <w:color w:val="000000" w:themeColor="text1"/>
        </w:rPr>
        <w:t>de</w:t>
      </w:r>
      <w:r w:rsidRPr="0034157D" w:rsidR="00B0036B">
        <w:rPr>
          <w:color w:val="000000" w:themeColor="text1"/>
        </w:rPr>
        <w:t xml:space="preserve"> deelnemers, gewezen deelnemers, gewezen partners en pensioengerechtigden overeenkomstig artikel 1</w:t>
      </w:r>
      <w:r>
        <w:rPr>
          <w:color w:val="000000" w:themeColor="text1"/>
        </w:rPr>
        <w:t>45i</w:t>
      </w:r>
      <w:r w:rsidRPr="0034157D" w:rsidR="00B0036B">
        <w:rPr>
          <w:color w:val="000000" w:themeColor="text1"/>
        </w:rPr>
        <w:t xml:space="preserve">, tweede lid, onderdeel a, elektronisch of schriftelijk informatie over het voornemen tot interne collectieve waardeoverdracht. Daarbij geeft het </w:t>
      </w:r>
      <w:r w:rsidR="0095783B">
        <w:rPr>
          <w:color w:val="000000" w:themeColor="text1"/>
        </w:rPr>
        <w:t>beroeps</w:t>
      </w:r>
      <w:r w:rsidRPr="0034157D" w:rsidR="00B0036B">
        <w:rPr>
          <w:color w:val="000000" w:themeColor="text1"/>
        </w:rPr>
        <w:t>pensioenfonds aan de deelnemers, gewezen deelnemers, gewezen partners en pensioengerechtigden</w:t>
      </w:r>
      <w:r w:rsidRPr="0034157D" w:rsidR="00B0036B">
        <w:rPr>
          <w:rStyle w:val="Verwijzingopmerking"/>
          <w:rFonts w:eastAsiaTheme="minorHAnsi" w:cstheme="minorBidi"/>
          <w:color w:val="000000" w:themeColor="text1"/>
          <w:lang w:eastAsia="en-US"/>
        </w:rPr>
        <w:t xml:space="preserve"> </w:t>
      </w:r>
      <w:r w:rsidRPr="0034157D" w:rsidR="00B0036B">
        <w:rPr>
          <w:color w:val="000000" w:themeColor="text1"/>
        </w:rPr>
        <w:t xml:space="preserve">tevens de mogelijkheid om bezwaren tegen deze voorgenomen waardeoverdracht bij het </w:t>
      </w:r>
      <w:r w:rsidR="0095783B">
        <w:rPr>
          <w:color w:val="000000" w:themeColor="text1"/>
        </w:rPr>
        <w:t>beroeps</w:t>
      </w:r>
      <w:r w:rsidRPr="0034157D" w:rsidR="00B0036B">
        <w:rPr>
          <w:color w:val="000000" w:themeColor="text1"/>
        </w:rPr>
        <w:t>pensioenfonds kenbaar te maken, dan wel</w:t>
      </w:r>
      <w:r w:rsidR="00B0036B">
        <w:rPr>
          <w:color w:val="000000" w:themeColor="text1"/>
        </w:rPr>
        <w:t xml:space="preserve">, indien het </w:t>
      </w:r>
      <w:r w:rsidR="0095783B">
        <w:rPr>
          <w:color w:val="000000" w:themeColor="text1"/>
        </w:rPr>
        <w:t>beroeps</w:t>
      </w:r>
      <w:r w:rsidR="00B0036B">
        <w:rPr>
          <w:color w:val="000000" w:themeColor="text1"/>
        </w:rPr>
        <w:t>pensioenfonds heeft gekozen voor</w:t>
      </w:r>
      <w:r w:rsidRPr="0034157D" w:rsidR="00B0036B">
        <w:rPr>
          <w:color w:val="000000" w:themeColor="text1"/>
        </w:rPr>
        <w:t xml:space="preserve"> het goedkeuringsrecht</w:t>
      </w:r>
      <w:r w:rsidR="00B0036B">
        <w:rPr>
          <w:color w:val="000000" w:themeColor="text1"/>
        </w:rPr>
        <w:t xml:space="preserve">, bedoeld in het </w:t>
      </w:r>
      <w:r>
        <w:rPr>
          <w:color w:val="000000" w:themeColor="text1"/>
        </w:rPr>
        <w:t>elf</w:t>
      </w:r>
      <w:r w:rsidR="00B0036B">
        <w:rPr>
          <w:color w:val="000000" w:themeColor="text1"/>
        </w:rPr>
        <w:t xml:space="preserve">de lid, </w:t>
      </w:r>
      <w:r w:rsidR="0088365C">
        <w:rPr>
          <w:color w:val="000000" w:themeColor="text1"/>
        </w:rPr>
        <w:t xml:space="preserve">de mogelijkheid </w:t>
      </w:r>
      <w:r w:rsidR="00B0036B">
        <w:rPr>
          <w:color w:val="000000" w:themeColor="text1"/>
        </w:rPr>
        <w:t>hiervan gebruik te maken</w:t>
      </w:r>
      <w:r w:rsidRPr="0034157D" w:rsidR="00B0036B">
        <w:rPr>
          <w:color w:val="000000" w:themeColor="text1"/>
        </w:rPr>
        <w:t>.</w:t>
      </w:r>
    </w:p>
    <w:p w:rsidRPr="0034157D" w:rsidR="00B0036B" w:rsidP="00B0036B" w:rsidRDefault="00B0036B" w14:paraId="7216307A" w14:textId="70468902">
      <w:pPr>
        <w:ind w:firstLine="284"/>
        <w:rPr>
          <w:color w:val="000000" w:themeColor="text1"/>
        </w:rPr>
      </w:pPr>
      <w:r>
        <w:rPr>
          <w:color w:val="000000" w:themeColor="text1"/>
        </w:rPr>
        <w:t>1</w:t>
      </w:r>
      <w:r w:rsidR="00517F17">
        <w:rPr>
          <w:color w:val="000000" w:themeColor="text1"/>
        </w:rPr>
        <w:t>0</w:t>
      </w:r>
      <w:r w:rsidRPr="0034157D">
        <w:rPr>
          <w:color w:val="000000" w:themeColor="text1"/>
        </w:rPr>
        <w:t>. De pensioenaanspraken en pensioenrechten van deelnemers, gewezen deelnemers, gewezen partners en pensioengerechtigden die bezwaren kenbaar hebben gemaakt</w:t>
      </w:r>
      <w:r>
        <w:rPr>
          <w:color w:val="000000" w:themeColor="text1"/>
        </w:rPr>
        <w:t xml:space="preserve"> als bedoeld in het </w:t>
      </w:r>
      <w:r w:rsidR="00517F17">
        <w:rPr>
          <w:color w:val="000000" w:themeColor="text1"/>
        </w:rPr>
        <w:t>negen</w:t>
      </w:r>
      <w:r>
        <w:rPr>
          <w:color w:val="000000" w:themeColor="text1"/>
        </w:rPr>
        <w:t>de lid</w:t>
      </w:r>
      <w:r w:rsidRPr="0034157D">
        <w:rPr>
          <w:color w:val="000000" w:themeColor="text1"/>
        </w:rPr>
        <w:t>, worden niet in de interne collectieve waardeoverdracht betrokken. Het vermogen dat niet wordt betrokken in de waardeoverdracht, wordt vastgesteld op basis van de technische voorziening van de pensioenaanspraken en pensioenrechten vermenigvuldigd met de dekkingsgraad op of direct voorafgaand aan het tijdstip van deze waardeoverdracht.</w:t>
      </w:r>
      <w:r>
        <w:rPr>
          <w:color w:val="000000" w:themeColor="text1"/>
        </w:rPr>
        <w:t xml:space="preserve"> </w:t>
      </w:r>
    </w:p>
    <w:p w:rsidRPr="0034157D" w:rsidR="00B0036B" w:rsidP="00B0036B" w:rsidRDefault="00B0036B" w14:paraId="584EBC0B" w14:textId="59103200">
      <w:pPr>
        <w:ind w:firstLine="284"/>
        <w:rPr>
          <w:color w:val="000000" w:themeColor="text1"/>
        </w:rPr>
      </w:pPr>
      <w:r>
        <w:rPr>
          <w:color w:val="000000" w:themeColor="text1"/>
        </w:rPr>
        <w:t>1</w:t>
      </w:r>
      <w:r w:rsidR="00517F17">
        <w:rPr>
          <w:color w:val="000000" w:themeColor="text1"/>
        </w:rPr>
        <w:t>1</w:t>
      </w:r>
      <w:r>
        <w:rPr>
          <w:color w:val="000000" w:themeColor="text1"/>
        </w:rPr>
        <w:t xml:space="preserve">. </w:t>
      </w:r>
      <w:r w:rsidRPr="0034157D">
        <w:rPr>
          <w:color w:val="000000" w:themeColor="text1"/>
        </w:rPr>
        <w:t xml:space="preserve">Een </w:t>
      </w:r>
      <w:r w:rsidR="0095783B">
        <w:rPr>
          <w:color w:val="000000" w:themeColor="text1"/>
        </w:rPr>
        <w:t>beroeps</w:t>
      </w:r>
      <w:r w:rsidRPr="0034157D">
        <w:rPr>
          <w:color w:val="000000" w:themeColor="text1"/>
        </w:rPr>
        <w:t>pensioenfonds kan</w:t>
      </w:r>
      <w:r>
        <w:rPr>
          <w:color w:val="000000" w:themeColor="text1"/>
        </w:rPr>
        <w:t xml:space="preserve"> gemotiveerd,</w:t>
      </w:r>
      <w:r w:rsidRPr="0034157D">
        <w:rPr>
          <w:color w:val="000000" w:themeColor="text1"/>
        </w:rPr>
        <w:t xml:space="preserve"> in plaats van </w:t>
      </w:r>
      <w:r>
        <w:rPr>
          <w:color w:val="000000" w:themeColor="text1"/>
        </w:rPr>
        <w:t>de</w:t>
      </w:r>
      <w:r w:rsidRPr="0034157D">
        <w:rPr>
          <w:color w:val="000000" w:themeColor="text1"/>
        </w:rPr>
        <w:t xml:space="preserve"> </w:t>
      </w:r>
      <w:r>
        <w:rPr>
          <w:color w:val="000000" w:themeColor="text1"/>
        </w:rPr>
        <w:t>mogelijk</w:t>
      </w:r>
      <w:r w:rsidRPr="0034157D">
        <w:rPr>
          <w:color w:val="000000" w:themeColor="text1"/>
        </w:rPr>
        <w:t xml:space="preserve">heid </w:t>
      </w:r>
      <w:r>
        <w:rPr>
          <w:color w:val="000000" w:themeColor="text1"/>
        </w:rPr>
        <w:t>om individueel bezwaar te maken,</w:t>
      </w:r>
      <w:r w:rsidRPr="0034157D">
        <w:rPr>
          <w:color w:val="000000" w:themeColor="text1"/>
        </w:rPr>
        <w:t xml:space="preserve"> aan de deelnemers, gewezen deelnemers, gewezen partners en pensioengerechtigden </w:t>
      </w:r>
      <w:r>
        <w:rPr>
          <w:color w:val="000000" w:themeColor="text1"/>
        </w:rPr>
        <w:t xml:space="preserve">een goedkeuringsrecht voor </w:t>
      </w:r>
      <w:r w:rsidRPr="0034157D">
        <w:rPr>
          <w:color w:val="000000" w:themeColor="text1"/>
        </w:rPr>
        <w:t xml:space="preserve">de interne collectieve waardeoverdracht </w:t>
      </w:r>
      <w:r>
        <w:rPr>
          <w:color w:val="000000" w:themeColor="text1"/>
        </w:rPr>
        <w:t>bieden</w:t>
      </w:r>
      <w:r w:rsidRPr="0034157D">
        <w:rPr>
          <w:color w:val="000000" w:themeColor="text1"/>
        </w:rPr>
        <w:t>. In dat geval kunnen de deelnemers, gewezen deelnemers, gewezen partners en pensioengerechtigden hun stem uitbrengen gedurende een redelijke termijn van ten</w:t>
      </w:r>
      <w:r>
        <w:rPr>
          <w:color w:val="000000" w:themeColor="text1"/>
        </w:rPr>
        <w:t xml:space="preserve"> </w:t>
      </w:r>
      <w:r w:rsidRPr="0034157D">
        <w:rPr>
          <w:color w:val="000000" w:themeColor="text1"/>
        </w:rPr>
        <w:t xml:space="preserve">minste zes weken vanaf het moment van informeren, bedoeld in </w:t>
      </w:r>
      <w:r>
        <w:rPr>
          <w:color w:val="000000" w:themeColor="text1"/>
        </w:rPr>
        <w:t xml:space="preserve">het </w:t>
      </w:r>
      <w:r w:rsidR="00517F17">
        <w:rPr>
          <w:color w:val="000000" w:themeColor="text1"/>
        </w:rPr>
        <w:t>negen</w:t>
      </w:r>
      <w:r>
        <w:rPr>
          <w:color w:val="000000" w:themeColor="text1"/>
        </w:rPr>
        <w:t xml:space="preserve">de </w:t>
      </w:r>
      <w:r w:rsidRPr="0034157D">
        <w:rPr>
          <w:color w:val="000000" w:themeColor="text1"/>
        </w:rPr>
        <w:t>lid.</w:t>
      </w:r>
    </w:p>
    <w:p w:rsidRPr="0034157D" w:rsidR="00B0036B" w:rsidP="00B0036B" w:rsidRDefault="00B0036B" w14:paraId="5F90D86C" w14:textId="5D5B160C">
      <w:pPr>
        <w:ind w:firstLine="284"/>
        <w:rPr>
          <w:color w:val="000000" w:themeColor="text1"/>
        </w:rPr>
      </w:pPr>
      <w:r>
        <w:rPr>
          <w:color w:val="000000" w:themeColor="text1"/>
        </w:rPr>
        <w:t>1</w:t>
      </w:r>
      <w:r w:rsidR="00517F17">
        <w:rPr>
          <w:color w:val="000000" w:themeColor="text1"/>
        </w:rPr>
        <w:t>2</w:t>
      </w:r>
      <w:r w:rsidRPr="0034157D">
        <w:rPr>
          <w:color w:val="000000" w:themeColor="text1"/>
        </w:rPr>
        <w:t xml:space="preserve">. Indien het </w:t>
      </w:r>
      <w:r w:rsidR="0095783B">
        <w:rPr>
          <w:color w:val="000000" w:themeColor="text1"/>
        </w:rPr>
        <w:t>beroeps</w:t>
      </w:r>
      <w:r w:rsidRPr="0034157D">
        <w:rPr>
          <w:color w:val="000000" w:themeColor="text1"/>
        </w:rPr>
        <w:t xml:space="preserve">pensioenfonds </w:t>
      </w:r>
      <w:r>
        <w:rPr>
          <w:color w:val="000000" w:themeColor="text1"/>
        </w:rPr>
        <w:t xml:space="preserve">een goedkeuringsrecht voor </w:t>
      </w:r>
      <w:r w:rsidRPr="0034157D">
        <w:rPr>
          <w:color w:val="000000" w:themeColor="text1"/>
        </w:rPr>
        <w:t>de interne collectieve waardeoverdracht</w:t>
      </w:r>
      <w:r>
        <w:rPr>
          <w:color w:val="000000" w:themeColor="text1"/>
        </w:rPr>
        <w:t xml:space="preserve"> biedt, </w:t>
      </w:r>
      <w:r w:rsidRPr="0034157D">
        <w:rPr>
          <w:color w:val="000000" w:themeColor="text1"/>
        </w:rPr>
        <w:t>is de goedkeuring verleend wanneer:</w:t>
      </w:r>
    </w:p>
    <w:p w:rsidRPr="0034157D" w:rsidR="00B0036B" w:rsidP="00B0036B" w:rsidRDefault="00B0036B" w14:paraId="52CB8CB0" w14:textId="77777777">
      <w:pPr>
        <w:ind w:firstLine="284"/>
        <w:rPr>
          <w:color w:val="000000" w:themeColor="text1"/>
        </w:rPr>
      </w:pPr>
      <w:r>
        <w:rPr>
          <w:color w:val="000000" w:themeColor="text1"/>
        </w:rPr>
        <w:t>a</w:t>
      </w:r>
      <w:r w:rsidRPr="0034157D">
        <w:rPr>
          <w:color w:val="000000" w:themeColor="text1"/>
        </w:rPr>
        <w:t xml:space="preserve">. een meerderheid van de deelnemers, gewezen deelnemers, gewezen partners en pensioengerechtigden die hebben gereageerd op een daartoe strekkend schriftelijk of elektronisch verzoek het voorgenomen besluit met betrekking tot de interne collectieve waardeoverdracht heeft goedgekeurd; </w:t>
      </w:r>
      <w:r>
        <w:rPr>
          <w:color w:val="000000" w:themeColor="text1"/>
        </w:rPr>
        <w:t>en</w:t>
      </w:r>
    </w:p>
    <w:p w:rsidRPr="0034157D" w:rsidR="00B0036B" w:rsidP="00B0036B" w:rsidRDefault="00B0036B" w14:paraId="65E11387" w14:textId="08ABBFBA">
      <w:pPr>
        <w:ind w:firstLine="284"/>
        <w:rPr>
          <w:color w:val="000000" w:themeColor="text1"/>
        </w:rPr>
      </w:pPr>
      <w:r>
        <w:rPr>
          <w:color w:val="000000" w:themeColor="text1"/>
        </w:rPr>
        <w:t>b</w:t>
      </w:r>
      <w:r w:rsidRPr="0034157D">
        <w:rPr>
          <w:color w:val="000000" w:themeColor="text1"/>
        </w:rPr>
        <w:t xml:space="preserve">. het aantal personen dat heeft gereageerd op het verzoek, bedoeld onder </w:t>
      </w:r>
      <w:r>
        <w:rPr>
          <w:color w:val="000000" w:themeColor="text1"/>
        </w:rPr>
        <w:t>a</w:t>
      </w:r>
      <w:r w:rsidRPr="0034157D">
        <w:rPr>
          <w:color w:val="000000" w:themeColor="text1"/>
        </w:rPr>
        <w:t>, minimaal dertig procent vertegenwoordigt van alle bij de interne collectieve waardeoverdracht betrokken deelnemers, gewezen deelnemers, gewezen partners en pensioengerechtigden, ongeacht de waarde die de betreffende deelnemers, gewezen deelnemers, gewezen partners en pensioengerechtigden vertegenwoordigen.</w:t>
      </w:r>
    </w:p>
    <w:p w:rsidRPr="0049445E" w:rsidR="00565A73" w:rsidP="00565A73" w:rsidRDefault="00B0036B" w14:paraId="70E1F549" w14:textId="6B3EAA53">
      <w:pPr>
        <w:ind w:firstLine="284"/>
        <w:rPr>
          <w:color w:val="000000" w:themeColor="text1"/>
        </w:rPr>
      </w:pPr>
      <w:r>
        <w:rPr>
          <w:color w:val="000000" w:themeColor="text1"/>
        </w:rPr>
        <w:t>1</w:t>
      </w:r>
      <w:r w:rsidR="00517F17">
        <w:rPr>
          <w:color w:val="000000" w:themeColor="text1"/>
        </w:rPr>
        <w:t>3</w:t>
      </w:r>
      <w:r w:rsidRPr="0034157D">
        <w:rPr>
          <w:color w:val="000000" w:themeColor="text1"/>
        </w:rPr>
        <w:t>. Wanneer aan de voorwaarden</w:t>
      </w:r>
      <w:r>
        <w:rPr>
          <w:color w:val="000000" w:themeColor="text1"/>
        </w:rPr>
        <w:t>,</w:t>
      </w:r>
      <w:r w:rsidRPr="0034157D">
        <w:rPr>
          <w:color w:val="000000" w:themeColor="text1"/>
        </w:rPr>
        <w:t xml:space="preserve"> bedoeld in </w:t>
      </w:r>
      <w:r>
        <w:rPr>
          <w:color w:val="000000" w:themeColor="text1"/>
        </w:rPr>
        <w:t xml:space="preserve">het </w:t>
      </w:r>
      <w:r w:rsidR="00517F17">
        <w:rPr>
          <w:color w:val="000000" w:themeColor="text1"/>
        </w:rPr>
        <w:t>twaalf</w:t>
      </w:r>
      <w:r>
        <w:rPr>
          <w:color w:val="000000" w:themeColor="text1"/>
        </w:rPr>
        <w:t>de lid,</w:t>
      </w:r>
      <w:r w:rsidRPr="0034157D">
        <w:rPr>
          <w:color w:val="000000" w:themeColor="text1"/>
        </w:rPr>
        <w:t xml:space="preserve"> niet is voldaan</w:t>
      </w:r>
      <w:r w:rsidR="006A4105">
        <w:rPr>
          <w:color w:val="000000" w:themeColor="text1"/>
        </w:rPr>
        <w:t>,</w:t>
      </w:r>
      <w:r w:rsidRPr="0034157D">
        <w:rPr>
          <w:color w:val="000000" w:themeColor="text1"/>
        </w:rPr>
        <w:t xml:space="preserve"> is de goedkeuring niet verleend en wordt niet overgegaan tot interne collectieve waardeoverdracht.</w:t>
      </w:r>
      <w:r>
        <w:rPr>
          <w:color w:val="000000" w:themeColor="text1"/>
        </w:rPr>
        <w:t xml:space="preserve"> </w:t>
      </w:r>
      <w:r w:rsidRPr="0049445E" w:rsidR="00565A73">
        <w:rPr>
          <w:color w:val="000000" w:themeColor="text1"/>
        </w:rPr>
        <w:t xml:space="preserve">Of de goedkeuring al dan niet is verleend, wordt </w:t>
      </w:r>
      <w:r w:rsidRPr="0034157D" w:rsidR="00565A73">
        <w:rPr>
          <w:color w:val="000000" w:themeColor="text1"/>
        </w:rPr>
        <w:t>uiterlijk vier weken voor de beoogde datum van deze waardeoverdracht elektronisch gemeld</w:t>
      </w:r>
      <w:r w:rsidRPr="0049445E" w:rsidR="00565A73">
        <w:rPr>
          <w:color w:val="000000" w:themeColor="text1"/>
        </w:rPr>
        <w:t xml:space="preserve"> aan de toezichthouder.</w:t>
      </w:r>
    </w:p>
    <w:p w:rsidRPr="0034157D" w:rsidR="00B0036B" w:rsidP="00B0036B" w:rsidRDefault="00B0036B" w14:paraId="36DB2867" w14:textId="0DA3E951">
      <w:pPr>
        <w:ind w:firstLine="284"/>
        <w:rPr>
          <w:color w:val="000000" w:themeColor="text1"/>
        </w:rPr>
      </w:pPr>
      <w:r>
        <w:rPr>
          <w:color w:val="000000" w:themeColor="text1"/>
        </w:rPr>
        <w:t>1</w:t>
      </w:r>
      <w:r w:rsidR="00517F17">
        <w:rPr>
          <w:color w:val="000000" w:themeColor="text1"/>
        </w:rPr>
        <w:t>4</w:t>
      </w:r>
      <w:r w:rsidRPr="0034157D">
        <w:rPr>
          <w:color w:val="000000" w:themeColor="text1"/>
        </w:rPr>
        <w:t xml:space="preserve">. </w:t>
      </w:r>
      <w:r w:rsidRPr="00434B57">
        <w:rPr>
          <w:color w:val="000000" w:themeColor="text1"/>
        </w:rPr>
        <w:t xml:space="preserve">Artikel </w:t>
      </w:r>
      <w:r w:rsidR="00517F17">
        <w:rPr>
          <w:color w:val="000000" w:themeColor="text1"/>
        </w:rPr>
        <w:t>59</w:t>
      </w:r>
      <w:r w:rsidRPr="00434B57">
        <w:rPr>
          <w:color w:val="000000" w:themeColor="text1"/>
        </w:rPr>
        <w:t>a is van overeenkomstige toepassing bij het maken van een keuze binnen</w:t>
      </w:r>
      <w:r w:rsidR="0088365C">
        <w:rPr>
          <w:color w:val="000000" w:themeColor="text1"/>
        </w:rPr>
        <w:t xml:space="preserve"> de procedure van</w:t>
      </w:r>
      <w:r w:rsidRPr="00434B57">
        <w:rPr>
          <w:color w:val="000000" w:themeColor="text1"/>
        </w:rPr>
        <w:t xml:space="preserve"> bezwaarrecht dan wel goedkeuringsrecht</w:t>
      </w:r>
      <w:r w:rsidR="0088365C">
        <w:rPr>
          <w:color w:val="000000" w:themeColor="text1"/>
        </w:rPr>
        <w:t>, genoemd in dit artikel</w:t>
      </w:r>
      <w:r w:rsidRPr="00434B57">
        <w:rPr>
          <w:color w:val="000000" w:themeColor="text1"/>
        </w:rPr>
        <w:t>.</w:t>
      </w:r>
    </w:p>
    <w:p w:rsidRPr="0034157D" w:rsidR="00B0036B" w:rsidP="00B0036B" w:rsidRDefault="00B0036B" w14:paraId="10A9BA68" w14:textId="67522967">
      <w:pPr>
        <w:ind w:firstLine="284"/>
        <w:rPr>
          <w:color w:val="000000" w:themeColor="text1"/>
        </w:rPr>
      </w:pPr>
      <w:r>
        <w:rPr>
          <w:color w:val="000000" w:themeColor="text1"/>
        </w:rPr>
        <w:t>1</w:t>
      </w:r>
      <w:r w:rsidR="00517F17">
        <w:rPr>
          <w:color w:val="000000" w:themeColor="text1"/>
        </w:rPr>
        <w:t>5</w:t>
      </w:r>
      <w:r w:rsidRPr="0034157D">
        <w:rPr>
          <w:color w:val="000000" w:themeColor="text1"/>
        </w:rPr>
        <w:t xml:space="preserve">. Het </w:t>
      </w:r>
      <w:r w:rsidR="0095783B">
        <w:rPr>
          <w:color w:val="000000" w:themeColor="text1"/>
        </w:rPr>
        <w:t>beroeps</w:t>
      </w:r>
      <w:r w:rsidRPr="0034157D">
        <w:rPr>
          <w:color w:val="000000" w:themeColor="text1"/>
        </w:rPr>
        <w:t xml:space="preserve">pensioenfonds kan het vermogen dat overeenkomstig </w:t>
      </w:r>
      <w:r>
        <w:rPr>
          <w:color w:val="000000" w:themeColor="text1"/>
        </w:rPr>
        <w:t xml:space="preserve">het </w:t>
      </w:r>
      <w:r w:rsidR="0095783B">
        <w:rPr>
          <w:color w:val="000000" w:themeColor="text1"/>
        </w:rPr>
        <w:t>tien</w:t>
      </w:r>
      <w:r>
        <w:rPr>
          <w:color w:val="000000" w:themeColor="text1"/>
        </w:rPr>
        <w:t xml:space="preserve">de of </w:t>
      </w:r>
      <w:r w:rsidR="0095783B">
        <w:rPr>
          <w:color w:val="000000" w:themeColor="text1"/>
        </w:rPr>
        <w:t>der</w:t>
      </w:r>
      <w:r>
        <w:rPr>
          <w:color w:val="000000" w:themeColor="text1"/>
        </w:rPr>
        <w:t xml:space="preserve">tiende </w:t>
      </w:r>
      <w:r w:rsidRPr="0034157D">
        <w:rPr>
          <w:color w:val="000000" w:themeColor="text1"/>
        </w:rPr>
        <w:t>lid niet wordt betrokken in de interne collectieve waardeoverdracht verminderen met een bedrag dat wordt aangewend voor de compensatie van deelnemers, mits dit evenwichtig is.</w:t>
      </w:r>
    </w:p>
    <w:p w:rsidR="00B0036B" w:rsidP="00B0036B" w:rsidRDefault="00B0036B" w14:paraId="5A60EA17" w14:textId="77777777"/>
    <w:p w:rsidRPr="009F4021" w:rsidR="00565A73" w:rsidP="00565A73" w:rsidRDefault="00565A73" w14:paraId="0C6A9E1D" w14:textId="3ABCA0AB">
      <w:r>
        <w:t>VII</w:t>
      </w:r>
    </w:p>
    <w:p w:rsidR="00565A73" w:rsidP="00565A73" w:rsidRDefault="00565A73" w14:paraId="71408018" w14:textId="77777777">
      <w:pPr>
        <w:rPr>
          <w:color w:val="000000" w:themeColor="text1"/>
        </w:rPr>
      </w:pPr>
    </w:p>
    <w:p w:rsidR="00565A73" w:rsidP="00565A73" w:rsidRDefault="00565A73" w14:paraId="527F1673" w14:textId="042B0EBA">
      <w:pPr>
        <w:rPr>
          <w:color w:val="000000" w:themeColor="text1"/>
        </w:rPr>
      </w:pPr>
      <w:r>
        <w:rPr>
          <w:color w:val="000000" w:themeColor="text1"/>
        </w:rPr>
        <w:tab/>
        <w:t>Na artikel IV, onderdeel C, aanhef, wordt een onderdeel ingevoegd, luidende:</w:t>
      </w:r>
    </w:p>
    <w:p w:rsidR="00565A73" w:rsidP="00565A73" w:rsidRDefault="00565A73" w14:paraId="708D0BD2" w14:textId="77777777">
      <w:pPr>
        <w:rPr>
          <w:color w:val="000000" w:themeColor="text1"/>
        </w:rPr>
      </w:pPr>
    </w:p>
    <w:p w:rsidR="00565A73" w:rsidP="00565A73" w:rsidRDefault="00665606" w14:paraId="6E0B7385" w14:textId="77B27F37">
      <w:pPr>
        <w:ind w:firstLine="284"/>
        <w:rPr>
          <w:color w:val="000000" w:themeColor="text1"/>
        </w:rPr>
      </w:pPr>
      <w:r>
        <w:rPr>
          <w:color w:val="000000" w:themeColor="text1"/>
        </w:rPr>
        <w:t>0</w:t>
      </w:r>
      <w:r w:rsidR="00565A73">
        <w:rPr>
          <w:color w:val="000000" w:themeColor="text1"/>
        </w:rPr>
        <w:t>1. In het eerste lid wordt na “plaatsvindt,” ingevoegd “of, indien geen goedkeuring is verleend als bedoeld in artikel 145l, dertiende lid, plaats zou vinden”.</w:t>
      </w:r>
    </w:p>
    <w:p w:rsidR="00565A73" w:rsidP="00B0036B" w:rsidRDefault="00565A73" w14:paraId="3022A780" w14:textId="77777777"/>
    <w:p w:rsidR="00B0036B" w:rsidP="00B0036B" w:rsidRDefault="00565A73" w14:paraId="53016B0B" w14:textId="560B530C">
      <w:r>
        <w:t>VIII</w:t>
      </w:r>
    </w:p>
    <w:p w:rsidR="00B0036B" w:rsidP="00B0036B" w:rsidRDefault="00B0036B" w14:paraId="7874540B" w14:textId="77777777"/>
    <w:p w:rsidR="00B0036B" w:rsidP="00B0036B" w:rsidRDefault="00B0036B" w14:paraId="21C91C0A" w14:textId="2322C15B">
      <w:r>
        <w:tab/>
        <w:t>Aan artikel I</w:t>
      </w:r>
      <w:r w:rsidR="0095783B">
        <w:t>V</w:t>
      </w:r>
      <w:r>
        <w:t xml:space="preserve"> wordt een onderdeel toegevoegd luidende:</w:t>
      </w:r>
    </w:p>
    <w:p w:rsidR="00B0036B" w:rsidP="00B0036B" w:rsidRDefault="00B0036B" w14:paraId="3B4570CB" w14:textId="77777777"/>
    <w:p w:rsidR="00B0036B" w:rsidP="00B0036B" w:rsidRDefault="00B0036B" w14:paraId="7204E852" w14:textId="77777777">
      <w:r>
        <w:lastRenderedPageBreak/>
        <w:t>I</w:t>
      </w:r>
    </w:p>
    <w:p w:rsidR="00770A2B" w:rsidP="00B0036B" w:rsidRDefault="00770A2B" w14:paraId="62DA2AC8" w14:textId="77777777"/>
    <w:p w:rsidR="00770A2B" w:rsidP="00604D89" w:rsidRDefault="00770A2B" w14:paraId="51403230" w14:textId="2C1B304D">
      <w:pPr>
        <w:ind w:firstLine="284"/>
      </w:pPr>
      <w:r>
        <w:t>Na artikel 214g wordt een artikel ingevoegd, luidende:</w:t>
      </w:r>
    </w:p>
    <w:p w:rsidR="00B0036B" w:rsidP="00B0036B" w:rsidRDefault="00B0036B" w14:paraId="4151840E" w14:textId="77777777"/>
    <w:p w:rsidRPr="0034157D" w:rsidR="00B0036B" w:rsidP="00B0036B" w:rsidRDefault="00B0036B" w14:paraId="6F43E712" w14:textId="3A026F97">
      <w:pPr>
        <w:rPr>
          <w:b/>
          <w:bCs/>
          <w:color w:val="000000" w:themeColor="text1"/>
        </w:rPr>
      </w:pPr>
      <w:r w:rsidRPr="0034157D">
        <w:rPr>
          <w:b/>
          <w:bCs/>
          <w:color w:val="000000" w:themeColor="text1"/>
        </w:rPr>
        <w:t>Artikel 2</w:t>
      </w:r>
      <w:r w:rsidR="0095783B">
        <w:rPr>
          <w:b/>
          <w:bCs/>
          <w:color w:val="000000" w:themeColor="text1"/>
        </w:rPr>
        <w:t>14h</w:t>
      </w:r>
      <w:r w:rsidRPr="0034157D">
        <w:rPr>
          <w:b/>
          <w:bCs/>
          <w:color w:val="000000" w:themeColor="text1"/>
        </w:rPr>
        <w:t xml:space="preserve">. Overgangsrecht individueel bezwaarrecht en goedkeuringsrecht interne waardeoverdracht </w:t>
      </w:r>
    </w:p>
    <w:p w:rsidRPr="0034157D" w:rsidR="00B0036B" w:rsidP="00B0036B" w:rsidRDefault="00B0036B" w14:paraId="1B04A383" w14:textId="77777777">
      <w:pPr>
        <w:rPr>
          <w:color w:val="000000" w:themeColor="text1"/>
        </w:rPr>
      </w:pPr>
    </w:p>
    <w:p w:rsidRPr="0034157D" w:rsidR="00B0036B" w:rsidP="00B0036B" w:rsidRDefault="00B0036B" w14:paraId="1C01A9BD" w14:textId="0B7DCC27">
      <w:pPr>
        <w:ind w:firstLine="284"/>
        <w:rPr>
          <w:color w:val="000000" w:themeColor="text1"/>
        </w:rPr>
      </w:pPr>
      <w:r w:rsidRPr="0034157D">
        <w:rPr>
          <w:color w:val="000000" w:themeColor="text1"/>
        </w:rPr>
        <w:t>1.</w:t>
      </w:r>
      <w:r>
        <w:rPr>
          <w:color w:val="000000" w:themeColor="text1"/>
        </w:rPr>
        <w:t xml:space="preserve"> </w:t>
      </w:r>
      <w:r w:rsidRPr="0034157D">
        <w:rPr>
          <w:color w:val="000000" w:themeColor="text1"/>
        </w:rPr>
        <w:t>De artikelen 1</w:t>
      </w:r>
      <w:r w:rsidR="0095783B">
        <w:rPr>
          <w:color w:val="000000" w:themeColor="text1"/>
        </w:rPr>
        <w:t>45h</w:t>
      </w:r>
      <w:r w:rsidRPr="0034157D">
        <w:rPr>
          <w:color w:val="000000" w:themeColor="text1"/>
        </w:rPr>
        <w:t>, 1</w:t>
      </w:r>
      <w:r w:rsidR="0095783B">
        <w:rPr>
          <w:color w:val="000000" w:themeColor="text1"/>
        </w:rPr>
        <w:t>45i</w:t>
      </w:r>
      <w:r w:rsidR="006A4105">
        <w:rPr>
          <w:color w:val="000000" w:themeColor="text1"/>
        </w:rPr>
        <w:t>, 145k</w:t>
      </w:r>
      <w:r w:rsidR="00665606">
        <w:rPr>
          <w:color w:val="000000" w:themeColor="text1"/>
        </w:rPr>
        <w:t xml:space="preserve">, </w:t>
      </w:r>
      <w:r w:rsidRPr="0034157D">
        <w:rPr>
          <w:color w:val="000000" w:themeColor="text1"/>
        </w:rPr>
        <w:t xml:space="preserve"> 1</w:t>
      </w:r>
      <w:r w:rsidR="0095783B">
        <w:rPr>
          <w:color w:val="000000" w:themeColor="text1"/>
        </w:rPr>
        <w:t>45l</w:t>
      </w:r>
      <w:r w:rsidR="00665606">
        <w:rPr>
          <w:color w:val="000000" w:themeColor="text1"/>
        </w:rPr>
        <w:t xml:space="preserve"> en 145o</w:t>
      </w:r>
      <w:r w:rsidRPr="0034157D">
        <w:rPr>
          <w:color w:val="000000" w:themeColor="text1"/>
        </w:rPr>
        <w:t>, zoals deze luidden onmiddellijk voorafgaand aan het tijdstip van inwerkingtreding van de Wet houdende wijziging van de Pensioenwet, de Wet op de loonbelasting 1964 en enige andere wetten in verband met de verlenging van de transitieperiode naar het nieuwe pensioenstelsel</w:t>
      </w:r>
      <w:r>
        <w:rPr>
          <w:color w:val="000000" w:themeColor="text1"/>
        </w:rPr>
        <w:t xml:space="preserve"> </w:t>
      </w:r>
      <w:r w:rsidRPr="00096056">
        <w:rPr>
          <w:color w:val="000000" w:themeColor="text1"/>
        </w:rPr>
        <w:t>en het waarborgen van zeggenschap bij interne collectieve waardeoverdracht</w:t>
      </w:r>
      <w:r>
        <w:rPr>
          <w:color w:val="000000" w:themeColor="text1"/>
        </w:rPr>
        <w:t xml:space="preserve">, </w:t>
      </w:r>
      <w:r w:rsidRPr="0034157D">
        <w:rPr>
          <w:color w:val="000000" w:themeColor="text1"/>
        </w:rPr>
        <w:t xml:space="preserve">blijven van toepassing voor het </w:t>
      </w:r>
      <w:r w:rsidR="0095783B">
        <w:rPr>
          <w:color w:val="000000" w:themeColor="text1"/>
        </w:rPr>
        <w:t>beroeps</w:t>
      </w:r>
      <w:r w:rsidRPr="0034157D">
        <w:rPr>
          <w:color w:val="000000" w:themeColor="text1"/>
        </w:rPr>
        <w:t>pensioenfonds dat overgaat tot</w:t>
      </w:r>
      <w:r w:rsidR="00320DF0">
        <w:rPr>
          <w:color w:val="000000" w:themeColor="text1"/>
        </w:rPr>
        <w:t xml:space="preserve"> interne</w:t>
      </w:r>
      <w:r w:rsidRPr="0034157D">
        <w:rPr>
          <w:color w:val="000000" w:themeColor="text1"/>
        </w:rPr>
        <w:t xml:space="preserve"> collectieve waardeoverdracht uiterlijk zestig dagen na de datum van uitgifte van het Staatsblad waarin die wet wordt bekendgemaakt.</w:t>
      </w:r>
    </w:p>
    <w:p w:rsidRPr="0034157D" w:rsidR="00B0036B" w:rsidP="00B0036B" w:rsidRDefault="00B0036B" w14:paraId="06D986A3" w14:textId="36F17B9F">
      <w:pPr>
        <w:ind w:firstLine="284"/>
        <w:rPr>
          <w:color w:val="000000" w:themeColor="text1"/>
        </w:rPr>
      </w:pPr>
      <w:r w:rsidRPr="4F1579BB">
        <w:rPr>
          <w:color w:val="000000" w:themeColor="text1"/>
        </w:rPr>
        <w:t xml:space="preserve">2. Indien het implementatieplan met inbegrip van het communicatieplan al is ingediend bij de toezichthouder op of voorafgaand aan het tijdstip van inwerkingtreding van de Wijziging van de Pensioenwet, de Wet op de loonbelasting 1964 en enige andere wetten in verband met de verlenging van de transitieperiode naar het nieuwe pensioenstelsel en het waarborgen van zeggenschap bij interne collectieve waardeoverdracht, legt het </w:t>
      </w:r>
      <w:r w:rsidRPr="4F1579BB" w:rsidR="0095783B">
        <w:rPr>
          <w:color w:val="000000" w:themeColor="text1"/>
        </w:rPr>
        <w:t>beroeps</w:t>
      </w:r>
      <w:r w:rsidRPr="4F1579BB">
        <w:rPr>
          <w:color w:val="000000" w:themeColor="text1"/>
        </w:rPr>
        <w:t>pensioenfonds in een aanvulling op die plannen vast wat in artikel 1</w:t>
      </w:r>
      <w:r w:rsidRPr="4F1579BB" w:rsidR="0095783B">
        <w:rPr>
          <w:color w:val="000000" w:themeColor="text1"/>
        </w:rPr>
        <w:t>45h</w:t>
      </w:r>
      <w:r w:rsidRPr="4F1579BB">
        <w:rPr>
          <w:color w:val="000000" w:themeColor="text1"/>
        </w:rPr>
        <w:t xml:space="preserve">, tweede lid, onderdelen </w:t>
      </w:r>
      <w:r w:rsidR="00924F31">
        <w:rPr>
          <w:color w:val="000000" w:themeColor="text1"/>
        </w:rPr>
        <w:t xml:space="preserve">e, </w:t>
      </w:r>
      <w:r w:rsidRPr="4F1579BB">
        <w:rPr>
          <w:color w:val="000000" w:themeColor="text1"/>
        </w:rPr>
        <w:t>i, j en k, en artikel 1</w:t>
      </w:r>
      <w:r w:rsidRPr="4F1579BB" w:rsidR="0095783B">
        <w:rPr>
          <w:color w:val="000000" w:themeColor="text1"/>
        </w:rPr>
        <w:t>45i</w:t>
      </w:r>
      <w:r w:rsidRPr="4F1579BB">
        <w:rPr>
          <w:color w:val="000000" w:themeColor="text1"/>
        </w:rPr>
        <w:t>, tweede lid, onderdeel a, is beschreven voor zover die plannen nog niet voldoen aan deze bepalingen en het</w:t>
      </w:r>
      <w:r w:rsidRPr="4F1579BB" w:rsidR="0095783B">
        <w:rPr>
          <w:color w:val="000000" w:themeColor="text1"/>
        </w:rPr>
        <w:t xml:space="preserve"> beroeps</w:t>
      </w:r>
      <w:r w:rsidRPr="4F1579BB">
        <w:rPr>
          <w:color w:val="000000" w:themeColor="text1"/>
        </w:rPr>
        <w:t>pensioenfonds overgaat tot interne collectieve waardeoverdracht na de periode van zestig dagen, bedoeld in het eerste lid.</w:t>
      </w:r>
    </w:p>
    <w:p w:rsidR="00B0036B" w:rsidP="00B30A2F" w:rsidRDefault="00B0036B" w14:paraId="1986F6B5" w14:textId="398639D2">
      <w:pPr>
        <w:ind w:firstLine="284"/>
      </w:pPr>
      <w:r w:rsidRPr="0034157D">
        <w:rPr>
          <w:color w:val="000000" w:themeColor="text1"/>
        </w:rPr>
        <w:t xml:space="preserve">3. In afwijking van artikel </w:t>
      </w:r>
      <w:r w:rsidR="00AE3AC5">
        <w:rPr>
          <w:color w:val="000000" w:themeColor="text1"/>
        </w:rPr>
        <w:t>28</w:t>
      </w:r>
      <w:r w:rsidRPr="0034157D">
        <w:rPr>
          <w:color w:val="000000" w:themeColor="text1"/>
        </w:rPr>
        <w:t xml:space="preserve"> kunnen reeds voor het moment van interne collectieve waardeoverdracht, bedoeld in artikel 1</w:t>
      </w:r>
      <w:r w:rsidR="0095783B">
        <w:rPr>
          <w:color w:val="000000" w:themeColor="text1"/>
        </w:rPr>
        <w:t>45l</w:t>
      </w:r>
      <w:r w:rsidRPr="0034157D">
        <w:rPr>
          <w:color w:val="000000" w:themeColor="text1"/>
        </w:rPr>
        <w:t xml:space="preserve">, opgebouwde pensioenaanspraken en pensioenrechten van </w:t>
      </w:r>
      <w:r>
        <w:rPr>
          <w:color w:val="000000" w:themeColor="text1"/>
        </w:rPr>
        <w:t xml:space="preserve">personen die </w:t>
      </w:r>
      <w:r w:rsidRPr="0034157D">
        <w:rPr>
          <w:color w:val="000000" w:themeColor="text1"/>
        </w:rPr>
        <w:t>bezwaar</w:t>
      </w:r>
      <w:r>
        <w:rPr>
          <w:color w:val="000000" w:themeColor="text1"/>
        </w:rPr>
        <w:t xml:space="preserve"> </w:t>
      </w:r>
      <w:r w:rsidRPr="0034157D">
        <w:rPr>
          <w:color w:val="000000" w:themeColor="text1"/>
        </w:rPr>
        <w:t>make</w:t>
      </w:r>
      <w:r>
        <w:rPr>
          <w:color w:val="000000" w:themeColor="text1"/>
        </w:rPr>
        <w:t>n</w:t>
      </w:r>
      <w:r w:rsidRPr="0034157D">
        <w:rPr>
          <w:color w:val="000000" w:themeColor="text1"/>
        </w:rPr>
        <w:t xml:space="preserve"> als bedoeld in artikel 1</w:t>
      </w:r>
      <w:r w:rsidR="0095783B">
        <w:rPr>
          <w:color w:val="000000" w:themeColor="text1"/>
        </w:rPr>
        <w:t>45l</w:t>
      </w:r>
      <w:r w:rsidRPr="0034157D">
        <w:rPr>
          <w:color w:val="000000" w:themeColor="text1"/>
        </w:rPr>
        <w:t xml:space="preserve">, </w:t>
      </w:r>
      <w:r w:rsidR="0095783B">
        <w:rPr>
          <w:color w:val="000000" w:themeColor="text1"/>
        </w:rPr>
        <w:t>achtste</w:t>
      </w:r>
      <w:r>
        <w:rPr>
          <w:color w:val="000000" w:themeColor="text1"/>
        </w:rPr>
        <w:t xml:space="preserve"> lid</w:t>
      </w:r>
      <w:r w:rsidRPr="0034157D">
        <w:rPr>
          <w:color w:val="000000" w:themeColor="text1"/>
        </w:rPr>
        <w:t xml:space="preserve">, worden voortgezet op grond van een </w:t>
      </w:r>
      <w:r w:rsidRPr="0034157D" w:rsidR="00874643">
        <w:rPr>
          <w:color w:val="000000" w:themeColor="text1"/>
        </w:rPr>
        <w:t>uitkerings</w:t>
      </w:r>
      <w:r w:rsidR="00874643">
        <w:rPr>
          <w:color w:val="000000" w:themeColor="text1"/>
        </w:rPr>
        <w:t>regeling</w:t>
      </w:r>
      <w:r w:rsidRPr="0034157D" w:rsidR="00874643">
        <w:rPr>
          <w:color w:val="000000" w:themeColor="text1"/>
        </w:rPr>
        <w:t xml:space="preserve"> </w:t>
      </w:r>
      <w:r w:rsidRPr="0034157D">
        <w:rPr>
          <w:color w:val="000000" w:themeColor="text1"/>
        </w:rPr>
        <w:t xml:space="preserve">als bedoeld in artikel 1, zoals dat artikel luidde op de dag voorafgaand aan het tijdstip van inwerkingtreding van de Wet toekomst pensioenen. De </w:t>
      </w:r>
      <w:r w:rsidR="00AE3AC5">
        <w:rPr>
          <w:color w:val="000000" w:themeColor="text1"/>
        </w:rPr>
        <w:t>beroeps</w:t>
      </w:r>
      <w:r w:rsidRPr="0034157D">
        <w:rPr>
          <w:color w:val="000000" w:themeColor="text1"/>
        </w:rPr>
        <w:t>pensioen</w:t>
      </w:r>
      <w:r w:rsidR="00AE3AC5">
        <w:rPr>
          <w:color w:val="000000" w:themeColor="text1"/>
        </w:rPr>
        <w:t>regeling</w:t>
      </w:r>
      <w:r w:rsidRPr="0034157D">
        <w:rPr>
          <w:color w:val="000000" w:themeColor="text1"/>
        </w:rPr>
        <w:t xml:space="preserve"> kan slechts worden gewijzigd voor zover dit noodzakelijk is om de </w:t>
      </w:r>
      <w:r w:rsidR="00AE3AC5">
        <w:rPr>
          <w:color w:val="000000" w:themeColor="text1"/>
        </w:rPr>
        <w:t>beroeps</w:t>
      </w:r>
      <w:r w:rsidRPr="0034157D">
        <w:rPr>
          <w:color w:val="000000" w:themeColor="text1"/>
        </w:rPr>
        <w:t>pensioen</w:t>
      </w:r>
      <w:r w:rsidR="00AE3AC5">
        <w:rPr>
          <w:color w:val="000000" w:themeColor="text1"/>
        </w:rPr>
        <w:t>regeling</w:t>
      </w:r>
      <w:r w:rsidRPr="0034157D">
        <w:rPr>
          <w:color w:val="000000" w:themeColor="text1"/>
        </w:rPr>
        <w:t xml:space="preserve"> aan een andere pensioenuitvoerder te kunnen overdragen.</w:t>
      </w:r>
    </w:p>
    <w:p w:rsidR="00E47AC4" w:rsidP="00E47AC4" w:rsidRDefault="00E47AC4" w14:paraId="3052FAE1" w14:textId="77777777">
      <w:r>
        <w:tab/>
      </w:r>
    </w:p>
    <w:p w:rsidR="00B52A23" w:rsidP="00BF623B" w:rsidRDefault="003C21AC" w14:paraId="1133D799" w14:textId="55AEE898">
      <w:r w:rsidRPr="00EA69AC">
        <w:rPr>
          <w:b/>
        </w:rPr>
        <w:t>Toelichting</w:t>
      </w:r>
    </w:p>
    <w:p w:rsidR="00AC52D9" w:rsidP="00BF623B" w:rsidRDefault="00AC52D9" w14:paraId="642E6172" w14:textId="77777777"/>
    <w:p w:rsidRPr="006622EB" w:rsidR="002B67C7" w:rsidP="002B67C7" w:rsidRDefault="002B67C7" w14:paraId="5E50863F" w14:textId="77777777">
      <w:r>
        <w:t>De Wet toekomst pensioenen (</w:t>
      </w:r>
      <w:proofErr w:type="spellStart"/>
      <w:r>
        <w:t>Wtp</w:t>
      </w:r>
      <w:proofErr w:type="spellEnd"/>
      <w:r>
        <w:t xml:space="preserve">) voorziet erin dat nieuwe pensioenopbouw voortaan plaatsvindt in een premieregeling. In een premieregeling bouwen mensen een persoonlijk pensioenvermogen op, vanaf pensioendatum volgt daaruit een ‘variabele’ uitkering, die jaarlijks wordt aangepast afhankelijk van onder meer beleggingsrendementen, rente en de levensverwachting. Het bijzondere bij de overgang naar het nieuwe pensioenstelsel is dat in de </w:t>
      </w:r>
      <w:proofErr w:type="spellStart"/>
      <w:r>
        <w:t>Wtp</w:t>
      </w:r>
      <w:proofErr w:type="spellEnd"/>
      <w:r>
        <w:t xml:space="preserve"> is afgesproken dat ook bestaande ‘vaste’ uitkeringen standaard worden omgezet in ‘variabele’ uitkeringen, ofwel in jargon: dat er wordt ‘ingevaren’. Dit geldt dus ook voor reeds gepensioneerden.</w:t>
      </w:r>
    </w:p>
    <w:p w:rsidRPr="006622EB" w:rsidR="002B67C7" w:rsidP="002B67C7" w:rsidRDefault="002B67C7" w14:paraId="523B0C48" w14:textId="77777777"/>
    <w:p w:rsidRPr="006622EB" w:rsidR="002B67C7" w:rsidP="002B67C7" w:rsidRDefault="002B67C7" w14:paraId="3E53077D" w14:textId="77777777">
      <w:r w:rsidRPr="006622EB">
        <w:t xml:space="preserve">Om dit invaren mogelijk te maken is het individueel bezwaarrecht buiten werking gesteld. Daar is versterkte collectieve medezeggenschap voor in de plaats gekomen, waaronder een </w:t>
      </w:r>
      <w:proofErr w:type="spellStart"/>
      <w:r w:rsidRPr="006622EB">
        <w:t>hoorrecht</w:t>
      </w:r>
      <w:proofErr w:type="spellEnd"/>
      <w:r w:rsidRPr="006622EB">
        <w:t xml:space="preserve"> voor slapers- en gepensioneerdenverenigingen. </w:t>
      </w:r>
    </w:p>
    <w:p w:rsidR="002B67C7" w:rsidP="002B67C7" w:rsidRDefault="002B67C7" w14:paraId="12531E61" w14:textId="77777777"/>
    <w:p w:rsidRPr="006622EB" w:rsidR="002B67C7" w:rsidP="002B67C7" w:rsidRDefault="002B67C7" w14:paraId="19C12C28" w14:textId="77777777">
      <w:r>
        <w:t xml:space="preserve">Al sinds de totstandkoming van de </w:t>
      </w:r>
      <w:proofErr w:type="spellStart"/>
      <w:r>
        <w:t>Wtp</w:t>
      </w:r>
      <w:proofErr w:type="spellEnd"/>
      <w:r>
        <w:t xml:space="preserve"> is het de vraag of het invaren juridisch wel is toegestaan, of dat er mogelijk sprake is van een ongeoorloofde inmenging in het eigendomsrecht. De Tweede Kamer heeft daarom een juridische analyse</w:t>
      </w:r>
      <w:r>
        <w:rPr>
          <w:rStyle w:val="Voetnootmarkering"/>
        </w:rPr>
        <w:footnoteReference w:id="2"/>
      </w:r>
      <w:r>
        <w:t xml:space="preserve"> laten maken om de juridische risico's en mogelijke aansprakelijkheid van het invaren voor de staat, werkgevers en pensioenfondsen in beeld te brengen. En om te kijken wat de risico's van invaren zijn voor het rechtsstelsel en wat de mogelijke omvang van deze risico's is. Dit laatste ook met oog op de uitspraak van de Raad voor de Rechtspraak dat de invoering van de </w:t>
      </w:r>
      <w:proofErr w:type="spellStart"/>
      <w:r>
        <w:t>Wtp</w:t>
      </w:r>
      <w:proofErr w:type="spellEnd"/>
      <w:r>
        <w:t xml:space="preserve"> “tot een aanzienlijke extra belasting van de civiele rechter kan leiden, en in het ergste geval zelfs tot een ontregeling van het civiele rechtspraaksysteem.”</w:t>
      </w:r>
      <w:r>
        <w:rPr>
          <w:rStyle w:val="Voetnootmarkering"/>
        </w:rPr>
        <w:footnoteReference w:id="3"/>
      </w:r>
      <w:r>
        <w:t xml:space="preserve"> </w:t>
      </w:r>
    </w:p>
    <w:p w:rsidR="002B67C7" w:rsidP="002B67C7" w:rsidRDefault="002B67C7" w14:paraId="22C7C7DC" w14:textId="77777777"/>
    <w:p w:rsidRPr="00E10600" w:rsidR="002B67C7" w:rsidP="002B67C7" w:rsidRDefault="002B67C7" w14:paraId="654B07C7" w14:textId="77777777">
      <w:pPr>
        <w:rPr>
          <w:u w:val="single"/>
        </w:rPr>
      </w:pPr>
      <w:r>
        <w:rPr>
          <w:u w:val="single"/>
        </w:rPr>
        <w:t xml:space="preserve">Nieuwe inzichten sinds inwerkingtreding </w:t>
      </w:r>
      <w:proofErr w:type="spellStart"/>
      <w:r>
        <w:rPr>
          <w:u w:val="single"/>
        </w:rPr>
        <w:t>Wtp</w:t>
      </w:r>
      <w:proofErr w:type="spellEnd"/>
      <w:r>
        <w:rPr>
          <w:u w:val="single"/>
        </w:rPr>
        <w:t xml:space="preserve"> op 1 juli 2023</w:t>
      </w:r>
    </w:p>
    <w:p w:rsidRPr="006622EB" w:rsidR="002B67C7" w:rsidP="002B67C7" w:rsidRDefault="002B67C7" w14:paraId="0A765ABA" w14:textId="77777777">
      <w:r>
        <w:t xml:space="preserve">De juridische analyse van 15 oktober 2024 geeft aan dat het buiten werking stellen van het individueel bezwaarrecht afbreuk doet aan wezenlijke inhoud van het pensioenrecht. Volgens de analyse is de burger bij de besluitvorming over het invaren “buitenspel gezet”. Ook stelt de analyse dat de versterkte collectieve medezeggenschap niet kan worden beschouwd als een adequate vervanging. Hierdoor loopt naar het oordeel van de indieners van dit amendement de uitvoering van de wet op dit onderdeel ernstige risico’s, met als mogelijk gevolg schade van enige omvang voor de betrokken deelnemers, gewezen deelnemers, gewezen partners en pensioengerechtigden met betrekking tot hun pensioenuitkering. Daarnaast bestaat het risico dat pas in een later stadium de omvang van de schade kan worden vastgesteld, terwijl dan de kans op het kunnen herstellen daarvan niet groot meer is, immers invaren is een onomkeerbare actie. De analyse stelt verder dat er zeker risico’s zijn dat de rechtspraak onder druk komt te staan en dat het zo maar kan gebeuren dat de rechtspraak wordt overspoeld met een reeks van zaken. </w:t>
      </w:r>
    </w:p>
    <w:p w:rsidRPr="006622EB" w:rsidR="002B67C7" w:rsidP="002B67C7" w:rsidRDefault="002B67C7" w14:paraId="79834797" w14:textId="77777777"/>
    <w:p w:rsidR="002B67C7" w:rsidP="002B67C7" w:rsidRDefault="002B67C7" w14:paraId="3C5E6AA2" w14:textId="77777777">
      <w:r>
        <w:t xml:space="preserve">De Tweede Kamer organiseerde verder in juni 2024 een rondetafelgesprek waarin het </w:t>
      </w:r>
      <w:proofErr w:type="spellStart"/>
      <w:r>
        <w:t>hoorrecht</w:t>
      </w:r>
      <w:proofErr w:type="spellEnd"/>
      <w:r>
        <w:t xml:space="preserve"> voor verenigingen van slapers- en gepensioneerden aan bod kwam. Hieruit bleek dat er bij veel pensioenfondsen helemaal geen </w:t>
      </w:r>
      <w:proofErr w:type="spellStart"/>
      <w:r>
        <w:t>hoorrecht</w:t>
      </w:r>
      <w:proofErr w:type="spellEnd"/>
      <w:r>
        <w:t xml:space="preserve"> heeft plaatsgevonden, </w:t>
      </w:r>
      <w:proofErr w:type="spellStart"/>
      <w:r>
        <w:t>danwel</w:t>
      </w:r>
      <w:proofErr w:type="spellEnd"/>
      <w:r>
        <w:t xml:space="preserve"> dat het </w:t>
      </w:r>
      <w:proofErr w:type="spellStart"/>
      <w:r>
        <w:t>hoorrecht</w:t>
      </w:r>
      <w:proofErr w:type="spellEnd"/>
      <w:r>
        <w:t xml:space="preserve"> vaak niet goed werkt. Op verzoek van de Tweede Kamer is vervolgens nog nader onderzoek</w:t>
      </w:r>
      <w:r>
        <w:rPr>
          <w:rStyle w:val="Voetnootmarkering"/>
        </w:rPr>
        <w:footnoteReference w:id="4"/>
      </w:r>
      <w:r>
        <w:t xml:space="preserve"> gedaan naar (tevredenheid over) het </w:t>
      </w:r>
      <w:proofErr w:type="spellStart"/>
      <w:r>
        <w:t>hoorrecht</w:t>
      </w:r>
      <w:proofErr w:type="spellEnd"/>
      <w:r>
        <w:t xml:space="preserve">, waaruit blijkt dat maar heel weinig mensen (5% van de gepensioneerden en 2% van de gewezen deelnemers) bekend zijn met het </w:t>
      </w:r>
      <w:proofErr w:type="spellStart"/>
      <w:r>
        <w:t>hoorrecht</w:t>
      </w:r>
      <w:proofErr w:type="spellEnd"/>
      <w:r>
        <w:t xml:space="preserve">. Verschillende casestudies laten zien dat het </w:t>
      </w:r>
      <w:proofErr w:type="spellStart"/>
      <w:r>
        <w:t>hoorrecht</w:t>
      </w:r>
      <w:proofErr w:type="spellEnd"/>
      <w:r>
        <w:t xml:space="preserve"> lang niet altijd goed loopt</w:t>
      </w:r>
      <w:r>
        <w:rPr>
          <w:rStyle w:val="Voetnootmarkering"/>
        </w:rPr>
        <w:footnoteReference w:id="5"/>
      </w:r>
      <w:r>
        <w:t xml:space="preserve">. </w:t>
      </w:r>
    </w:p>
    <w:p w:rsidRPr="006622EB" w:rsidR="002B67C7" w:rsidP="002B67C7" w:rsidRDefault="002B67C7" w14:paraId="0D2DAF95" w14:textId="77777777"/>
    <w:p w:rsidR="002B67C7" w:rsidP="002B67C7" w:rsidRDefault="002B67C7" w14:paraId="2CB59BBB" w14:textId="77777777">
      <w:r>
        <w:t>Inmiddels zijn de eerste rechtszaken over het invaren ook al begonnen, zijn er claimstichtingen met meer dan 300.000 mensen op de been en heeft de eerste rechtsbijstandsverzekeraar sinds 1 januari 2025 besloten juridische hulp bij conflicten over invaren uit te sluiten. Waarmee de zorgen over de rechtspositie van deelnemers bij invaren, die al steeds verder ingeperkt was, nu nog verder toenemen</w:t>
      </w:r>
      <w:r>
        <w:rPr>
          <w:rStyle w:val="Voetnootmarkering"/>
        </w:rPr>
        <w:footnoteReference w:id="6"/>
      </w:r>
      <w:r>
        <w:t xml:space="preserve">. </w:t>
      </w:r>
      <w:r w:rsidRPr="0002103F">
        <w:t>Ve</w:t>
      </w:r>
      <w:r>
        <w:t xml:space="preserve">el </w:t>
      </w:r>
      <w:r w:rsidRPr="0002103F">
        <w:t>deelnemersorganisaties</w:t>
      </w:r>
      <w:r>
        <w:rPr>
          <w:rStyle w:val="Voetnootmarkering"/>
        </w:rPr>
        <w:footnoteReference w:id="7"/>
      </w:r>
      <w:r w:rsidRPr="0002103F">
        <w:t xml:space="preserve"> o</w:t>
      </w:r>
      <w:r>
        <w:t>ndersteunen</w:t>
      </w:r>
      <w:r w:rsidRPr="0002103F">
        <w:t xml:space="preserve"> het principiële punt van inspraak voor deelnemers</w:t>
      </w:r>
      <w:r>
        <w:t xml:space="preserve"> uit dit amendement</w:t>
      </w:r>
      <w:r w:rsidRPr="0002103F">
        <w:t xml:space="preserve">, omdat </w:t>
      </w:r>
      <w:r>
        <w:t xml:space="preserve">dit </w:t>
      </w:r>
      <w:r w:rsidRPr="0002103F">
        <w:t xml:space="preserve">een tekortkoming in de wet </w:t>
      </w:r>
      <w:r>
        <w:t>herstelt,</w:t>
      </w:r>
      <w:r w:rsidRPr="0002103F">
        <w:t xml:space="preserve"> de rechtsbescherming van deelnemers </w:t>
      </w:r>
      <w:r>
        <w:t>verbetert en juridische procedures hiermee mogelijk kunnen worden voorkomen</w:t>
      </w:r>
      <w:r w:rsidRPr="0002103F">
        <w:t>.</w:t>
      </w:r>
      <w:r>
        <w:t xml:space="preserve"> </w:t>
      </w:r>
    </w:p>
    <w:p w:rsidR="002B67C7" w:rsidP="002B67C7" w:rsidRDefault="002B67C7" w14:paraId="4E241C0A" w14:textId="77777777"/>
    <w:p w:rsidR="002B67C7" w:rsidP="002B67C7" w:rsidRDefault="002B67C7" w14:paraId="5A5493EF" w14:textId="40167CDD">
      <w:r>
        <w:t>Daarnaast laat onderzoek van het NIBUD</w:t>
      </w:r>
      <w:r w:rsidRPr="42BC0DD7">
        <w:rPr>
          <w:rStyle w:val="Voetnootmarkering"/>
        </w:rPr>
        <w:footnoteReference w:id="8"/>
      </w:r>
      <w:r>
        <w:t xml:space="preserve"> (2024) zien dat 80% van de mensen aangeeft zelf te willen bepalen of hun eigen gespaarde pensioen wordt overgezet naar een nieuw pensioenstelsel, terwijl zij hiertoe onder de huidige wetgeving geen enkel handelingsperspectief hebben. Onderzoek</w:t>
      </w:r>
      <w:r w:rsidRPr="42BC0DD7">
        <w:rPr>
          <w:rStyle w:val="Voetnootmarkering"/>
        </w:rPr>
        <w:footnoteReference w:id="9"/>
      </w:r>
      <w:r>
        <w:t xml:space="preserve"> van Henkens en van Dalen (januari 2025) laat zien dat 72% van de pensioenfondsdeelnemers zegt mee te willen doen aan collectief </w:t>
      </w:r>
      <w:r w:rsidR="00667562">
        <w:t>goedkeuringsrecht</w:t>
      </w:r>
      <w:r>
        <w:t xml:space="preserve"> in de vorm van een referendum. Een peiling van de Telegraaf</w:t>
      </w:r>
      <w:r w:rsidRPr="42BC0DD7">
        <w:rPr>
          <w:rStyle w:val="Voetnootmarkering"/>
        </w:rPr>
        <w:footnoteReference w:id="10"/>
      </w:r>
      <w:r>
        <w:t xml:space="preserve"> (januari 2025) laat zien dat 77% van de 4379 deelnemers aan de peiling een referendum over het pensioenstelsel terecht vindt.</w:t>
      </w:r>
    </w:p>
    <w:p w:rsidR="002B67C7" w:rsidP="002B67C7" w:rsidRDefault="002B67C7" w14:paraId="79BC0BAA" w14:textId="77777777"/>
    <w:p w:rsidR="002B67C7" w:rsidP="002B67C7" w:rsidRDefault="002B67C7" w14:paraId="3E1882C7" w14:textId="77777777">
      <w:r>
        <w:t>Vertegenwoordigers van 11 seniorenverenigingen en gepensioneerdenorganisaties</w:t>
      </w:r>
      <w:r>
        <w:rPr>
          <w:rStyle w:val="Voetnootmarkering"/>
        </w:rPr>
        <w:footnoteReference w:id="11"/>
      </w:r>
      <w:r>
        <w:t xml:space="preserve"> schreven in januari 2025 dat de juridische onzekerheid die de huidige wet met zich meebrengt de komende jaren permanente spanning zal opleveren. “</w:t>
      </w:r>
      <w:r w:rsidRPr="00AA12CB">
        <w:t xml:space="preserve">Dat is voor geen enkele partij van belang. De voorgestelde wetswijziging </w:t>
      </w:r>
      <w:r w:rsidRPr="00AA12CB">
        <w:lastRenderedPageBreak/>
        <w:t>voorkomt dit.</w:t>
      </w:r>
      <w:r>
        <w:t xml:space="preserve">” ANBO-PCOB schrijft in maart 2025 dat </w:t>
      </w:r>
      <w:r>
        <w:rPr>
          <w:rStyle w:val="Voetnootmarkering"/>
        </w:rPr>
        <w:footnoteReference w:id="12"/>
      </w:r>
      <w:r>
        <w:t>: “…</w:t>
      </w:r>
      <w:r w:rsidRPr="00DA1648">
        <w:t xml:space="preserve"> de onrust onder groepen deelnemers wel degelijk reëel is, waar de Raad van State ontkent dat er nieuwe omstandigheden zijn.</w:t>
      </w:r>
      <w:r>
        <w:t>”</w:t>
      </w:r>
    </w:p>
    <w:p w:rsidRPr="006622EB" w:rsidR="002B67C7" w:rsidP="002B67C7" w:rsidRDefault="002B67C7" w14:paraId="4D5DD63F" w14:textId="77777777"/>
    <w:p w:rsidRPr="006622EB" w:rsidR="002B67C7" w:rsidP="002B67C7" w:rsidRDefault="002B67C7" w14:paraId="23F11371" w14:textId="77777777">
      <w:r w:rsidRPr="006622EB">
        <w:t>Dit alles maakt het draagvlak en vertrouwen in het nieuwe pensioenstelsel kwetsbaar en brengt bovendien juridische risico’s met zich mee</w:t>
      </w:r>
      <w:r>
        <w:t xml:space="preserve">. </w:t>
      </w:r>
    </w:p>
    <w:p w:rsidR="002B67C7" w:rsidP="002B67C7" w:rsidRDefault="002B67C7" w14:paraId="7283A6BF" w14:textId="77777777"/>
    <w:p w:rsidRPr="00E10600" w:rsidR="002B67C7" w:rsidP="002B67C7" w:rsidRDefault="002B67C7" w14:paraId="3FA0DF47" w14:textId="77777777">
      <w:pPr>
        <w:rPr>
          <w:u w:val="single"/>
        </w:rPr>
      </w:pPr>
      <w:r>
        <w:rPr>
          <w:u w:val="single"/>
        </w:rPr>
        <w:t>Geef deelnemers zelf inspraak over hun bestaande pensioen</w:t>
      </w:r>
    </w:p>
    <w:p w:rsidR="002B67C7" w:rsidP="002B67C7" w:rsidRDefault="002B67C7" w14:paraId="19A2843B" w14:textId="159239DB">
      <w:r>
        <w:t xml:space="preserve">De indieners stellen voor om de mensen van wie het pensioen is het laatste woord te geven bij het invaren. Nu kunnen sociale partners en pensioenfondsen besluiten om wel of niet in te varen. Indieners zien daarbij dat ongeveer </w:t>
      </w:r>
      <w:r w:rsidRPr="18FC0940">
        <w:t>een kwart</w:t>
      </w:r>
      <w:r>
        <w:rPr>
          <w:rStyle w:val="Voetnootmarkering"/>
        </w:rPr>
        <w:footnoteReference w:id="13"/>
      </w:r>
      <w:r>
        <w:t xml:space="preserve"> van de pensioenfondsen niet gaat invaren. Ook zijn er pensioenfondsen die slechts gedeeltelijk willen invaren, zoals bij pensioenfonds PGB. Daarmee blijven veel pensioenuitvoeringsorganisaties in Nederland zowel de oude als de nieuwe regeling uitvoeren, ongeacht of dit amendement wordt aangenomen of niet. </w:t>
      </w:r>
    </w:p>
    <w:p w:rsidR="002B67C7" w:rsidP="002B67C7" w:rsidRDefault="002B67C7" w14:paraId="0AB79252" w14:textId="77777777"/>
    <w:p w:rsidR="002B67C7" w:rsidP="002B67C7" w:rsidRDefault="002B67C7" w14:paraId="3F7500D2" w14:textId="77777777">
      <w:r>
        <w:t xml:space="preserve">De </w:t>
      </w:r>
      <w:r w:rsidRPr="18FC0940">
        <w:t>pensioen</w:t>
      </w:r>
      <w:r>
        <w:t xml:space="preserve">fondsen die kiezen </w:t>
      </w:r>
      <w:r w:rsidRPr="18FC0940">
        <w:t>voor</w:t>
      </w:r>
      <w:r>
        <w:t xml:space="preserve"> niet-invaren hebben daartoe diverse redenen</w:t>
      </w:r>
      <w:r w:rsidRPr="18FC0940">
        <w:t xml:space="preserve">. </w:t>
      </w:r>
      <w:proofErr w:type="spellStart"/>
      <w:r w:rsidRPr="18FC0940">
        <w:t>Deltalloyd</w:t>
      </w:r>
      <w:proofErr w:type="spellEnd"/>
      <w:r w:rsidRPr="18FC0940">
        <w:t xml:space="preserve"> pensioenfonds</w:t>
      </w:r>
      <w:r>
        <w:t xml:space="preserve"> </w:t>
      </w:r>
      <w:r w:rsidRPr="18FC0940">
        <w:t>geeft bijvoorbeeld aan dat zij liever niet invaren</w:t>
      </w:r>
      <w:r w:rsidRPr="18FC0940">
        <w:rPr>
          <w:rStyle w:val="Voetnootmarkering"/>
        </w:rPr>
        <w:footnoteReference w:id="14"/>
      </w:r>
      <w:r w:rsidRPr="18FC0940">
        <w:t xml:space="preserve"> omdat de nieuwe regeling volgens hen een hogere kortingskans kent en de koopkracht behoorlijk lager kan uitpakken dan in de huidige regeling, waardoor hun deelnemers in de nieuwe regeling in de </w:t>
      </w:r>
      <w:r w:rsidRPr="73A01FDE">
        <w:t>financiële</w:t>
      </w:r>
      <w:r w:rsidRPr="18FC0940">
        <w:t xml:space="preserve"> problemen zouden kunnen komen. Andere redenen uit de praktijk zijn</w:t>
      </w:r>
      <w:r>
        <w:t xml:space="preserve"> bijvoorbeeld</w:t>
      </w:r>
      <w:r w:rsidRPr="18FC0940">
        <w:rPr>
          <w:rStyle w:val="Voetnootmarkering"/>
        </w:rPr>
        <w:footnoteReference w:id="15"/>
      </w:r>
      <w:r>
        <w:t xml:space="preserve"> dat deelnemers tevreden zijn met de huidige regeling, dat invaren niet uitvoerbaar is of omdat er geen werkgever meer is die tot invaren kan verzoeken</w:t>
      </w:r>
      <w:r>
        <w:rPr>
          <w:szCs w:val="24"/>
        </w:rPr>
        <w:t xml:space="preserve">. </w:t>
      </w:r>
    </w:p>
    <w:p w:rsidR="002B67C7" w:rsidP="002B67C7" w:rsidRDefault="002B67C7" w14:paraId="06AD5880" w14:textId="77777777">
      <w:pPr>
        <w:rPr>
          <w:szCs w:val="24"/>
        </w:rPr>
      </w:pPr>
    </w:p>
    <w:p w:rsidR="002B67C7" w:rsidP="002B67C7" w:rsidRDefault="002B67C7" w14:paraId="4328E2AB" w14:textId="77777777">
      <w:r>
        <w:t xml:space="preserve">De huidige situatie is dus dat sociale partners (werkgevers- en werknemersorganisaties) en het pensioenfonds kunnen besluiten om in te varen of daarvan af te zien. De indieners willen de mensen van wie het pensioen is hier ook een stem in geven. Het gaat uiteindelijk immers om hun uitgestelde loon, hun inkomen en hun bestaanszekerheid. </w:t>
      </w:r>
    </w:p>
    <w:p w:rsidR="002B67C7" w:rsidP="002B67C7" w:rsidRDefault="002B67C7" w14:paraId="128C8E7E" w14:textId="77777777"/>
    <w:p w:rsidRPr="00B30A2F" w:rsidR="0055668F" w:rsidP="002B67C7" w:rsidRDefault="0055668F" w14:paraId="3714FA30" w14:textId="478771C9">
      <w:pPr>
        <w:rPr>
          <w:u w:val="single"/>
        </w:rPr>
      </w:pPr>
      <w:r w:rsidRPr="00B30A2F">
        <w:rPr>
          <w:u w:val="single"/>
        </w:rPr>
        <w:t>Herstellen van individueel bezwaarrecht</w:t>
      </w:r>
    </w:p>
    <w:p w:rsidR="7463471F" w:rsidP="0055668F" w:rsidRDefault="0055668F" w14:paraId="08CCB980" w14:textId="2C84E42F">
      <w:r>
        <w:t xml:space="preserve">De indieners stellen met dit amendement voor </w:t>
      </w:r>
      <w:r w:rsidR="009626DD">
        <w:t xml:space="preserve">om </w:t>
      </w:r>
      <w:r>
        <w:t xml:space="preserve">deelnemers </w:t>
      </w:r>
      <w:r w:rsidR="006716A6">
        <w:t xml:space="preserve">standaard </w:t>
      </w:r>
      <w:r>
        <w:t>inspraak te geven in de vorm van individueel bezwaarrecht</w:t>
      </w:r>
      <w:r w:rsidR="002A21FA">
        <w:t>, ofwel iedereen een ‘</w:t>
      </w:r>
      <w:proofErr w:type="spellStart"/>
      <w:r w:rsidR="002A21FA">
        <w:t>opt</w:t>
      </w:r>
      <w:proofErr w:type="spellEnd"/>
      <w:r w:rsidR="002A21FA">
        <w:t>-out’ mogelijkheid te bieden</w:t>
      </w:r>
      <w:r>
        <w:t>. Zodat</w:t>
      </w:r>
      <w:r w:rsidR="002B67C7">
        <w:t xml:space="preserve"> iedereen zelf kan kiezen tussen een ‘vaste’ en een ‘variabele’ uitkering. </w:t>
      </w:r>
      <w:r w:rsidR="00A514CB">
        <w:t>Indieners beogen dit door</w:t>
      </w:r>
      <w:r w:rsidR="001616CE">
        <w:t xml:space="preserve"> het individueel bezwaarrecht dat al bestond (zoals in artikel 83 Pensioenwet (PW) en artikel 91 Wet verplichte beroepspensioenregeling (</w:t>
      </w:r>
      <w:proofErr w:type="spellStart"/>
      <w:r w:rsidR="001616CE">
        <w:t>Wvb</w:t>
      </w:r>
      <w:proofErr w:type="spellEnd"/>
      <w:r w:rsidR="001616CE">
        <w:t>)) bij invaren te herstellen.</w:t>
      </w:r>
      <w:r w:rsidR="00C37F41">
        <w:t xml:space="preserve"> </w:t>
      </w:r>
      <w:r w:rsidR="00A61075">
        <w:t>Indien een pensioenfonds geen individueel bezwaarrecht kan bieden, kan het daar</w:t>
      </w:r>
      <w:r w:rsidR="006716A6">
        <w:t xml:space="preserve"> gemotiveerd van afwijken </w:t>
      </w:r>
      <w:r w:rsidR="00A61075">
        <w:t>en inspraak in de vorm</w:t>
      </w:r>
      <w:r w:rsidR="006716A6">
        <w:t xml:space="preserve"> van een collectief goedkeuringsrecht</w:t>
      </w:r>
      <w:r w:rsidR="00A61075">
        <w:t xml:space="preserve"> geven</w:t>
      </w:r>
      <w:r w:rsidR="005A6786">
        <w:t>.</w:t>
      </w:r>
    </w:p>
    <w:p w:rsidR="00DC48B6" w:rsidP="0055668F" w:rsidRDefault="00DC48B6" w14:paraId="2FD1E265" w14:textId="77777777"/>
    <w:p w:rsidR="00DC48B6" w:rsidP="00DC48B6" w:rsidRDefault="00DC48B6" w14:paraId="1CDB9D2D" w14:textId="39ABD38D">
      <w:r>
        <w:t>Daarbij gaat de groep bezwaarmakers ‘dekkingsgraadneutraal’ over, net zoals dat in de praktijk</w:t>
      </w:r>
      <w:r>
        <w:rPr>
          <w:rStyle w:val="Voetnootmarkering"/>
        </w:rPr>
        <w:footnoteReference w:id="16"/>
      </w:r>
      <w:r>
        <w:t xml:space="preserve"> ook </w:t>
      </w:r>
      <w:r w:rsidR="008363ED">
        <w:t>al gebeurt en door De Nederlan</w:t>
      </w:r>
      <w:r w:rsidR="00A514CB">
        <w:t>d</w:t>
      </w:r>
      <w:r w:rsidR="008363ED">
        <w:t xml:space="preserve">sche Bank is voorgeschreven </w:t>
      </w:r>
      <w:r>
        <w:t xml:space="preserve">onder artikel 83PW en artikel 91Wvb. </w:t>
      </w:r>
      <w:r w:rsidR="00776E53">
        <w:t xml:space="preserve">Ofwel in de toedeling van het vermogen </w:t>
      </w:r>
      <w:r w:rsidR="004B243F">
        <w:t xml:space="preserve">wordt de buffer of het tekort </w:t>
      </w:r>
      <w:r w:rsidR="00422EC7">
        <w:t>bij invaren</w:t>
      </w:r>
      <w:r w:rsidR="004B243F">
        <w:t xml:space="preserve"> naar evenredigheid toegerekend aan</w:t>
      </w:r>
      <w:r w:rsidR="00A514CB">
        <w:t xml:space="preserve"> de</w:t>
      </w:r>
      <w:r w:rsidR="004B243F">
        <w:t xml:space="preserve"> </w:t>
      </w:r>
      <w:r w:rsidR="007C7CAB">
        <w:t xml:space="preserve">groep </w:t>
      </w:r>
      <w:r w:rsidR="00BC3165">
        <w:t>bezwaarmakers</w:t>
      </w:r>
      <w:r w:rsidR="007C7CAB">
        <w:t xml:space="preserve"> en de groep belanghebbenden die invaart. </w:t>
      </w:r>
      <w:r>
        <w:t>Met dien verstande dat dit amendement de mogelijkheid biedt om de groep bezwaarmakers bij te laten dragen aan de compensatie afschaffing doorsneesystematiek, in lijn met de compensatie die het pensioenfonds voor het invaren heeft vastgesteld (conform artikel 150n), mits dit evenwichtig is.</w:t>
      </w:r>
      <w:r w:rsidR="006C0DC3">
        <w:t xml:space="preserve"> </w:t>
      </w:r>
    </w:p>
    <w:p w:rsidR="00CC28A7" w:rsidP="00DC48B6" w:rsidRDefault="00CC28A7" w14:paraId="57B04608" w14:textId="77777777"/>
    <w:p w:rsidR="00A63B12" w:rsidP="00A63B12" w:rsidRDefault="00A63B12" w14:paraId="568F6CCA" w14:textId="10B60051">
      <w:r>
        <w:t xml:space="preserve">Net als de kosten voor de inrichting en transitie naar de nieuwe premieregeling voor nieuwe opbouw, worden ook de kosten voor het inrichten van een oplossing voor de groep bezwaarmakers collectief gedragen. Zoals dat nu ook al gebruikelijk is bij collectieve waardeoverdrachten met individueel </w:t>
      </w:r>
      <w:r>
        <w:lastRenderedPageBreak/>
        <w:t>bezwaarrecht.</w:t>
      </w:r>
    </w:p>
    <w:p w:rsidR="00A63B12" w:rsidP="00DC48B6" w:rsidRDefault="00A63B12" w14:paraId="100E308D" w14:textId="77777777"/>
    <w:p w:rsidRPr="00B30A2F" w:rsidR="00A63B12" w:rsidP="00DC48B6" w:rsidRDefault="002B66F7" w14:paraId="6C976A3E" w14:textId="25F737E2">
      <w:pPr>
        <w:rPr>
          <w:u w:val="single"/>
        </w:rPr>
      </w:pPr>
      <w:r w:rsidRPr="00B30A2F">
        <w:rPr>
          <w:u w:val="single"/>
        </w:rPr>
        <w:t>Aansluiting bij bestaande praktijk</w:t>
      </w:r>
    </w:p>
    <w:p w:rsidR="002B66F7" w:rsidP="002B66F7" w:rsidRDefault="002B66F7" w14:paraId="541724E8" w14:textId="63871D36">
      <w:r>
        <w:t xml:space="preserve">Het bieden van individueel bezwaarrecht bij een aanpassing van bestaande pensioenen (een zogenaamde collectieve waardeoverdracht) is staande praktijk die al jarenlang goed </w:t>
      </w:r>
      <w:r w:rsidR="009D7890">
        <w:t xml:space="preserve">heeft </w:t>
      </w:r>
      <w:r>
        <w:t>werkt. De indieners zien in de praktijk dat er ook pensioenfondsen zijn die bij de overgang naar het nieuwe pensioenstelsel individueel bezwaarrecht willen bieden zoals Pensioenfonds Nederlandse Groothandel</w:t>
      </w:r>
      <w:r>
        <w:rPr>
          <w:rStyle w:val="Voetnootmarkering"/>
        </w:rPr>
        <w:footnoteReference w:id="17"/>
      </w:r>
      <w:r>
        <w:t xml:space="preserve">. Dit laat ook zien dat dit in de praktijk uitvoeringstechnisch mogelijk is binnen aanvaardbare kosten. En toont ook aan dat de informatievoorziening en keuzebegeleiding mogelijk zijn, waarop De Nederlandsche Bank (DNB) en de Autoriteit Financiële Markten (AFM) nu ook al toezicht moeten houden. </w:t>
      </w:r>
    </w:p>
    <w:p w:rsidR="002B66F7" w:rsidP="002B66F7" w:rsidRDefault="002B66F7" w14:paraId="16EFADDA" w14:textId="77777777"/>
    <w:p w:rsidR="002B66F7" w:rsidP="002B66F7" w:rsidRDefault="002B66F7" w14:paraId="03ED484F" w14:textId="77777777">
      <w:r>
        <w:t>Tot nu toe konden pensioenfondsen er zelf voor kiezen om alle deelnemers al dan niet inspraak te geven bij invaren. De indieners vinden dat alle deelnemers aan pensioenfondsen die willen invaren de mogelijkheid tot inspraak moeten krijgen.</w:t>
      </w:r>
    </w:p>
    <w:p w:rsidR="00451969" w:rsidP="00DC48B6" w:rsidRDefault="00451969" w14:paraId="6DD1D277" w14:textId="77777777"/>
    <w:p w:rsidRPr="00B30A2F" w:rsidR="00451969" w:rsidP="00DC48B6" w:rsidRDefault="00B01AE3" w14:paraId="0B94EE60" w14:textId="3632C5D0">
      <w:pPr>
        <w:rPr>
          <w:u w:val="single"/>
        </w:rPr>
      </w:pPr>
      <w:r>
        <w:rPr>
          <w:u w:val="single"/>
        </w:rPr>
        <w:t>Proces</w:t>
      </w:r>
    </w:p>
    <w:p w:rsidR="000D126B" w:rsidP="000D126B" w:rsidRDefault="000D126B" w14:paraId="178A5F55" w14:textId="7B72FBF8">
      <w:r>
        <w:t xml:space="preserve">Met dit amendement blijft de Wet toekomst pensioenen gewoon volledig van kracht. De indieners beogen slechts één element toe te voegen, namelijk het herstellen van inspraak </w:t>
      </w:r>
      <w:r w:rsidR="743B4A65">
        <w:t>voor</w:t>
      </w:r>
      <w:r>
        <w:t xml:space="preserve"> mensen van wie het pensioen is bij omzetting van de bestaande pensioenen naar het nieuwe stelsel. De indieners </w:t>
      </w:r>
      <w:r w:rsidR="00446F2C">
        <w:t>sluiten</w:t>
      </w:r>
      <w:r>
        <w:t xml:space="preserve"> daarbij bij de vormgeving van de inspraak zoveel mogelijk </w:t>
      </w:r>
      <w:r w:rsidR="00446F2C">
        <w:t>aan</w:t>
      </w:r>
      <w:r>
        <w:t xml:space="preserve"> bij de bestaande praktijk en het</w:t>
      </w:r>
      <w:r w:rsidR="15CF5D22">
        <w:t xml:space="preserve"> al</w:t>
      </w:r>
      <w:r>
        <w:t xml:space="preserve"> lopende transitieproces. </w:t>
      </w:r>
    </w:p>
    <w:p w:rsidR="00425BFD" w:rsidP="000D126B" w:rsidRDefault="00425BFD" w14:paraId="0250A200" w14:textId="30D4DBD7"/>
    <w:p w:rsidR="00696693" w:rsidP="00696693" w:rsidRDefault="7C080B3C" w14:paraId="7B921E0F" w14:textId="063C83AE">
      <w:r>
        <w:t xml:space="preserve">Sociale partners en pensioenfondsen kunnen door met hun voorgenomen transitieplannen. </w:t>
      </w:r>
      <w:r w:rsidR="4E382611">
        <w:t xml:space="preserve">Daarbij blijft het invaren-tenzij </w:t>
      </w:r>
      <w:r w:rsidR="32F1114D">
        <w:t>de wettelijke</w:t>
      </w:r>
      <w:r w:rsidR="4E382611">
        <w:t xml:space="preserve"> standaard. Pensioenfondsen</w:t>
      </w:r>
      <w:r w:rsidR="5926A833">
        <w:t xml:space="preserve"> bieden vervolgens de deelnemers individueel bezwaarrecht</w:t>
      </w:r>
      <w:r w:rsidR="03CF1BD1">
        <w:t xml:space="preserve"> op fondsniveau</w:t>
      </w:r>
      <w:r w:rsidR="5926A833">
        <w:t>. Pensioenfondsen hebben daarbij de praktische verantwoordelijkheid om vooraf in kaart te brengen waar de bezwaarmakers kunnen worden ondergebracht. Pensioenfondsen kunnen de groep bezwaarmakers zelf in de administratie houden of de bezwaarmakers bijvoorbeeld via een ‘</w:t>
      </w:r>
      <w:proofErr w:type="spellStart"/>
      <w:r w:rsidR="5926A833">
        <w:t>carve</w:t>
      </w:r>
      <w:proofErr w:type="spellEnd"/>
      <w:r w:rsidR="5926A833">
        <w:t xml:space="preserve">-out’ bij een andere pensioenuitvoerder onderbrengen. Denk bijvoorbeeld aan het onderbrengen bij een Algemeen Pensioenfonds (APF) of een </w:t>
      </w:r>
      <w:proofErr w:type="spellStart"/>
      <w:r w:rsidR="5926A833">
        <w:t>multi</w:t>
      </w:r>
      <w:proofErr w:type="spellEnd"/>
      <w:r w:rsidR="5926A833">
        <w:t>-client pensioenfonds (zoals bijvoorbeeld PGB) die het bestaande pensioenstelsel, het Financieel Toetsingskader (FTK), blij</w:t>
      </w:r>
      <w:r w:rsidR="7DED6C56">
        <w:t>ft</w:t>
      </w:r>
      <w:r w:rsidR="5926A833">
        <w:t xml:space="preserve"> uitvoeren. Pensioenfondsen kunnen in de vormgeving van het onderbrengen van de groep bezwaarmakers aansluiten bij al bestaande praktijkoplossingen zoals die gebruikelijk zijn bij collectieve waardeoverdrachten met individueel bezwaarrecht. </w:t>
      </w:r>
    </w:p>
    <w:p w:rsidR="00333893" w:rsidP="009C6E96" w:rsidRDefault="00333893" w14:paraId="3B62335A" w14:textId="2F98177E"/>
    <w:p w:rsidR="009C6E96" w:rsidP="009C6E96" w:rsidRDefault="009C6E96" w14:paraId="5DA04D40" w14:textId="0CE8E616">
      <w:r>
        <w:t xml:space="preserve">Pensioenfondsen leggen in het implementatieplan </w:t>
      </w:r>
      <w:r w:rsidR="00891649">
        <w:t xml:space="preserve">(of een aanvulling daarop) </w:t>
      </w:r>
      <w:r>
        <w:t xml:space="preserve">vast op welke wijze de procedure van het individueel bezwaarrecht dan wel het collectief </w:t>
      </w:r>
      <w:r w:rsidR="00667562">
        <w:t>goedkeuringsrecht</w:t>
      </w:r>
      <w:r>
        <w:t xml:space="preserve"> wordt vormgegeven inclusief een motivatie voor de gekozen procedure</w:t>
      </w:r>
      <w:r w:rsidR="00371872">
        <w:t>.</w:t>
      </w:r>
      <w:r>
        <w:t xml:space="preserve"> Daarnaast leg</w:t>
      </w:r>
      <w:r w:rsidR="00371872">
        <w:t>gen de</w:t>
      </w:r>
      <w:r>
        <w:t xml:space="preserve"> pensioenfonds</w:t>
      </w:r>
      <w:r w:rsidR="002D1A8D">
        <w:t>en</w:t>
      </w:r>
      <w:r>
        <w:t xml:space="preserve"> ook de wijze</w:t>
      </w:r>
      <w:r w:rsidR="002D1A8D">
        <w:t xml:space="preserve"> vast</w:t>
      </w:r>
      <w:r>
        <w:t xml:space="preserve"> waarop zal worden omgegaan met de pensioenaanspraken en –rechten van de personen die individueel bezwaar maken of in het geval</w:t>
      </w:r>
      <w:r w:rsidR="659D44C1">
        <w:t xml:space="preserve"> dat</w:t>
      </w:r>
      <w:r>
        <w:t xml:space="preserve"> niet wordt overgegaan tot de interne collectieve waardeoverdracht door de uitkomst van het collectief </w:t>
      </w:r>
      <w:r w:rsidR="00667562">
        <w:t>goedkeuringsrecht</w:t>
      </w:r>
      <w:r w:rsidR="001A0376">
        <w:t xml:space="preserve"> </w:t>
      </w:r>
      <w:r>
        <w:t>(artikel</w:t>
      </w:r>
      <w:r w:rsidR="001A0376">
        <w:t xml:space="preserve"> 150i PW </w:t>
      </w:r>
      <w:proofErr w:type="spellStart"/>
      <w:r w:rsidR="001A0376">
        <w:t>danwel</w:t>
      </w:r>
      <w:proofErr w:type="spellEnd"/>
      <w:r w:rsidR="001A0376">
        <w:t xml:space="preserve"> 145h </w:t>
      </w:r>
      <w:proofErr w:type="spellStart"/>
      <w:r w:rsidR="001A0376">
        <w:t>Wvb</w:t>
      </w:r>
      <w:proofErr w:type="spellEnd"/>
      <w:r w:rsidR="001A0376">
        <w:t>).</w:t>
      </w:r>
    </w:p>
    <w:p w:rsidR="00020711" w:rsidP="009C6E96" w:rsidRDefault="00020711" w14:paraId="4F15ED5A" w14:textId="77777777"/>
    <w:p w:rsidR="00020711" w:rsidP="00020711" w:rsidRDefault="00020711" w14:paraId="0167F1F6" w14:textId="1845420B">
      <w:r>
        <w:t>In het communicatieplan (of in een aanvulling daarop) leggen pensioenfondsen vast op welke wijze deelnemers, gewezen deelnemers, gewezen partners en pensioengerechtigden worden geïnformeerd over de gevolgen van het al dan niet kenbaar maken van bezwaar tegen de interne collectieve waardeoverdracht, waarbij ook uitdrukkelijk wordt gewaarschuwd dat de definitieve hoogte van de te ontvangen pensioenuitkeringen kan verschillen van de weergegeven verwachtingen, zowel bij het invaren als bij het maken van bezwaar</w:t>
      </w:r>
      <w:r w:rsidR="001A0376">
        <w:t xml:space="preserve"> (artikel 150j PW </w:t>
      </w:r>
      <w:proofErr w:type="spellStart"/>
      <w:r w:rsidR="001A0376">
        <w:t>danwel</w:t>
      </w:r>
      <w:proofErr w:type="spellEnd"/>
      <w:r w:rsidR="001A0376">
        <w:t xml:space="preserve"> 145i </w:t>
      </w:r>
      <w:proofErr w:type="spellStart"/>
      <w:r w:rsidR="001A0376">
        <w:t>Wvb</w:t>
      </w:r>
      <w:proofErr w:type="spellEnd"/>
      <w:r w:rsidR="001A0376">
        <w:t>).</w:t>
      </w:r>
    </w:p>
    <w:p w:rsidR="0051482F" w:rsidP="009C6E96" w:rsidRDefault="0051482F" w14:paraId="3C5A5A77" w14:textId="77777777"/>
    <w:p w:rsidR="0051482F" w:rsidP="0051482F" w:rsidRDefault="0D2B4A55" w14:paraId="6F192CEA" w14:textId="5A946FE5">
      <w:r>
        <w:t xml:space="preserve">Bij de besluiten die moeten worden genomen ten aanzien van het vormgeven en implementeren van het individueel bezwaarrecht </w:t>
      </w:r>
      <w:proofErr w:type="spellStart"/>
      <w:r>
        <w:t>danwel</w:t>
      </w:r>
      <w:proofErr w:type="spellEnd"/>
      <w:r>
        <w:t xml:space="preserve"> het collectief goedkeuringsrecht zijn het zesde en zevende lid van artikel 150m van toepassing, waardoor zowel het belanghebbendenorgaan als de Raad van Toezicht ook goedkeuring moeten verlenen voor besluiten die moeten worden genomen op grond van de artikelleden ten aanzien van het individueel bezwaarrecht </w:t>
      </w:r>
      <w:proofErr w:type="spellStart"/>
      <w:r>
        <w:t>danwel</w:t>
      </w:r>
      <w:proofErr w:type="spellEnd"/>
      <w:r>
        <w:t xml:space="preserve"> het collectief goedkeuringsrecht.</w:t>
      </w:r>
    </w:p>
    <w:p w:rsidR="00641AD0" w:rsidP="00CA6F53" w:rsidRDefault="00641AD0" w14:paraId="247E0266" w14:textId="77777777"/>
    <w:p w:rsidR="000129D9" w:rsidP="000129D9" w:rsidRDefault="00EA0683" w14:paraId="0D4F417A" w14:textId="1B81C476">
      <w:pPr>
        <w:rPr>
          <w:u w:val="single"/>
        </w:rPr>
      </w:pPr>
      <w:r w:rsidRPr="05054F4C">
        <w:rPr>
          <w:u w:val="single"/>
        </w:rPr>
        <w:t>Informatieverstrekking, keuzebegeleiding</w:t>
      </w:r>
      <w:r w:rsidRPr="05054F4C" w:rsidR="000129D9">
        <w:rPr>
          <w:u w:val="single"/>
        </w:rPr>
        <w:t xml:space="preserve"> en toezicht</w:t>
      </w:r>
    </w:p>
    <w:p w:rsidR="000129D9" w:rsidP="000129D9" w:rsidRDefault="000129D9" w14:paraId="653A0D4C" w14:textId="3ADA953B">
      <w:r>
        <w:t xml:space="preserve">Voor de vormgeving van </w:t>
      </w:r>
      <w:r w:rsidR="00C73918">
        <w:t xml:space="preserve">informatieverstrekking en keuzebegeleiding </w:t>
      </w:r>
      <w:r>
        <w:t>kan worden aangesloten bij de bestaande praktijk en voorschriften van AFM</w:t>
      </w:r>
      <w:r w:rsidRPr="77ED5B47">
        <w:rPr>
          <w:rStyle w:val="Voetnootmarkering"/>
        </w:rPr>
        <w:footnoteReference w:id="18"/>
      </w:r>
      <w:r>
        <w:t xml:space="preserve"> in het kader van collectieve waardeoverdrachten. Zo krijgen deelnemers voor zowel invaren als </w:t>
      </w:r>
      <w:r w:rsidR="00420BAD">
        <w:t xml:space="preserve">het individueel bezwaar </w:t>
      </w:r>
      <w:r>
        <w:t>hun verwacht pensioen te zien in een ‘verwacht weer’-, ‘goed weer’- en ‘slecht weer’ economisch scenario, waarbij ook bij beide opties een neutrale beschrijving moet staan van de mogelijke voor- en nadelen</w:t>
      </w:r>
      <w:r w:rsidR="00B26810">
        <w:t xml:space="preserve"> </w:t>
      </w:r>
      <w:r w:rsidR="008068DC">
        <w:t>(artikel</w:t>
      </w:r>
      <w:r w:rsidR="00B26810">
        <w:t xml:space="preserve"> 150j PW dan</w:t>
      </w:r>
      <w:r w:rsidR="00AD4B41">
        <w:t xml:space="preserve"> </w:t>
      </w:r>
      <w:r w:rsidR="00B26810">
        <w:t xml:space="preserve">wel 145i </w:t>
      </w:r>
      <w:proofErr w:type="spellStart"/>
      <w:r w:rsidR="00B26810">
        <w:t>Wvb</w:t>
      </w:r>
      <w:proofErr w:type="spellEnd"/>
      <w:r w:rsidR="00B26810">
        <w:t xml:space="preserve">). </w:t>
      </w:r>
      <w:r>
        <w:t>De informatie die de pensioenuitvoerder verstrekt moet correct, duidelijk en evenwichtig zijn. De informatie wordt tijdig verstrekt (artikel 48, eerste lid PW</w:t>
      </w:r>
      <w:r w:rsidR="00191C07">
        <w:t xml:space="preserve"> </w:t>
      </w:r>
      <w:proofErr w:type="spellStart"/>
      <w:r w:rsidR="00191C07">
        <w:t>danwel</w:t>
      </w:r>
      <w:proofErr w:type="spellEnd"/>
      <w:r w:rsidR="00191C07">
        <w:t xml:space="preserve"> artikel 59, eerste lid PW</w:t>
      </w:r>
      <w:r>
        <w:t>). Er moet daarbij sprake zijn van een redelijke beslistermijn van ten minste zes weken voor deelnemers. Hierin moeten zij voldoende tijd hebben om in staat te zijn de informatie tot zich te nemen, hierover eventueel advies in te winnen en een passende keuze te maken. De deelnemer moet dus voldoende tijd hebben om een weloverwogen beslissing te kunnen nemen, zoals de voorschriften van de AFM voorschrijven.</w:t>
      </w:r>
    </w:p>
    <w:p w:rsidR="00184321" w:rsidP="000129D9" w:rsidRDefault="00184321" w14:paraId="7098DE79" w14:textId="2F8B5634"/>
    <w:p w:rsidR="000129D9" w:rsidP="000129D9" w:rsidRDefault="000129D9" w14:paraId="18AE02D8" w14:textId="5475B937">
      <w:r>
        <w:t xml:space="preserve">Indieners beogen pensioenfondsen in de praktijk de vrijheid te geven om zelf een afweging te maken in de keuze voor een apart </w:t>
      </w:r>
      <w:r w:rsidR="00D17D7A">
        <w:t>communicatie</w:t>
      </w:r>
      <w:r>
        <w:t>moment of om de keuze voor te leggen bij het al geplande communicatiemoment over de verwachte (individuele) gevolgen van het invaren. Hiermee wordt wettelijk gezien het lopende implementatietraject zowel voor de pensioenfondsen als voor de deelnemers zo min mogelijk extra belast, maar krijgen mensen wel een stem als het gaat over wat er gebeurt met hun reeds opgebouwde pensioenen.</w:t>
      </w:r>
    </w:p>
    <w:p w:rsidR="000129D9" w:rsidP="000129D9" w:rsidRDefault="000129D9" w14:paraId="4317510E" w14:textId="77777777"/>
    <w:p w:rsidR="000129D9" w:rsidP="000129D9" w:rsidRDefault="607F2333" w14:paraId="708D53DC" w14:textId="00A38F7F">
      <w:r>
        <w:t xml:space="preserve">Het toezicht op het individueel bezwaarrecht </w:t>
      </w:r>
      <w:proofErr w:type="spellStart"/>
      <w:r>
        <w:t>danwel</w:t>
      </w:r>
      <w:proofErr w:type="spellEnd"/>
      <w:r>
        <w:t xml:space="preserve"> collectief goedkeuringsrecht wordt gehouden door de toezichthouders DNB en de AFM. Hierbij is het wettelijk geldende toezichtkader zoals beschreven in artikel 151 van de Pensioenwet en artikel 146 van de Wet verplichte beroepspensioenregeling van toepassing. Net als nu gebruikelijk</w:t>
      </w:r>
      <w:r w:rsidR="000129D9">
        <w:rPr>
          <w:rStyle w:val="Voetnootmarkering"/>
        </w:rPr>
        <w:footnoteReference w:id="19"/>
      </w:r>
      <w:r>
        <w:t xml:space="preserve"> bij inspraak in collectieve waardeoverdrachten houdt de AFM vooraf toezicht op het individueel bezwaarrecht </w:t>
      </w:r>
      <w:proofErr w:type="spellStart"/>
      <w:r>
        <w:t>danwel</w:t>
      </w:r>
      <w:proofErr w:type="spellEnd"/>
      <w:r>
        <w:t xml:space="preserve"> collectief goedkeuringsrecht.</w:t>
      </w:r>
    </w:p>
    <w:p w:rsidR="000129D9" w:rsidP="002B67C7" w:rsidRDefault="000129D9" w14:paraId="548F7AB3" w14:textId="77777777"/>
    <w:p w:rsidRPr="00D145F2" w:rsidR="002B67C7" w:rsidP="002B67C7" w:rsidRDefault="002B67C7" w14:paraId="671FE63D" w14:textId="77777777">
      <w:pPr>
        <w:rPr>
          <w:u w:val="single"/>
        </w:rPr>
      </w:pPr>
      <w:r w:rsidRPr="00D145F2">
        <w:rPr>
          <w:u w:val="single"/>
        </w:rPr>
        <w:t>Evenwichtigheid en compensatie bij individueel bezwaarrecht</w:t>
      </w:r>
    </w:p>
    <w:p w:rsidR="00085CE5" w:rsidP="002B67C7" w:rsidRDefault="00D85785" w14:paraId="4682D897" w14:textId="004CDA51">
      <w:r>
        <w:t xml:space="preserve">Met dit amendement blijft invaren de standaard. </w:t>
      </w:r>
      <w:r w:rsidR="0056333A">
        <w:t>Een pensioenfonds dat wil invaren, kan daarmee de deelnemers</w:t>
      </w:r>
      <w:r w:rsidR="785185A2">
        <w:t xml:space="preserve"> zoals de wet nu voorschrijft</w:t>
      </w:r>
      <w:r w:rsidR="0056333A">
        <w:t xml:space="preserve"> goed uitleggen en overtuigen dat de omzetting van hun aanspraken</w:t>
      </w:r>
      <w:r w:rsidR="00F6139D">
        <w:t xml:space="preserve"> en rechten in hun belang is</w:t>
      </w:r>
      <w:r w:rsidR="00311F2C">
        <w:t xml:space="preserve">, zodat in verwachting het </w:t>
      </w:r>
      <w:r w:rsidR="00F6139D">
        <w:t xml:space="preserve">overgrote deel van de deelnemers </w:t>
      </w:r>
      <w:r w:rsidR="00311F2C">
        <w:t xml:space="preserve">zal </w:t>
      </w:r>
      <w:r w:rsidR="00F6139D">
        <w:t xml:space="preserve">instemmen met invaren. </w:t>
      </w:r>
    </w:p>
    <w:p w:rsidR="00311F2C" w:rsidP="002B67C7" w:rsidRDefault="00311F2C" w14:paraId="4892B488" w14:textId="77777777"/>
    <w:p w:rsidR="00DF2F05" w:rsidP="00DF2F05" w:rsidRDefault="002B67C7" w14:paraId="12CB321C" w14:textId="13C91E2E">
      <w:r>
        <w:t xml:space="preserve">Pensioenfondsen hebben </w:t>
      </w:r>
      <w:r w:rsidR="003E72C0">
        <w:t xml:space="preserve">natuurlijk </w:t>
      </w:r>
      <w:r>
        <w:t>de mogelijkheid om vooraf al te peilen welke mensen mogelijk bezwaar willen gaan maken, voordat het definitieve bezwaarrecht wordt voorgelegd. Dit geeft vooraf al meer inzicht in de mogelijke gevolgen. Bij het geven van individueel bezwaarrecht zijn de pensioenuitkomsten namelijk niet alleen afhankelijk van de dagkoersen op moment van invaren (denk aan de beurskoers en de hoogte van de rente), maar ook van de vraag welke deelnemers precies bezwaar maken. Pensioenfondsen hebben hier in de praktijk ervaring mee, want dit is inherent aan het individueel bezwaarrecht bij collectieve waardeoverdrachten zoals ook gebruikelijk</w:t>
      </w:r>
      <w:r w:rsidR="7F8AD6F1">
        <w:t xml:space="preserve"> was</w:t>
      </w:r>
      <w:r>
        <w:t xml:space="preserve"> voor de inwerkingtreding van de </w:t>
      </w:r>
      <w:proofErr w:type="spellStart"/>
      <w:r>
        <w:t>Wtp</w:t>
      </w:r>
      <w:proofErr w:type="spellEnd"/>
      <w:r>
        <w:t xml:space="preserve">. Het aantal bezwaarmakers kan daarmee ook invloed hebben op de evenwichtigheid van de groep die invaart. </w:t>
      </w:r>
    </w:p>
    <w:p w:rsidR="004309C3" w:rsidP="00DF2F05" w:rsidRDefault="004309C3" w14:paraId="0B95D918" w14:textId="77777777"/>
    <w:p w:rsidR="002B67C7" w:rsidP="002B67C7" w:rsidRDefault="002B67C7" w14:paraId="4DD091C5" w14:textId="55B4883F">
      <w:r>
        <w:t xml:space="preserve">Bij een relatief kleine groep bezwaarmakers is de impact in verwachting zeer beperkt. In het geval dat een grote groep deelnemers van een bepaalde leeftijdscategorie (bijvoorbeeld alle gepensioneerden, of alle niet-gepensioneerden) bezwaar maakt kan de evenwichtigheid mogelijk wel in gevaar komen. </w:t>
      </w:r>
    </w:p>
    <w:p w:rsidR="002B67C7" w:rsidP="002B67C7" w:rsidRDefault="002B67C7" w14:paraId="557503B6" w14:textId="1227EEED"/>
    <w:p w:rsidR="00616606" w:rsidP="002B67C7" w:rsidRDefault="002B67C7" w14:paraId="19A2F5F2" w14:textId="1E18BFFD">
      <w:r>
        <w:t xml:space="preserve">Sociale partners en pensioenfondsen </w:t>
      </w:r>
      <w:r w:rsidR="00EC56F3">
        <w:t xml:space="preserve">hoeven </w:t>
      </w:r>
      <w:r w:rsidR="00E107F2">
        <w:t>om te kijken of bij een grote groep bezwaarmakers het invaren voor de overgebleven groep nog evenwichtig is</w:t>
      </w:r>
      <w:r w:rsidR="00B345E3">
        <w:t>,</w:t>
      </w:r>
      <w:r w:rsidR="00E107F2">
        <w:t xml:space="preserve"> </w:t>
      </w:r>
      <w:r w:rsidR="00EC56F3">
        <w:t xml:space="preserve">geen aanpassingen aan hun </w:t>
      </w:r>
      <w:r w:rsidR="00E107F2">
        <w:t xml:space="preserve">bestaande </w:t>
      </w:r>
      <w:r w:rsidR="00EC56F3">
        <w:t>transitie- en invaarplannen te maken</w:t>
      </w:r>
      <w:r w:rsidR="00E107F2">
        <w:t xml:space="preserve">. </w:t>
      </w:r>
      <w:r>
        <w:t xml:space="preserve">Zij hebben </w:t>
      </w:r>
      <w:r w:rsidR="00E107F2">
        <w:t xml:space="preserve">namelijk al </w:t>
      </w:r>
      <w:r>
        <w:t>wettelijk verplicht</w:t>
      </w:r>
      <w:r w:rsidR="0D2C7BD3">
        <w:t>e</w:t>
      </w:r>
      <w:r>
        <w:t xml:space="preserve"> bandbreedtes vastgelegd rondom pensioenverwachtingen en netto-profijt, waarmee zij kunnen beoordelen of het invaren ondanks gewijzigde </w:t>
      </w:r>
      <w:r>
        <w:lastRenderedPageBreak/>
        <w:t>omstandigheden nog evenwichtig is. Het kan zijn dat door een wijziging in de financiële positie, op de beleggingsbeurzen, door de rente</w:t>
      </w:r>
      <w:r w:rsidR="00DB582A">
        <w:t xml:space="preserve">, </w:t>
      </w:r>
      <w:r>
        <w:t xml:space="preserve">door </w:t>
      </w:r>
      <w:r w:rsidR="00616606">
        <w:t xml:space="preserve">een grote </w:t>
      </w:r>
      <w:r>
        <w:t xml:space="preserve">groep bezwaarmakers </w:t>
      </w:r>
      <w:r w:rsidR="00DB582A">
        <w:t xml:space="preserve">of andere onvoorziene omstandigheden </w:t>
      </w:r>
      <w:r>
        <w:t>de invaaruitkomsten buiten de afgesproken bandbreedte van evenwichtigheid vallen. Pensioenfondsen moeten voor deze situatie nu al verplicht een plan B maken wat ze in dat geval doen, waarbij veel pensioenfondsen hebben afgesproken dan de plannen opnieuw te bezien</w:t>
      </w:r>
      <w:r>
        <w:rPr>
          <w:rStyle w:val="Voetnootmarkering"/>
        </w:rPr>
        <w:footnoteReference w:id="20"/>
      </w:r>
      <w:r>
        <w:t xml:space="preserve">. </w:t>
      </w:r>
    </w:p>
    <w:p w:rsidR="00616606" w:rsidP="002B67C7" w:rsidRDefault="00616606" w14:paraId="2B17BA51" w14:textId="77777777"/>
    <w:p w:rsidR="002B67C7" w:rsidP="002B67C7" w:rsidRDefault="002B67C7" w14:paraId="051C5275" w14:textId="1B7448D2">
      <w:r>
        <w:t>Hier wijzigt niets aan in het proces, behalve dat een pensioenfonds bij individueel bezwaarrecht ook door de selectie van de groep deelnemers</w:t>
      </w:r>
      <w:r w:rsidR="00B26810">
        <w:t xml:space="preserve"> die bezwaar maakt</w:t>
      </w:r>
      <w:r>
        <w:t xml:space="preserve">, mogelijk de plannen moet aanpassen. Dit zal in verwachting alleen het geval zijn als een grote en qua leeftijd onevenredig verdeelde groep bezwaar maakt. Waarbij pensioenfondsen zich überhaupt kunnen afvragen of het doorzetten van de afgesproken invaarplannen in dat geval dan wel verstandig is. </w:t>
      </w:r>
    </w:p>
    <w:p w:rsidR="003912C3" w:rsidP="002B67C7" w:rsidRDefault="003912C3" w14:paraId="45DE9B79" w14:textId="77777777"/>
    <w:p w:rsidR="002B67C7" w:rsidP="002B67C7" w:rsidRDefault="002B67C7" w14:paraId="0E4B621D" w14:textId="77777777">
      <w:r>
        <w:t>De compensatie voor de afschaffing doorsneesystematiek valt hier overigens buiten en kan sowieso evenwichtig vormgegeven worden, waarbij bezwaarmakers indien evenwichtig ook kunnen meebetalen aan de compensatie met dit amendement.</w:t>
      </w:r>
    </w:p>
    <w:p w:rsidR="002B67C7" w:rsidP="002B67C7" w:rsidRDefault="002B67C7" w14:paraId="7CFFB0CC" w14:textId="77777777"/>
    <w:p w:rsidRPr="00E10600" w:rsidR="003211B7" w:rsidP="003211B7" w:rsidRDefault="003211B7" w14:paraId="32A342C9" w14:textId="77777777">
      <w:pPr>
        <w:rPr>
          <w:u w:val="single"/>
        </w:rPr>
      </w:pPr>
      <w:r>
        <w:rPr>
          <w:u w:val="single"/>
        </w:rPr>
        <w:t>Collectief goedkeuringsrecht</w:t>
      </w:r>
    </w:p>
    <w:p w:rsidR="00791116" w:rsidP="00791116" w:rsidRDefault="00791116" w14:paraId="7839632F" w14:textId="55CA86A7">
      <w:r>
        <w:t>Individueel bezwaarrecht bij invaren is de standaard</w:t>
      </w:r>
      <w:r w:rsidR="001167D4">
        <w:t xml:space="preserve"> in dit amendement</w:t>
      </w:r>
      <w:r>
        <w:t xml:space="preserve">, pensioenfondsen kunnen daar alleen gemotiveerd van afwijken in de vorm van een collectief </w:t>
      </w:r>
      <w:r w:rsidR="00114057">
        <w:t>goedkeuring</w:t>
      </w:r>
      <w:r>
        <w:t xml:space="preserve">srecht. De verantwoordelijkheid om onderbouwd te motiveren waarom eventueel wordt afgeweken van het individueel bezwaarrecht door te kiezen voor collectief </w:t>
      </w:r>
      <w:r w:rsidR="00114057">
        <w:t>goedkeuring</w:t>
      </w:r>
      <w:r>
        <w:t xml:space="preserve">srecht ligt bij het pensioenfonds. Het individueel bezwaarrecht of collectief </w:t>
      </w:r>
      <w:r w:rsidR="008F74A0">
        <w:t>goedkeurings</w:t>
      </w:r>
      <w:r>
        <w:t>recht word</w:t>
      </w:r>
      <w:r w:rsidR="00B26810">
        <w:t>t</w:t>
      </w:r>
      <w:r w:rsidR="003B03B2">
        <w:t xml:space="preserve"> immers door</w:t>
      </w:r>
      <w:r w:rsidR="00275F41">
        <w:t xml:space="preserve"> het pensioenfonds </w:t>
      </w:r>
      <w:r>
        <w:t xml:space="preserve">uitgevoerd, dus pensioenfondsen hebben naar oordeel van de indieners het beste inzicht in de praktische situatie en de meest passende vorm van inspraak. </w:t>
      </w:r>
    </w:p>
    <w:p w:rsidR="00BD1C05" w:rsidP="00791116" w:rsidRDefault="00BD1C05" w14:paraId="36EC2558" w14:textId="77777777"/>
    <w:p w:rsidR="00BD1C05" w:rsidP="00791116" w:rsidRDefault="00892E04" w14:paraId="16FD5292" w14:textId="7E0B6ED6">
      <w:r>
        <w:t xml:space="preserve">De indieners zien in de praktijk dat er pensioenfondsen zijn die een vorm van collectief </w:t>
      </w:r>
      <w:r w:rsidR="004309E4">
        <w:t>goedkeurings</w:t>
      </w:r>
      <w:r>
        <w:t>recht hebben gegeven bij invaren. Bijvoorbeeld pensioenfondskring RBS</w:t>
      </w:r>
      <w:r>
        <w:rPr>
          <w:rStyle w:val="Voetnootmarkering"/>
        </w:rPr>
        <w:footnoteReference w:id="21"/>
      </w:r>
      <w:r>
        <w:t xml:space="preserve"> waar 60% van alle deelnemers is opgekomen en 99,5% voor invaren heeft gestemd, of PGB pensioenen </w:t>
      </w:r>
      <w:proofErr w:type="spellStart"/>
      <w:r>
        <w:t>Plukon</w:t>
      </w:r>
      <w:proofErr w:type="spellEnd"/>
      <w:r>
        <w:rPr>
          <w:rStyle w:val="Voetnootmarkering"/>
        </w:rPr>
        <w:footnoteReference w:id="22"/>
      </w:r>
      <w:r>
        <w:t xml:space="preserve"> die na een referendum hebben besloten om niet in te varen. </w:t>
      </w:r>
    </w:p>
    <w:p w:rsidRPr="006622EB" w:rsidR="003C6045" w:rsidDel="00F4632A" w:rsidP="002B67C7" w:rsidRDefault="003C6045" w14:paraId="420FF25F" w14:textId="2457C48F"/>
    <w:p w:rsidR="002B67C7" w:rsidP="002B67C7" w:rsidRDefault="002B67C7" w14:paraId="2AF6ACA3" w14:textId="11ADDCF5">
      <w:r>
        <w:t xml:space="preserve">Voor het collectief </w:t>
      </w:r>
      <w:r w:rsidR="0038033A">
        <w:t xml:space="preserve">goedkeuringsrecht </w:t>
      </w:r>
      <w:r>
        <w:t>willen de indieners zoveel mogelijk aansluiten bij de eisen van een collectieve waardeoverdracht naar een buitenlandse lidstaat (artikel 90a PW en artikel 98a Wet verplichte beroepspensioenregeling (</w:t>
      </w:r>
      <w:proofErr w:type="spellStart"/>
      <w:r>
        <w:t>Wvb</w:t>
      </w:r>
      <w:proofErr w:type="spellEnd"/>
      <w:r>
        <w:t xml:space="preserve">)), waarbij in dit amendement de meerderheid van de deelnemers, gewezen deelnemers, gewezen partners en de pensioengerechtigden die aan de </w:t>
      </w:r>
      <w:r w:rsidR="0038033A">
        <w:t>goedkeuring</w:t>
      </w:r>
      <w:r>
        <w:t xml:space="preserve">sprocedure deelnemen bepaalt of er ingevaren wordt of niet. Ofwel als meer dan 50% wil invaren dan varen alle bestaande rechten in. Als 50% of meer niet wil invaren, dan varen de bestaande rechten niet in. Om in te kunnen varen is tevens nodig dat ten minste 30% van alle betrokkenen </w:t>
      </w:r>
      <w:r w:rsidR="00005DCD">
        <w:t>(deelnemers, gewezen deelnemers, gewezen partners en de pensioengerechtigden</w:t>
      </w:r>
      <w:r w:rsidR="00357972">
        <w:t xml:space="preserve"> tezamen</w:t>
      </w:r>
      <w:r w:rsidR="00005DCD">
        <w:t>)</w:t>
      </w:r>
      <w:r>
        <w:t xml:space="preserve"> heeft gereageerd op een daartoe strekkend verzoek met het voorgenomen besluit met betrekking tot de collectieve waardeoverdracht, zodat de uitslag voldoende representatief is.</w:t>
      </w:r>
    </w:p>
    <w:p w:rsidRPr="006622EB" w:rsidR="002B67C7" w:rsidP="002B67C7" w:rsidRDefault="002B67C7" w14:paraId="5449AEAC" w14:textId="77777777"/>
    <w:p w:rsidRPr="006622EB" w:rsidR="002B67C7" w:rsidP="002B67C7" w:rsidRDefault="002B67C7" w14:paraId="29BEE4F0" w14:textId="552D83A2">
      <w:r>
        <w:t xml:space="preserve">Artikel 90a PW en artikel 98a </w:t>
      </w:r>
      <w:proofErr w:type="spellStart"/>
      <w:r>
        <w:t>Wvb</w:t>
      </w:r>
      <w:proofErr w:type="spellEnd"/>
      <w:r>
        <w:t xml:space="preserve"> vereisen instemming van een tweederdemeerderheid. In dit amendement is de drempel lager gezet, namelijk op een gewone meerderheid, ofwel de helft van de stemmen plus een. Het achterliggende idee is dat de meerderheid bepaalt of er al dan niet wordt ingevaren. In aanvulling op artikel 90a PW en 98a </w:t>
      </w:r>
      <w:proofErr w:type="spellStart"/>
      <w:r>
        <w:t>Wvb</w:t>
      </w:r>
      <w:proofErr w:type="spellEnd"/>
      <w:r>
        <w:t xml:space="preserve"> is een opkomstdrempel toegevoegd om te waarborgen dat de uitslag van het collectief </w:t>
      </w:r>
      <w:r w:rsidR="0038033A">
        <w:t>goedkeurings</w:t>
      </w:r>
      <w:r>
        <w:t xml:space="preserve">recht voldoende representatief is en de werkgever/beroepspensioenvereniging, die het verzoek tot invaren doet, </w:t>
      </w:r>
      <w:r w:rsidR="005E53EA">
        <w:t>samen met</w:t>
      </w:r>
      <w:r w:rsidR="001E5AC8">
        <w:t xml:space="preserve"> het pensioenfonds </w:t>
      </w:r>
      <w:r>
        <w:t>zich maximaal inspan</w:t>
      </w:r>
      <w:r w:rsidR="001E5AC8">
        <w:t>nen</w:t>
      </w:r>
      <w:r>
        <w:t xml:space="preserve"> om iedereen bij het collectief </w:t>
      </w:r>
      <w:r w:rsidR="0038033A">
        <w:t xml:space="preserve">goedkeuringsrecht </w:t>
      </w:r>
      <w:r>
        <w:t xml:space="preserve">te betrekken en alle betrokkenen ervan te overtuigen dat invaren evenwichtig is. </w:t>
      </w:r>
    </w:p>
    <w:p w:rsidRPr="006622EB" w:rsidR="002B67C7" w:rsidP="002B67C7" w:rsidRDefault="002B67C7" w14:paraId="1B61869C" w14:textId="77777777"/>
    <w:p w:rsidR="002B67C7" w:rsidP="002B67C7" w:rsidRDefault="002B67C7" w14:paraId="0775C3BA" w14:textId="4E1FB2F8">
      <w:r w:rsidRPr="006622EB">
        <w:t xml:space="preserve">Dicht aansluiten bij de eisen </w:t>
      </w:r>
      <w:r>
        <w:t>van</w:t>
      </w:r>
      <w:r w:rsidRPr="006622EB">
        <w:t xml:space="preserve"> al bestaande wetgeving voor collectieve waardeoverdrachten maakt dat de pensioensector en de toezichthouders zoveel mogelijk kunnen aansluiten bij al bestaande procedures</w:t>
      </w:r>
      <w:r w:rsidRPr="006622EB">
        <w:rPr>
          <w:vertAlign w:val="superscript"/>
        </w:rPr>
        <w:footnoteReference w:id="23"/>
      </w:r>
      <w:r w:rsidRPr="006622EB">
        <w:t xml:space="preserve">. Door het collectieve karakter zijn de uitkomsten van het </w:t>
      </w:r>
      <w:r w:rsidR="0038033A">
        <w:t>goedkeurings</w:t>
      </w:r>
      <w:r w:rsidRPr="006622EB" w:rsidR="0038033A">
        <w:t xml:space="preserve">recht </w:t>
      </w:r>
      <w:r w:rsidRPr="006622EB">
        <w:t>en daarmee ook de individuele gevolgen die je mensen kan voorleggen voorspelbaar: alle deelnemers, gewezen deelnemers</w:t>
      </w:r>
      <w:r>
        <w:t>, gewezen partners</w:t>
      </w:r>
      <w:r w:rsidRPr="006622EB">
        <w:t xml:space="preserve"> en pensioengerechtigden varen in (bij voldoende instemming) of </w:t>
      </w:r>
      <w:r w:rsidRPr="00CC433D">
        <w:t xml:space="preserve">varen niet in. </w:t>
      </w:r>
      <w:r w:rsidRPr="007F4348">
        <w:t>Ofwel alle bestaande rechten blijven staan in de huidige uitkeringsregeling, of alle rechten worden omgezet naar persoonlijke pensioenvermogens binnen de nieuwe premieregeling. Dit laat onverlet dat nieuwe pensioenopbouw sowieso in een nieuwe premieregeling zal plaatsvinden. Daarbij wordt bij zowel invaren als niet-invaren uitgegaan van dezelfde totale premie-inleg voor de nieuwe pensioenopbouw, zodat beide opties gelijkwaardig zijn.</w:t>
      </w:r>
      <w:r w:rsidRPr="006622EB">
        <w:t xml:space="preserve"> </w:t>
      </w:r>
    </w:p>
    <w:p w:rsidR="002B67C7" w:rsidP="002B67C7" w:rsidRDefault="002B67C7" w14:paraId="4BE25AC3" w14:textId="77777777">
      <w:pPr>
        <w:widowControl/>
      </w:pPr>
    </w:p>
    <w:p w:rsidRPr="00DD3B82" w:rsidR="002B67C7" w:rsidP="002B67C7" w:rsidRDefault="002B67C7" w14:paraId="45C0BA6A" w14:textId="3121BB1F">
      <w:pPr>
        <w:widowControl/>
        <w:rPr>
          <w:u w:val="single"/>
        </w:rPr>
      </w:pPr>
      <w:r w:rsidRPr="00DD3B82">
        <w:rPr>
          <w:u w:val="single"/>
        </w:rPr>
        <w:t>Evenwichtigheid en compensatie</w:t>
      </w:r>
      <w:r>
        <w:rPr>
          <w:u w:val="single"/>
        </w:rPr>
        <w:t xml:space="preserve"> bij collectief </w:t>
      </w:r>
      <w:r w:rsidR="0038033A">
        <w:rPr>
          <w:u w:val="single"/>
        </w:rPr>
        <w:t>goedkeuringsrecht</w:t>
      </w:r>
    </w:p>
    <w:p w:rsidRPr="00D02B68" w:rsidR="002B67C7" w:rsidP="002B67C7" w:rsidRDefault="002B67C7" w14:paraId="0DBC4A9B" w14:textId="77777777">
      <w:pPr>
        <w:widowControl/>
        <w:rPr>
          <w:rStyle w:val="Verwijzingopmerking"/>
          <w:rFonts w:eastAsiaTheme="minorHAnsi"/>
          <w:kern w:val="2"/>
          <w14:ligatures w14:val="standardContextual"/>
        </w:rPr>
      </w:pPr>
      <w:r>
        <w:t xml:space="preserve">Daarbij willen indieners benadrukken dat er bij gelijke totale premie-inleg logischerwijs zowel bij invaren als bij niet-invaren evenveel pensioenvermogen beschikbaar is voor toekomstige pensioenuitkeringen. De indieners realiseren zich dat sociale partners bij invaren nu vaak een deel van het bestaande vermogen, dat gereserveerd is voor de bestaande pensioenen, ineens willen afzonderen voor de toekomstige pensioenopbouw voor de groep van grofweg ‘45-55 jarige werknemers’. Als compensatie voor het feit dat deze groep door de nieuwe premiesystematiek in verwachting minder pensioen opbouwt in het nieuwe pensioenstelsel. </w:t>
      </w:r>
    </w:p>
    <w:p w:rsidRPr="00D02B68" w:rsidR="002B67C7" w:rsidP="002B67C7" w:rsidRDefault="002B67C7" w14:paraId="0B86C479" w14:textId="77777777">
      <w:pPr>
        <w:widowControl/>
        <w:rPr>
          <w:rStyle w:val="Verwijzingopmerking"/>
          <w:rFonts w:eastAsiaTheme="minorHAnsi"/>
          <w:kern w:val="2"/>
          <w14:ligatures w14:val="standardContextual"/>
        </w:rPr>
      </w:pPr>
    </w:p>
    <w:p w:rsidR="002B67C7" w:rsidP="002B67C7" w:rsidRDefault="002B67C7" w14:paraId="4C2C1738" w14:textId="3FE6FE70">
      <w:r>
        <w:t xml:space="preserve">Bij niet-invaren kan ook een deel van het bestaande pensioenvermogen in één keer worden afgezonderd om deze compensatieproblematiek op te lossen met dit amendement. Bij niet-invaren kan er evenwel/daarnaast ook voor een meer geleidelijke compensatie worden gekozen door middel van indexatie uit overrendementen op het bestaande pensioenvermogen. Hiermee zijn er zowel bij invaren als bij niet-invaren vergelijkbare mogelijkheden om te komen tot een goede evenwichtige belangenafweging conform artikel 105PW, zonder dat er druk ontstaat op de premie/loonruimte. </w:t>
      </w:r>
    </w:p>
    <w:p w:rsidR="002B67C7" w:rsidP="002B67C7" w:rsidRDefault="002B67C7" w14:paraId="5283A133" w14:textId="77777777"/>
    <w:p w:rsidR="002B67C7" w:rsidP="002B67C7" w:rsidRDefault="002B67C7" w14:paraId="1ECC03E9" w14:textId="761464BB">
      <w:r>
        <w:t xml:space="preserve">Hiermee komen indieners ook tegemoet aan de onderliggende zorgen in het advies van de Raad van State bij een eerdere versie van dit amendement, ten aanzien van financiën voor werkgevers/werknemers, evenwichtigheid, compensatie, pensioenperspectief voor groepen deelnemers en solidariteit bij de overgang naar het nieuwe stelsel. De uitslag van niet-invaren bij een collectief </w:t>
      </w:r>
      <w:r w:rsidR="0038033A">
        <w:t>goedkeurings</w:t>
      </w:r>
      <w:r>
        <w:t>recht leidt daarmee ook niet tot belastingtegenvallers door premieverhogingen en heeft ook geen financiële gevolgen voor de overheid als werkgever.</w:t>
      </w:r>
    </w:p>
    <w:p w:rsidR="002B67C7" w:rsidP="002B67C7" w:rsidRDefault="002B67C7" w14:paraId="13BEC815" w14:textId="77777777"/>
    <w:p w:rsidRPr="00130DE0" w:rsidR="002B67C7" w:rsidP="002B67C7" w:rsidRDefault="002B67C7" w14:paraId="190E7738" w14:textId="702C7D07">
      <w:r>
        <w:t xml:space="preserve">Pensioenfondsen hebben bij het bieden van collectief </w:t>
      </w:r>
      <w:r w:rsidR="0038033A">
        <w:t>goedkeurings</w:t>
      </w:r>
      <w:r>
        <w:t xml:space="preserve">recht de praktische verantwoordelijkheid om vooraf de consequenties van een scenario waarin niet ingevaren wordt in beeld te brengen. De indieners zijn van mening dat die consequenties van niet-invaren sowieso door elk pensioenfonds dat wil invaren in kaart moeten worden gebracht, ook zonder dit amendement. Al was het alleen maar om de deelnemers, gewezen deelnemers, gewezen partners en pensioengerechtigden eerlijk, volledig, objectief en zorgvuldig te kunnen informeren over de transitie en over de afweging die door het betrokken fonds is gemaakt tussen invaren en niet-invaren. En daarnaast ook omdat bij elk fonds de mogelijkheid voorligt om, in overeenstemming met de bepalingen van de </w:t>
      </w:r>
      <w:proofErr w:type="spellStart"/>
      <w:r>
        <w:t>Wtp</w:t>
      </w:r>
      <w:proofErr w:type="spellEnd"/>
      <w:r>
        <w:t xml:space="preserve">, te besluiten tot niet-invaren. Het amendement brengt in deze positie van de pensioenfondsen geen wijziging. Als zowel de consequenties van invaren als van niet-invaren in beeld zijn kan het collectief </w:t>
      </w:r>
      <w:r w:rsidR="0038033A">
        <w:t>goedkeurings</w:t>
      </w:r>
      <w:r>
        <w:t xml:space="preserve">recht eenvoudig aan deelnemers voorgelegd worden. </w:t>
      </w:r>
    </w:p>
    <w:p w:rsidR="002B67C7" w:rsidP="002B67C7" w:rsidRDefault="002B67C7" w14:paraId="049820F7" w14:textId="77777777"/>
    <w:p w:rsidRPr="0099385A" w:rsidR="002B67C7" w:rsidP="002B67C7" w:rsidRDefault="002B67C7" w14:paraId="5B3561FF" w14:textId="77777777">
      <w:pPr>
        <w:rPr>
          <w:u w:val="single"/>
        </w:rPr>
      </w:pPr>
      <w:r w:rsidRPr="0099385A">
        <w:rPr>
          <w:u w:val="single"/>
        </w:rPr>
        <w:t>Vergroten draagvlak en vertrouwen</w:t>
      </w:r>
    </w:p>
    <w:p w:rsidR="002B67C7" w:rsidP="002B67C7" w:rsidRDefault="6F806FD2" w14:paraId="29FD4B4E" w14:textId="44357EB5">
      <w:r>
        <w:t xml:space="preserve">Dit amendement beoogt het draagvlak voor de transitie en het vertrouwen in het pensioenstelsel te vergroten. Daarbij verkleint het geven van individueel bezwaarrecht </w:t>
      </w:r>
      <w:proofErr w:type="spellStart"/>
      <w:r>
        <w:t>danwel</w:t>
      </w:r>
      <w:proofErr w:type="spellEnd"/>
      <w:r>
        <w:t xml:space="preserve"> collectief </w:t>
      </w:r>
      <w:r w:rsidR="689FAC03">
        <w:t>goedkeurings</w:t>
      </w:r>
      <w:r>
        <w:t xml:space="preserve">recht </w:t>
      </w:r>
      <w:r>
        <w:lastRenderedPageBreak/>
        <w:t>en daarmee het geven van een stem aan de deelnemers van wie het pensioen is, in verwachting ook de juridische risico’s voor de staat, pensioenfondsen en werkgevers</w:t>
      </w:r>
      <w:r w:rsidR="002B67C7">
        <w:rPr>
          <w:rStyle w:val="Voetnootmarkering"/>
        </w:rPr>
        <w:footnoteReference w:id="24"/>
      </w:r>
      <w:r>
        <w:t>. Immers wordt</w:t>
      </w:r>
      <w:r w:rsidR="53832120">
        <w:t xml:space="preserve"> er</w:t>
      </w:r>
      <w:r>
        <w:t xml:space="preserve"> met het amendement weer een individueel bezwaarrecht geïntroduceerd, </w:t>
      </w:r>
      <w:proofErr w:type="spellStart"/>
      <w:r>
        <w:t>danwel</w:t>
      </w:r>
      <w:proofErr w:type="spellEnd"/>
      <w:r w:rsidR="7764BE6E">
        <w:t xml:space="preserve"> wordt</w:t>
      </w:r>
      <w:r>
        <w:t xml:space="preserve"> via een collectief </w:t>
      </w:r>
      <w:r w:rsidR="689FAC03">
        <w:t>goedkeurings</w:t>
      </w:r>
      <w:r>
        <w:t>recht het versterkte collectief medezeggenschap dat in plaats van individueel bezwaarrecht geïntroduceerd was om juridische risico’s te verkleinen, versterkt. Volgens het Sociaal Cultureel Planbureau</w:t>
      </w:r>
      <w:r w:rsidR="002B67C7">
        <w:rPr>
          <w:rStyle w:val="Voetnootmarkering"/>
        </w:rPr>
        <w:footnoteReference w:id="25"/>
      </w:r>
      <w:r>
        <w:t xml:space="preserve"> accepteren mensen gemaakte besluiten, ook als die niet in lijn zijn met hun wensen, vaker als ze zich meer gehoord voelen zoals met een referendum. Ook neemt door een individueel bezwaarrecht of collectief </w:t>
      </w:r>
      <w:r w:rsidR="689FAC03">
        <w:t>goedkeurings</w:t>
      </w:r>
      <w:r>
        <w:t xml:space="preserve">recht de kans op succesvolle juridische procedures af. Alhoewel de indieners zich ook realiseren dat dit amendement niet alle juridische risico’s kan wegnemen. </w:t>
      </w:r>
    </w:p>
    <w:p w:rsidR="002B67C7" w:rsidP="002B67C7" w:rsidRDefault="002B67C7" w14:paraId="753EB6BD" w14:textId="77777777"/>
    <w:p w:rsidRPr="00E10600" w:rsidR="002B67C7" w:rsidP="002B67C7" w:rsidRDefault="002B67C7" w14:paraId="01F574D6" w14:textId="77777777">
      <w:pPr>
        <w:rPr>
          <w:u w:val="single"/>
        </w:rPr>
      </w:pPr>
      <w:r w:rsidRPr="2A390AA7">
        <w:rPr>
          <w:u w:val="single"/>
        </w:rPr>
        <w:t>Overgangsrecht</w:t>
      </w:r>
    </w:p>
    <w:p w:rsidR="002B67C7" w:rsidP="002B67C7" w:rsidRDefault="002B67C7" w14:paraId="408FF91A" w14:textId="422EBD75">
      <w:r>
        <w:t xml:space="preserve">De indieners stellen een overgangstermijn in, voor pensioenfondsen die invaren </w:t>
      </w:r>
      <w:r w:rsidR="00CD4875">
        <w:t>uiterlijk</w:t>
      </w:r>
      <w:r>
        <w:t xml:space="preserve"> 60 dagen na </w:t>
      </w:r>
      <w:r w:rsidR="0070499F">
        <w:t>datum van uitgi</w:t>
      </w:r>
      <w:r w:rsidR="00FD4C63">
        <w:t>f</w:t>
      </w:r>
      <w:r w:rsidR="0070499F">
        <w:t>te van het Staatsblad waarin de Wet houdende</w:t>
      </w:r>
      <w:r w:rsidR="00615998">
        <w:t xml:space="preserve"> </w:t>
      </w:r>
      <w:r w:rsidR="00687CA4">
        <w:t>w</w:t>
      </w:r>
      <w:r>
        <w:t>ijziging van de Pensioenwet, de Wet op de loonbelasting 1964 en enige andere wetten in verband met de verlenging van de transitieperiode naar het nieuwe pensioenstelsel</w:t>
      </w:r>
      <w:r w:rsidR="5752F4A2">
        <w:t xml:space="preserve"> en het waarborgen van zeggenschap bij interne collectieve waardeoverdracht</w:t>
      </w:r>
      <w:r w:rsidR="00871459">
        <w:t xml:space="preserve"> </w:t>
      </w:r>
      <w:r w:rsidR="005E6224">
        <w:t>wordt bekendgemaakt</w:t>
      </w:r>
      <w:r>
        <w:t xml:space="preserve">. Voor pensioenfondsen die na die 60 dagen invaren is </w:t>
      </w:r>
      <w:r w:rsidR="00F674C1">
        <w:t>de</w:t>
      </w:r>
      <w:r>
        <w:t xml:space="preserve"> verplichte </w:t>
      </w:r>
      <w:r w:rsidR="00787CFF">
        <w:t>inspraak</w:t>
      </w:r>
      <w:r w:rsidR="003C0000">
        <w:t xml:space="preserve"> </w:t>
      </w:r>
      <w:r>
        <w:t xml:space="preserve">bij invaren van kracht. </w:t>
      </w:r>
    </w:p>
    <w:p w:rsidR="001978AA" w:rsidP="001978AA" w:rsidRDefault="001978AA" w14:paraId="05B2219D" w14:textId="0EC3E5E6"/>
    <w:p w:rsidRPr="00B30A2F" w:rsidR="009B257E" w:rsidP="004A6FAE" w:rsidRDefault="001978AA" w14:paraId="161102E1" w14:textId="30DDDCCF">
      <w:r>
        <w:t xml:space="preserve">Pensioenfondsen die na inwerkingtreding van de wet een implementatieplan met inbegrip van een communicatieplan indienen, moeten voldoen aan de aanvullingen op het implementatieplan en communicatieplan in verband met individueel bezwaar </w:t>
      </w:r>
      <w:proofErr w:type="spellStart"/>
      <w:r>
        <w:t>danwel</w:t>
      </w:r>
      <w:proofErr w:type="spellEnd"/>
      <w:r>
        <w:t xml:space="preserve"> een collectief </w:t>
      </w:r>
      <w:r w:rsidR="0038033A">
        <w:t>goedkeurings</w:t>
      </w:r>
      <w:r>
        <w:t xml:space="preserve">recht, zoals die </w:t>
      </w:r>
      <w:r w:rsidR="00CA78F4">
        <w:t xml:space="preserve">aanvullend </w:t>
      </w:r>
      <w:r>
        <w:t xml:space="preserve">in dit amendement zijn opgenomen. </w:t>
      </w:r>
      <w:r w:rsidR="004B5283">
        <w:t xml:space="preserve">Indien het </w:t>
      </w:r>
      <w:r w:rsidR="00542EEE">
        <w:t xml:space="preserve">implementatieplan met inbegrip van het communicatieplan </w:t>
      </w:r>
      <w:r w:rsidR="004B5283">
        <w:t xml:space="preserve">bij inwerkingtreding van de wet </w:t>
      </w:r>
      <w:r w:rsidR="00542EEE">
        <w:t>al is ingediend bij de toezichthouder</w:t>
      </w:r>
      <w:r w:rsidR="00B039A7">
        <w:t xml:space="preserve"> </w:t>
      </w:r>
      <w:r w:rsidR="004A6FAE">
        <w:t>legt het pensioenfonds</w:t>
      </w:r>
      <w:r w:rsidR="10EC9866">
        <w:t xml:space="preserve"> in</w:t>
      </w:r>
      <w:r w:rsidR="004A6FAE">
        <w:t xml:space="preserve"> </w:t>
      </w:r>
      <w:r w:rsidRPr="4F1579BB" w:rsidR="009B257E">
        <w:rPr>
          <w:color w:val="000000" w:themeColor="text1"/>
        </w:rPr>
        <w:t xml:space="preserve">een aanvulling </w:t>
      </w:r>
      <w:r w:rsidRPr="4F1579BB" w:rsidR="366180CA">
        <w:rPr>
          <w:color w:val="000000" w:themeColor="text1"/>
        </w:rPr>
        <w:t>daar</w:t>
      </w:r>
      <w:r w:rsidRPr="4F1579BB" w:rsidR="009B257E">
        <w:rPr>
          <w:color w:val="000000" w:themeColor="text1"/>
        </w:rPr>
        <w:t>op die plannen vast</w:t>
      </w:r>
      <w:r w:rsidRPr="4F1579BB" w:rsidR="006954D8">
        <w:rPr>
          <w:color w:val="000000" w:themeColor="text1"/>
        </w:rPr>
        <w:t>, tenzij het daadwerkelijke moment van invaren valt binnen de periode van 60 dagen.</w:t>
      </w:r>
    </w:p>
    <w:p w:rsidR="003F2F83" w:rsidP="003F2F83" w:rsidRDefault="003F2F83" w14:paraId="30CA58CE" w14:textId="77777777">
      <w:pPr>
        <w:tabs>
          <w:tab w:val="left" w:pos="6910"/>
        </w:tabs>
      </w:pPr>
    </w:p>
    <w:p w:rsidRPr="00B30A2F" w:rsidR="003F2F83" w:rsidP="003F2F83" w:rsidRDefault="003F2F83" w14:paraId="28108DDF" w14:textId="35C06408">
      <w:pPr>
        <w:tabs>
          <w:tab w:val="left" w:pos="6910"/>
        </w:tabs>
        <w:rPr>
          <w:u w:val="single"/>
        </w:rPr>
      </w:pPr>
      <w:r w:rsidRPr="00B30A2F">
        <w:rPr>
          <w:u w:val="single"/>
        </w:rPr>
        <w:t>Transitie FTK</w:t>
      </w:r>
    </w:p>
    <w:p w:rsidRPr="00B6766F" w:rsidR="000156F3" w:rsidP="00B30A2F" w:rsidRDefault="00A47DFA" w14:paraId="715ACF77" w14:textId="4CD13900">
      <w:pPr>
        <w:widowControl/>
        <w:autoSpaceDN w:val="0"/>
        <w:spacing w:line="240" w:lineRule="atLeast"/>
        <w:contextualSpacing/>
        <w:textAlignment w:val="baseline"/>
      </w:pPr>
      <w:r>
        <w:t>P</w:t>
      </w:r>
      <w:r w:rsidR="00F85D57">
        <w:t>ensioenfonds</w:t>
      </w:r>
      <w:r w:rsidR="00C64F89">
        <w:t xml:space="preserve">en </w:t>
      </w:r>
      <w:r>
        <w:t xml:space="preserve">kunnen gebruik </w:t>
      </w:r>
      <w:r w:rsidR="000E528F">
        <w:t xml:space="preserve">blijven </w:t>
      </w:r>
      <w:r>
        <w:t>maken</w:t>
      </w:r>
      <w:r w:rsidR="00C64F89">
        <w:t xml:space="preserve"> van het transitie FTK </w:t>
      </w:r>
      <w:r w:rsidR="000E528F">
        <w:t>met dit</w:t>
      </w:r>
      <w:r w:rsidR="00C64F89">
        <w:t xml:space="preserve"> amendement</w:t>
      </w:r>
      <w:r w:rsidR="00AB390C">
        <w:t>,</w:t>
      </w:r>
      <w:r w:rsidR="002D0651">
        <w:t xml:space="preserve"> onder </w:t>
      </w:r>
      <w:r w:rsidR="00EE1136">
        <w:t>de voorwaarde</w:t>
      </w:r>
      <w:r w:rsidR="00DD0812">
        <w:t xml:space="preserve"> zoals gesteld in artikel 150p PW</w:t>
      </w:r>
      <w:r w:rsidR="009E04BC">
        <w:t xml:space="preserve"> lid 1</w:t>
      </w:r>
      <w:r w:rsidR="00FE51D4">
        <w:t xml:space="preserve">, namelijk </w:t>
      </w:r>
      <w:r w:rsidR="00EE1136">
        <w:t xml:space="preserve">dat ze </w:t>
      </w:r>
      <w:r w:rsidR="00A166B4">
        <w:t xml:space="preserve">in verwachting </w:t>
      </w:r>
      <w:r w:rsidR="001E2389">
        <w:t>over</w:t>
      </w:r>
      <w:r w:rsidR="0061353C">
        <w:t>gaan</w:t>
      </w:r>
      <w:r w:rsidR="00A166B4">
        <w:t xml:space="preserve"> </w:t>
      </w:r>
      <w:r w:rsidR="001E2389">
        <w:t xml:space="preserve">tot </w:t>
      </w:r>
      <w:r w:rsidR="00A166B4">
        <w:t>invaren</w:t>
      </w:r>
      <w:r w:rsidR="002D0651">
        <w:t xml:space="preserve"> als geregeld in artikel 150m</w:t>
      </w:r>
      <w:r w:rsidR="009E04BC">
        <w:t xml:space="preserve">. </w:t>
      </w:r>
      <w:r w:rsidR="007755FB">
        <w:t>D</w:t>
      </w:r>
      <w:r w:rsidR="003733DE">
        <w:t xml:space="preserve">e verwachting voor de pensioenfondsen die willen invaren, blijft </w:t>
      </w:r>
      <w:r w:rsidR="00926469">
        <w:t xml:space="preserve">immers </w:t>
      </w:r>
      <w:r w:rsidR="003733DE">
        <w:t>invaren</w:t>
      </w:r>
      <w:r w:rsidR="001677FB">
        <w:t>,</w:t>
      </w:r>
      <w:r w:rsidR="003733DE">
        <w:t xml:space="preserve"> ook na aanname van dit amendement. </w:t>
      </w:r>
      <w:r w:rsidR="00267780">
        <w:t xml:space="preserve">Het kan zijn dat er </w:t>
      </w:r>
      <w:r w:rsidR="007E1D00">
        <w:t>achteraf</w:t>
      </w:r>
      <w:r w:rsidR="005B2752">
        <w:t xml:space="preserve"> </w:t>
      </w:r>
      <w:r w:rsidR="001677FB">
        <w:t xml:space="preserve">geheel of gedeeltelijk toch </w:t>
      </w:r>
      <w:r w:rsidR="007E1D00">
        <w:t xml:space="preserve">niet kan </w:t>
      </w:r>
      <w:r w:rsidR="003A19AC">
        <w:t xml:space="preserve">worden </w:t>
      </w:r>
      <w:r w:rsidR="007E1D00">
        <w:t>in</w:t>
      </w:r>
      <w:r w:rsidR="73E8985D">
        <w:t>ge</w:t>
      </w:r>
      <w:r w:rsidR="007E1D00">
        <w:t xml:space="preserve">varen, maar dit is </w:t>
      </w:r>
      <w:r w:rsidR="00CD06DE">
        <w:t>in feite</w:t>
      </w:r>
      <w:r w:rsidR="00E22264">
        <w:t xml:space="preserve"> </w:t>
      </w:r>
      <w:r w:rsidR="007E1D00">
        <w:t xml:space="preserve">niet anders dan de </w:t>
      </w:r>
      <w:r w:rsidR="00BC2D70">
        <w:t xml:space="preserve">huidige </w:t>
      </w:r>
      <w:r w:rsidR="007E1D00">
        <w:t xml:space="preserve">situatie van </w:t>
      </w:r>
      <w:r w:rsidR="00BC2D70">
        <w:t>pensioen</w:t>
      </w:r>
      <w:r w:rsidR="007E1D00">
        <w:t>fondsen</w:t>
      </w:r>
      <w:r w:rsidR="00515BB8">
        <w:t>. Immers</w:t>
      </w:r>
      <w:r w:rsidR="007E1D00">
        <w:t xml:space="preserve"> </w:t>
      </w:r>
      <w:r w:rsidR="00BC2D70">
        <w:t xml:space="preserve">ook </w:t>
      </w:r>
      <w:r w:rsidR="007E1D00">
        <w:t xml:space="preserve">zonder dit amendement </w:t>
      </w:r>
      <w:r w:rsidR="00263873">
        <w:t xml:space="preserve">is het </w:t>
      </w:r>
      <w:r w:rsidR="001A5FBE">
        <w:t xml:space="preserve">zo dat </w:t>
      </w:r>
      <w:r w:rsidR="00E559A2">
        <w:t xml:space="preserve">sociale partners en pensioenfondsen wel een intentie hebben </w:t>
      </w:r>
      <w:r w:rsidR="001A5FBE">
        <w:t>tot</w:t>
      </w:r>
      <w:r w:rsidR="00E559A2">
        <w:t xml:space="preserve"> invaren, maar nog niet</w:t>
      </w:r>
      <w:r w:rsidR="003A51BD">
        <w:t xml:space="preserve"> zeker</w:t>
      </w:r>
      <w:r w:rsidR="00E559A2">
        <w:t xml:space="preserve"> weten of ze ook daadwerkelijk gaan invaren</w:t>
      </w:r>
      <w:r w:rsidR="00532282">
        <w:t xml:space="preserve"> </w:t>
      </w:r>
      <w:r w:rsidR="003A51BD">
        <w:t xml:space="preserve">tot het zover is. </w:t>
      </w:r>
      <w:r w:rsidR="00532282">
        <w:t xml:space="preserve">Daarbij mag een pensioenfonds </w:t>
      </w:r>
      <w:r w:rsidR="003A51BD">
        <w:t xml:space="preserve">dat gebruik maakt van het transitie FTK ook </w:t>
      </w:r>
      <w:r w:rsidR="008B089C">
        <w:t>bij aann</w:t>
      </w:r>
      <w:r w:rsidR="48268A7C">
        <w:t>ame</w:t>
      </w:r>
      <w:r w:rsidR="008B089C">
        <w:t xml:space="preserve"> van dit amendement </w:t>
      </w:r>
      <w:r w:rsidR="003A51BD">
        <w:t xml:space="preserve">gebruik maken van </w:t>
      </w:r>
      <w:r w:rsidR="00532282">
        <w:t>versoepelde indexatieregels</w:t>
      </w:r>
      <w:r w:rsidR="0004363D">
        <w:t xml:space="preserve"> voor het invaren</w:t>
      </w:r>
      <w:r w:rsidR="000A7DA1">
        <w:t>, net zoals nu het geval is</w:t>
      </w:r>
      <w:r w:rsidR="001A5960">
        <w:t xml:space="preserve">. </w:t>
      </w:r>
    </w:p>
    <w:p w:rsidR="00741C49" w:rsidP="002B67C7" w:rsidRDefault="00741C49" w14:paraId="47976ABB" w14:textId="77777777"/>
    <w:p w:rsidRPr="00B30A2F" w:rsidR="003F2F83" w:rsidP="002B67C7" w:rsidRDefault="00F22A02" w14:paraId="01F44DE5" w14:textId="1F57CC3A">
      <w:pPr>
        <w:rPr>
          <w:u w:val="single"/>
        </w:rPr>
      </w:pPr>
      <w:r>
        <w:rPr>
          <w:u w:val="single"/>
        </w:rPr>
        <w:t>Financiële</w:t>
      </w:r>
      <w:r w:rsidR="003F2F83">
        <w:rPr>
          <w:u w:val="single"/>
        </w:rPr>
        <w:t xml:space="preserve"> consequenties</w:t>
      </w:r>
      <w:r w:rsidR="00926ED7">
        <w:rPr>
          <w:u w:val="single"/>
        </w:rPr>
        <w:t>, transitieperiode en compensatieperiode</w:t>
      </w:r>
    </w:p>
    <w:p w:rsidR="005F378C" w:rsidP="002B67C7" w:rsidRDefault="002B67C7" w14:paraId="0DAFD46B" w14:textId="68D1E9C5">
      <w:pPr>
        <w:tabs>
          <w:tab w:val="left" w:pos="6910"/>
        </w:tabs>
      </w:pPr>
      <w:r>
        <w:t xml:space="preserve">De financiële consequenties van het individueel bezwaarrecht </w:t>
      </w:r>
      <w:proofErr w:type="spellStart"/>
      <w:r>
        <w:t>danwel</w:t>
      </w:r>
      <w:proofErr w:type="spellEnd"/>
      <w:r>
        <w:t xml:space="preserve"> het collectief </w:t>
      </w:r>
      <w:r w:rsidR="0038033A">
        <w:t>goedkeurings</w:t>
      </w:r>
      <w:r>
        <w:t xml:space="preserve">recht liggen op werkgevers- en pensioenfondsniveau. </w:t>
      </w:r>
      <w:r w:rsidR="0066204F">
        <w:t xml:space="preserve">Naar verwachting brengt dit geen </w:t>
      </w:r>
      <w:r w:rsidR="00941AE5">
        <w:t>tot beperkte</w:t>
      </w:r>
      <w:r w:rsidR="0066204F">
        <w:t xml:space="preserve"> </w:t>
      </w:r>
      <w:r w:rsidR="00895D85">
        <w:t xml:space="preserve">extra </w:t>
      </w:r>
      <w:r w:rsidR="0066204F">
        <w:t>kosten met zich mee. Nu kennen pensioenfondsen vaak al meerdere regelingen naast elkaar</w:t>
      </w:r>
      <w:r w:rsidR="00F63F2E">
        <w:t>. Bijvoorbeeld een basisregeling en een netto regeling voor hogere inkomens</w:t>
      </w:r>
      <w:r w:rsidR="0066204F">
        <w:t xml:space="preserve">. </w:t>
      </w:r>
      <w:r w:rsidR="00F63F2E">
        <w:t>Daarnaast</w:t>
      </w:r>
      <w:r w:rsidR="0066204F">
        <w:t xml:space="preserve"> was</w:t>
      </w:r>
      <w:r w:rsidR="00667562">
        <w:t xml:space="preserve"> het</w:t>
      </w:r>
      <w:r w:rsidR="0066204F">
        <w:t xml:space="preserve"> altijd </w:t>
      </w:r>
      <w:r w:rsidR="00F63F2E">
        <w:t xml:space="preserve">al </w:t>
      </w:r>
      <w:r w:rsidR="0066204F">
        <w:t xml:space="preserve">zo dat bij een aanpassing van de pensioenregeling voor nieuwe pensioenopbouw, de bestaande pensioenrechten en aanspraken gewoon in stand bleven. </w:t>
      </w:r>
      <w:proofErr w:type="spellStart"/>
      <w:r w:rsidR="0066204F">
        <w:t>Danwel</w:t>
      </w:r>
      <w:proofErr w:type="spellEnd"/>
      <w:r w:rsidR="0066204F">
        <w:t xml:space="preserve"> dat het pensioenfonds individueel bezwaarrecht gaf als het ook bestaande pensioenrechten en -aanspraken wilde omzetten. Hier worden in de praktijk altijd </w:t>
      </w:r>
      <w:r w:rsidR="00F63F2E">
        <w:t>koste</w:t>
      </w:r>
      <w:r w:rsidR="00667562">
        <w:t>n</w:t>
      </w:r>
      <w:r w:rsidR="00F63F2E">
        <w:t>efficiënte</w:t>
      </w:r>
      <w:r w:rsidR="0066204F">
        <w:t xml:space="preserve"> oplossingen voor gezocht. Daarbij is het belangrijk te melden dat bestaande administratiesystemen sowieso in stand blijven omdat ongeveer een kwart van de pensioenfondsen niet (of slechts gedeeltelijk) invaart en omdat er fondsen zijn die een ‘vaste’ uitkeringsfase willen aanbieden binnen de flexibele regeling. Daarnaast is er met de overgang naar het nieuwe pensioenstelsel sprake van diverse overgangsregelingen zoals voor bestaande nabestaandenpensioenen en wezenpensioenen, die ook </w:t>
      </w:r>
      <w:r w:rsidR="0066204F">
        <w:lastRenderedPageBreak/>
        <w:t>decennialang naast elkaar blijven bestaan.</w:t>
      </w:r>
    </w:p>
    <w:p w:rsidR="005F378C" w:rsidP="002B67C7" w:rsidRDefault="005F378C" w14:paraId="19078DA9" w14:textId="77777777">
      <w:pPr>
        <w:tabs>
          <w:tab w:val="left" w:pos="6910"/>
        </w:tabs>
      </w:pPr>
    </w:p>
    <w:p w:rsidR="003F2F83" w:rsidP="002B67C7" w:rsidRDefault="002B67C7" w14:paraId="6B0A4751" w14:textId="52A75C8D">
      <w:pPr>
        <w:tabs>
          <w:tab w:val="left" w:pos="6910"/>
        </w:tabs>
      </w:pPr>
      <w:r>
        <w:t>Dit amendement beoogt geen nadere aanpassing van de compensatieperiode waarin de fiscale premiegrens wordt verhoogd om compensatie fiscaal te faciliteren.</w:t>
      </w:r>
      <w:r w:rsidR="59C30D62">
        <w:t xml:space="preserve"> Naar het oordeel van de indieners leidt het invoeren van een individueel bezwaarrecht </w:t>
      </w:r>
      <w:proofErr w:type="spellStart"/>
      <w:r w:rsidR="59C30D62">
        <w:t>danwel</w:t>
      </w:r>
      <w:proofErr w:type="spellEnd"/>
      <w:r w:rsidR="59C30D62">
        <w:t xml:space="preserve"> collectief </w:t>
      </w:r>
      <w:r w:rsidR="0038033A">
        <w:t>goedkeurings</w:t>
      </w:r>
      <w:r w:rsidR="59C30D62">
        <w:t>recht niet direc</w:t>
      </w:r>
      <w:r w:rsidR="60229ABE">
        <w:t>t</w:t>
      </w:r>
      <w:r w:rsidR="59C30D62">
        <w:t xml:space="preserve"> tot een verlenging van de transitieperiode of de compensatieperiode. Indieners realiseren zich dat </w:t>
      </w:r>
      <w:r w:rsidR="2AB8C1B4">
        <w:t>de transitieperiode (en bijbehorende</w:t>
      </w:r>
      <w:r>
        <w:t xml:space="preserve"> </w:t>
      </w:r>
      <w:r w:rsidR="2AB8C1B4">
        <w:t>compensatieperiode) allicht</w:t>
      </w:r>
      <w:r>
        <w:t xml:space="preserve"> </w:t>
      </w:r>
      <w:r w:rsidR="2AB8C1B4">
        <w:t>op een later moment verder verlengd moet</w:t>
      </w:r>
      <w:r>
        <w:t xml:space="preserve"> </w:t>
      </w:r>
      <w:r w:rsidR="2AB8C1B4">
        <w:t>worden, maar zijn</w:t>
      </w:r>
      <w:r>
        <w:t xml:space="preserve"> </w:t>
      </w:r>
      <w:r w:rsidR="2AB8C1B4">
        <w:t>van oordeel dat dit in dat</w:t>
      </w:r>
      <w:r>
        <w:t xml:space="preserve"> </w:t>
      </w:r>
      <w:r w:rsidR="2AB8C1B4">
        <w:t xml:space="preserve">geval in samenhang moet worden bezien in </w:t>
      </w:r>
      <w:r w:rsidR="4A456A69">
        <w:t>á</w:t>
      </w:r>
      <w:r w:rsidR="1FED3F26">
        <w:t>lle</w:t>
      </w:r>
      <w:r>
        <w:t xml:space="preserve"> </w:t>
      </w:r>
      <w:r w:rsidR="1FED3F26">
        <w:t>redenen die bestaan om de transitieperiode (en bijbehorende compensatieperiode) te verlengen. Dit kan bij inwerkingtreding van het wetsvoorstel ter verlenging van de transitieperiode</w:t>
      </w:r>
      <w:r w:rsidR="7B273765">
        <w:t xml:space="preserve"> bij een Algemene Maatregel van Bestuur</w:t>
      </w:r>
      <w:r w:rsidR="3C327E2E">
        <w:t xml:space="preserve"> op een later moment in de transitie.</w:t>
      </w:r>
      <w:r>
        <w:t xml:space="preserve"> Het toevoegen van een individueel bezwaarrecht of collectief </w:t>
      </w:r>
      <w:r w:rsidR="0038033A">
        <w:t>goedkeurings</w:t>
      </w:r>
      <w:r>
        <w:t>recht heeft volgens de indieners geen directe impact op de mijlpalen in het herstel- en veerkrachtplan. Met de wettelijke mogelijkheid om een deel van het vermogen ook bij niet-invaren af te zonderen voor de compensatie van de afschaffing van de doorsneesystematiek, zijn ook financiële consequenties voor de overheid als belastingontvanger en als werkgever niet van toepassing in dit amendement.</w:t>
      </w:r>
    </w:p>
    <w:p w:rsidR="00025B0F" w:rsidP="002B67C7" w:rsidRDefault="00025B0F" w14:paraId="74558893" w14:textId="77777777">
      <w:pPr>
        <w:tabs>
          <w:tab w:val="left" w:pos="6910"/>
        </w:tabs>
      </w:pPr>
    </w:p>
    <w:p w:rsidRPr="000562A3" w:rsidR="002B67C7" w:rsidP="002B67C7" w:rsidRDefault="002B67C7" w14:paraId="1EFD6CFB" w14:textId="77777777">
      <w:pPr>
        <w:tabs>
          <w:tab w:val="left" w:pos="6910"/>
        </w:tabs>
        <w:rPr>
          <w:u w:val="single"/>
        </w:rPr>
      </w:pPr>
      <w:r>
        <w:rPr>
          <w:u w:val="single"/>
        </w:rPr>
        <w:t>Diverse adviezen en wijze waarop die zijn meegenomen in het amendement</w:t>
      </w:r>
    </w:p>
    <w:p w:rsidR="002B67C7" w:rsidP="002B67C7" w:rsidRDefault="002B67C7" w14:paraId="7B4A9413" w14:textId="77777777">
      <w:pPr>
        <w:tabs>
          <w:tab w:val="left" w:pos="6910"/>
        </w:tabs>
      </w:pPr>
      <w:r>
        <w:t>Over inspraak en de vormgeving daarvan zijn diverse adviezen</w:t>
      </w:r>
      <w:r>
        <w:rPr>
          <w:rStyle w:val="Voetnootmarkering"/>
        </w:rPr>
        <w:footnoteReference w:id="26"/>
      </w:r>
      <w:r>
        <w:t xml:space="preserve"> uitgekomen, die hebben de indieners  meegenomen in de vormgeving van dit amendement. Enkele belangrijke onderdelen hieruit staan in onderstaande tabel samengevat:</w:t>
      </w:r>
    </w:p>
    <w:p w:rsidRPr="005D50FD" w:rsidR="002B67C7" w:rsidP="002B67C7" w:rsidRDefault="002B67C7" w14:paraId="771F9443" w14:textId="77777777">
      <w:pPr>
        <w:tabs>
          <w:tab w:val="left" w:pos="6910"/>
        </w:tabs>
        <w:rPr>
          <w:sz w:val="22"/>
          <w:szCs w:val="22"/>
        </w:rPr>
      </w:pPr>
    </w:p>
    <w:tbl>
      <w:tblPr>
        <w:tblStyle w:val="Tabelraster"/>
        <w:tblW w:w="0" w:type="auto"/>
        <w:tblLook w:val="04A0" w:firstRow="1" w:lastRow="0" w:firstColumn="1" w:lastColumn="0" w:noHBand="0" w:noVBand="1"/>
      </w:tblPr>
      <w:tblGrid>
        <w:gridCol w:w="3114"/>
        <w:gridCol w:w="6662"/>
      </w:tblGrid>
      <w:tr w:rsidRPr="009266C1" w:rsidR="002B67C7" w:rsidTr="60167E30" w14:paraId="06E5B6F7" w14:textId="77777777">
        <w:trPr>
          <w:trHeight w:val="622"/>
        </w:trPr>
        <w:tc>
          <w:tcPr>
            <w:tcW w:w="3114" w:type="dxa"/>
          </w:tcPr>
          <w:p w:rsidRPr="005D50FD" w:rsidR="002B67C7" w:rsidP="000E121B" w:rsidRDefault="002B67C7" w14:paraId="1187B5D2" w14:textId="77777777">
            <w:pPr>
              <w:rPr>
                <w:sz w:val="22"/>
                <w:szCs w:val="22"/>
              </w:rPr>
            </w:pPr>
            <w:r w:rsidRPr="005D50FD">
              <w:rPr>
                <w:sz w:val="22"/>
                <w:szCs w:val="22"/>
              </w:rPr>
              <w:t>Adviezen</w:t>
            </w:r>
          </w:p>
        </w:tc>
        <w:tc>
          <w:tcPr>
            <w:tcW w:w="6662" w:type="dxa"/>
          </w:tcPr>
          <w:p w:rsidRPr="005D50FD" w:rsidR="002B67C7" w:rsidP="000E121B" w:rsidRDefault="002B67C7" w14:paraId="1E56E6EC" w14:textId="77777777">
            <w:pPr>
              <w:rPr>
                <w:sz w:val="22"/>
                <w:szCs w:val="22"/>
              </w:rPr>
            </w:pPr>
            <w:r w:rsidRPr="005D50FD">
              <w:rPr>
                <w:sz w:val="22"/>
                <w:szCs w:val="22"/>
              </w:rPr>
              <w:t>Meegenomen in het vernieuwde amendement</w:t>
            </w:r>
          </w:p>
        </w:tc>
      </w:tr>
      <w:tr w:rsidRPr="009266C1" w:rsidR="002B67C7" w:rsidTr="60167E30" w14:paraId="340CD7EF" w14:textId="77777777">
        <w:tc>
          <w:tcPr>
            <w:tcW w:w="3114" w:type="dxa"/>
          </w:tcPr>
          <w:p w:rsidRPr="005D50FD" w:rsidR="002B67C7" w:rsidP="000E121B" w:rsidRDefault="002B67C7" w14:paraId="35A8E34B" w14:textId="77777777">
            <w:pPr>
              <w:rPr>
                <w:sz w:val="22"/>
                <w:szCs w:val="22"/>
              </w:rPr>
            </w:pPr>
            <w:r w:rsidRPr="005D50FD">
              <w:rPr>
                <w:sz w:val="22"/>
                <w:szCs w:val="22"/>
              </w:rPr>
              <w:t>Diverse pensioenexperts, jongeren- en ouderenorganisaties, Juridische analyse Peters, Raad voor de Rechtspraak</w:t>
            </w:r>
            <w:r w:rsidRPr="005D50FD">
              <w:rPr>
                <w:rStyle w:val="Voetnootmarkering"/>
                <w:sz w:val="22"/>
                <w:szCs w:val="22"/>
              </w:rPr>
              <w:footnoteReference w:id="27"/>
            </w:r>
          </w:p>
        </w:tc>
        <w:tc>
          <w:tcPr>
            <w:tcW w:w="6662" w:type="dxa"/>
          </w:tcPr>
          <w:p w:rsidRPr="005D50FD" w:rsidR="002B67C7" w:rsidP="000E121B" w:rsidRDefault="002B67C7" w14:paraId="2B248B9D" w14:textId="27AC0577">
            <w:pPr>
              <w:rPr>
                <w:sz w:val="22"/>
                <w:szCs w:val="22"/>
              </w:rPr>
            </w:pPr>
            <w:r w:rsidRPr="005D50FD">
              <w:rPr>
                <w:sz w:val="22"/>
                <w:szCs w:val="22"/>
              </w:rPr>
              <w:t xml:space="preserve">Individueel bezwaarrecht is de standaard, zodat iedereen zelf kan kiezen tussen een ‘vaste’ en een ‘variabele’ uitkering. Indien er geen individueel bezwaarrecht geboden wordt, moeten deelnemers ten minste een collectief </w:t>
            </w:r>
            <w:r w:rsidR="0038033A">
              <w:rPr>
                <w:sz w:val="22"/>
                <w:szCs w:val="22"/>
              </w:rPr>
              <w:t>goedkeurings</w:t>
            </w:r>
            <w:r w:rsidRPr="005D50FD" w:rsidR="0038033A">
              <w:rPr>
                <w:sz w:val="22"/>
                <w:szCs w:val="22"/>
              </w:rPr>
              <w:t xml:space="preserve">recht </w:t>
            </w:r>
            <w:r w:rsidRPr="005D50FD">
              <w:rPr>
                <w:sz w:val="22"/>
                <w:szCs w:val="22"/>
              </w:rPr>
              <w:t>krijgen bij invaren.</w:t>
            </w:r>
          </w:p>
        </w:tc>
      </w:tr>
      <w:tr w:rsidRPr="009266C1" w:rsidR="002B67C7" w:rsidTr="60167E30" w14:paraId="115B658F" w14:textId="77777777">
        <w:tc>
          <w:tcPr>
            <w:tcW w:w="3114" w:type="dxa"/>
          </w:tcPr>
          <w:p w:rsidRPr="005D50FD" w:rsidR="002B67C7" w:rsidP="000E121B" w:rsidRDefault="002B67C7" w14:paraId="6BC4B3C1" w14:textId="77777777">
            <w:pPr>
              <w:rPr>
                <w:sz w:val="22"/>
                <w:szCs w:val="22"/>
              </w:rPr>
            </w:pPr>
            <w:r w:rsidRPr="005D50FD">
              <w:rPr>
                <w:sz w:val="22"/>
                <w:szCs w:val="22"/>
              </w:rPr>
              <w:t xml:space="preserve">De Raad van State, de Pensioenfederatie, DNB, de </w:t>
            </w:r>
            <w:proofErr w:type="spellStart"/>
            <w:r w:rsidRPr="005D50FD">
              <w:rPr>
                <w:sz w:val="22"/>
                <w:szCs w:val="22"/>
              </w:rPr>
              <w:t>StAr</w:t>
            </w:r>
            <w:proofErr w:type="spellEnd"/>
            <w:r w:rsidRPr="005D50FD">
              <w:rPr>
                <w:sz w:val="22"/>
                <w:szCs w:val="22"/>
              </w:rPr>
              <w:t xml:space="preserve"> en ANBO-PCOB</w:t>
            </w:r>
            <w:r w:rsidRPr="005D50FD">
              <w:rPr>
                <w:rStyle w:val="Voetnootmarkering"/>
                <w:sz w:val="22"/>
                <w:szCs w:val="22"/>
              </w:rPr>
              <w:footnoteReference w:id="28"/>
            </w:r>
            <w:r w:rsidRPr="005D50FD">
              <w:rPr>
                <w:sz w:val="22"/>
                <w:szCs w:val="22"/>
              </w:rPr>
              <w:t xml:space="preserve"> vragen aandacht voor financiën en pensioenperspectief van groepen deelnemers in verband met compensatie in geval deelnemers inspraak krijgen</w:t>
            </w:r>
          </w:p>
        </w:tc>
        <w:tc>
          <w:tcPr>
            <w:tcW w:w="6662" w:type="dxa"/>
          </w:tcPr>
          <w:p w:rsidRPr="005D50FD" w:rsidR="002B67C7" w:rsidP="000E121B" w:rsidRDefault="002B67C7" w14:paraId="7430DB56" w14:textId="77777777">
            <w:pPr>
              <w:rPr>
                <w:sz w:val="22"/>
                <w:szCs w:val="22"/>
              </w:rPr>
            </w:pPr>
            <w:r w:rsidRPr="005D50FD">
              <w:rPr>
                <w:sz w:val="22"/>
                <w:szCs w:val="22"/>
              </w:rPr>
              <w:t>Dit amendement geeft zowel bij invaren als bij niet-invaren vergelijkbare mogelijkheden voor de vormgeving van compensatie, zonder druk op de premie/loonruimte bij werkgevers/werknemers en de overheid. Het amendement maakt namelijk compensatie vanuit het bestaande vermogen mogelijk, ook bij (gedeeltelijk) niet-invaren. Hierdoor ontstaat er door inspraak ook geen financiële claim voor de overheid als belastingontvanger en als werkgever.</w:t>
            </w:r>
          </w:p>
        </w:tc>
      </w:tr>
      <w:tr w:rsidRPr="009266C1" w:rsidR="002B67C7" w:rsidTr="60167E30" w14:paraId="01560EFF" w14:textId="77777777">
        <w:tc>
          <w:tcPr>
            <w:tcW w:w="3114" w:type="dxa"/>
          </w:tcPr>
          <w:p w:rsidRPr="005D50FD" w:rsidR="002B67C7" w:rsidP="000E121B" w:rsidRDefault="002B67C7" w14:paraId="7A53E767" w14:textId="77777777">
            <w:pPr>
              <w:rPr>
                <w:sz w:val="22"/>
                <w:szCs w:val="22"/>
              </w:rPr>
            </w:pPr>
            <w:r w:rsidRPr="005D50FD">
              <w:rPr>
                <w:sz w:val="22"/>
                <w:szCs w:val="22"/>
              </w:rPr>
              <w:t>De Raad van State vraagt aandacht voor evenwichtigheid van de besluitvorming in geval deelnemers inspraak krijgen.</w:t>
            </w:r>
          </w:p>
        </w:tc>
        <w:tc>
          <w:tcPr>
            <w:tcW w:w="6662" w:type="dxa"/>
          </w:tcPr>
          <w:p w:rsidRPr="005D50FD" w:rsidR="002B67C7" w:rsidP="000E121B" w:rsidRDefault="002B67C7" w14:paraId="7FE14D0E" w14:textId="0D5A7A9A">
            <w:pPr>
              <w:rPr>
                <w:sz w:val="22"/>
                <w:szCs w:val="22"/>
              </w:rPr>
            </w:pPr>
            <w:r w:rsidRPr="005D50FD">
              <w:rPr>
                <w:sz w:val="22"/>
                <w:szCs w:val="22"/>
              </w:rPr>
              <w:t>Pensioenfondsen moeten bij het inrichten van inspraak van deelnemers altijd rekening houden met evenwichtige belangenafweging. Dit schrijft de Raad van State</w:t>
            </w:r>
            <w:r w:rsidRPr="005D50FD">
              <w:rPr>
                <w:rStyle w:val="Voetnootmarkering"/>
                <w:sz w:val="22"/>
                <w:szCs w:val="22"/>
              </w:rPr>
              <w:footnoteReference w:id="29"/>
            </w:r>
            <w:r w:rsidRPr="005D50FD">
              <w:rPr>
                <w:sz w:val="22"/>
                <w:szCs w:val="22"/>
              </w:rPr>
              <w:t xml:space="preserve"> ook in haar advies over de </w:t>
            </w:r>
            <w:proofErr w:type="spellStart"/>
            <w:r w:rsidRPr="005D50FD">
              <w:rPr>
                <w:sz w:val="22"/>
                <w:szCs w:val="22"/>
              </w:rPr>
              <w:t>Wtp</w:t>
            </w:r>
            <w:proofErr w:type="spellEnd"/>
            <w:r w:rsidRPr="005D50FD">
              <w:rPr>
                <w:sz w:val="22"/>
                <w:szCs w:val="22"/>
              </w:rPr>
              <w:t xml:space="preserve"> zelf: “Ten overvloede zij opgemerkt dat ieder bestuursbesluit te allen tijde dient te voldoen aan de norm van een evenwichtige belangenafweging (artikel 105, tweede lid, van de Pensioenwet).” Dit betekent dus dat bij individueel bezwaarrecht in de uiteindelijk door het pensioenfonds </w:t>
            </w:r>
            <w:r w:rsidRPr="005D50FD">
              <w:rPr>
                <w:sz w:val="22"/>
                <w:szCs w:val="22"/>
              </w:rPr>
              <w:lastRenderedPageBreak/>
              <w:t xml:space="preserve">gekozen oplossing evenwichtige belangenafweging voorop moet staan. Ook bij collectief </w:t>
            </w:r>
            <w:r w:rsidR="0038033A">
              <w:rPr>
                <w:sz w:val="22"/>
                <w:szCs w:val="22"/>
              </w:rPr>
              <w:t>goedkeurings</w:t>
            </w:r>
            <w:r w:rsidRPr="005D50FD">
              <w:rPr>
                <w:sz w:val="22"/>
                <w:szCs w:val="22"/>
              </w:rPr>
              <w:t>recht moeten zowel het scenario invaren als het scenario niet-invaren evenwichtig vormgegeven worden. In de toelichting wordt hier nader op ingegaan</w:t>
            </w:r>
          </w:p>
        </w:tc>
      </w:tr>
      <w:tr w:rsidRPr="009266C1" w:rsidR="002B67C7" w:rsidTr="60167E30" w14:paraId="034C137C" w14:textId="77777777">
        <w:tc>
          <w:tcPr>
            <w:tcW w:w="3114" w:type="dxa"/>
          </w:tcPr>
          <w:p w:rsidRPr="005D50FD" w:rsidR="002B67C7" w:rsidP="000E121B" w:rsidRDefault="002B67C7" w14:paraId="5D89F852" w14:textId="77777777">
            <w:pPr>
              <w:rPr>
                <w:sz w:val="22"/>
                <w:szCs w:val="22"/>
              </w:rPr>
            </w:pPr>
            <w:r w:rsidRPr="005D50FD">
              <w:rPr>
                <w:sz w:val="22"/>
                <w:szCs w:val="22"/>
              </w:rPr>
              <w:lastRenderedPageBreak/>
              <w:t>De AFM vraagt aandacht voor keuzebegeleiding en informatieverstrekking</w:t>
            </w:r>
          </w:p>
        </w:tc>
        <w:tc>
          <w:tcPr>
            <w:tcW w:w="6662" w:type="dxa"/>
          </w:tcPr>
          <w:p w:rsidRPr="005D50FD" w:rsidR="002B67C7" w:rsidP="000E121B" w:rsidRDefault="002B67C7" w14:paraId="110837A9" w14:textId="29CA6C2D">
            <w:pPr>
              <w:rPr>
                <w:sz w:val="22"/>
                <w:szCs w:val="22"/>
              </w:rPr>
            </w:pPr>
            <w:r w:rsidRPr="4F1579BB">
              <w:rPr>
                <w:sz w:val="22"/>
                <w:szCs w:val="22"/>
              </w:rPr>
              <w:t xml:space="preserve">In het amendement is ter verduidelijking opgenomen dat bij inspraak bij invaren de strekking van artikel 48a Keuzebegeleiding PW overeenkomstig van toepassing is, door dit expliciet op te nemen in de wettekst. </w:t>
            </w:r>
            <w:r w:rsidRPr="4F1579BB" w:rsidR="0E959871">
              <w:rPr>
                <w:sz w:val="22"/>
                <w:szCs w:val="22"/>
              </w:rPr>
              <w:t xml:space="preserve">Ook is artikel 150j </w:t>
            </w:r>
            <w:r w:rsidRPr="4F1579BB" w:rsidR="133B2B8B">
              <w:rPr>
                <w:sz w:val="22"/>
                <w:szCs w:val="22"/>
              </w:rPr>
              <w:t>PW (</w:t>
            </w:r>
            <w:r w:rsidRPr="4F1579BB" w:rsidR="2D7730B1">
              <w:rPr>
                <w:sz w:val="22"/>
                <w:szCs w:val="22"/>
              </w:rPr>
              <w:t>Communicatieplan</w:t>
            </w:r>
            <w:r w:rsidRPr="4F1579BB" w:rsidR="63500E75">
              <w:rPr>
                <w:sz w:val="22"/>
                <w:szCs w:val="22"/>
              </w:rPr>
              <w:t>)</w:t>
            </w:r>
            <w:r w:rsidRPr="4F1579BB" w:rsidR="2D7730B1">
              <w:rPr>
                <w:sz w:val="22"/>
                <w:szCs w:val="22"/>
              </w:rPr>
              <w:t xml:space="preserve">  nader aangevuld. </w:t>
            </w:r>
            <w:r w:rsidRPr="4F1579BB">
              <w:rPr>
                <w:sz w:val="22"/>
                <w:szCs w:val="22"/>
              </w:rPr>
              <w:t>Daarnaast gaat de toelichting nader in op de informatieverstrekking die aansluit bij de leidraad informatieverstrekking aan deelnemers bij een Collectieve Waardeoverdracht van de AFM.</w:t>
            </w:r>
          </w:p>
        </w:tc>
      </w:tr>
      <w:tr w:rsidRPr="009266C1" w:rsidR="002B67C7" w:rsidTr="60167E30" w14:paraId="4DFA339C" w14:textId="77777777">
        <w:tc>
          <w:tcPr>
            <w:tcW w:w="3114" w:type="dxa"/>
          </w:tcPr>
          <w:p w:rsidRPr="005D50FD" w:rsidR="002B67C7" w:rsidP="000E121B" w:rsidRDefault="002B67C7" w14:paraId="18941B4B" w14:textId="77777777">
            <w:pPr>
              <w:rPr>
                <w:sz w:val="22"/>
                <w:szCs w:val="22"/>
              </w:rPr>
            </w:pPr>
            <w:r w:rsidRPr="005D50FD">
              <w:rPr>
                <w:sz w:val="22"/>
                <w:szCs w:val="22"/>
              </w:rPr>
              <w:t xml:space="preserve">De Raad van State, de Pensioenfederatie, DNB en de </w:t>
            </w:r>
            <w:proofErr w:type="spellStart"/>
            <w:r w:rsidRPr="005D50FD">
              <w:rPr>
                <w:sz w:val="22"/>
                <w:szCs w:val="22"/>
              </w:rPr>
              <w:t>StAr</w:t>
            </w:r>
            <w:proofErr w:type="spellEnd"/>
            <w:r w:rsidRPr="005D50FD">
              <w:rPr>
                <w:sz w:val="22"/>
                <w:szCs w:val="22"/>
              </w:rPr>
              <w:t xml:space="preserve"> vragen aandacht voor de gevolgen van het proces in de overstap naar het nieuwe pensioenstelsel</w:t>
            </w:r>
          </w:p>
        </w:tc>
        <w:tc>
          <w:tcPr>
            <w:tcW w:w="6662" w:type="dxa"/>
          </w:tcPr>
          <w:p w:rsidRPr="005D50FD" w:rsidR="002B67C7" w:rsidP="000E121B" w:rsidRDefault="002B67C7" w14:paraId="04E7DC47" w14:textId="17CA32FE">
            <w:pPr>
              <w:rPr>
                <w:sz w:val="22"/>
                <w:szCs w:val="22"/>
              </w:rPr>
            </w:pPr>
            <w:r w:rsidRPr="005D50FD">
              <w:rPr>
                <w:sz w:val="22"/>
                <w:szCs w:val="22"/>
              </w:rPr>
              <w:t>In het amendement is opgenomen welke eventuele aanvullende werkzaamheden nodig zijn om inspraak voor deelnemers vorm te geven</w:t>
            </w:r>
            <w:r w:rsidR="005D7670">
              <w:rPr>
                <w:sz w:val="22"/>
                <w:szCs w:val="22"/>
              </w:rPr>
              <w:t>, wie daarvoor verantwoordelijk is</w:t>
            </w:r>
            <w:r w:rsidRPr="005D50FD">
              <w:rPr>
                <w:sz w:val="22"/>
                <w:szCs w:val="22"/>
              </w:rPr>
              <w:t xml:space="preserve"> en hoe dit past in het lopende proces. </w:t>
            </w:r>
          </w:p>
        </w:tc>
      </w:tr>
      <w:tr w:rsidRPr="009266C1" w:rsidR="002B67C7" w:rsidTr="60167E30" w14:paraId="5D2FF991" w14:textId="77777777">
        <w:tc>
          <w:tcPr>
            <w:tcW w:w="3114" w:type="dxa"/>
          </w:tcPr>
          <w:p w:rsidRPr="005D50FD" w:rsidR="002B67C7" w:rsidP="000E121B" w:rsidRDefault="002B67C7" w14:paraId="129ABAC5" w14:textId="77777777">
            <w:pPr>
              <w:rPr>
                <w:sz w:val="22"/>
                <w:szCs w:val="22"/>
              </w:rPr>
            </w:pPr>
            <w:r w:rsidRPr="005D50FD">
              <w:rPr>
                <w:sz w:val="22"/>
                <w:szCs w:val="22"/>
              </w:rPr>
              <w:t>De Pensioenfederatie vraagt aandacht voor de overgangstermijn</w:t>
            </w:r>
          </w:p>
        </w:tc>
        <w:tc>
          <w:tcPr>
            <w:tcW w:w="6662" w:type="dxa"/>
          </w:tcPr>
          <w:p w:rsidRPr="005D50FD" w:rsidR="002B67C7" w:rsidP="000E121B" w:rsidRDefault="002B67C7" w14:paraId="54FBDBE6" w14:textId="1B4D64FA">
            <w:pPr>
              <w:rPr>
                <w:sz w:val="22"/>
                <w:szCs w:val="22"/>
              </w:rPr>
            </w:pPr>
            <w:r w:rsidRPr="4F1579BB">
              <w:rPr>
                <w:sz w:val="22"/>
                <w:szCs w:val="22"/>
              </w:rPr>
              <w:t xml:space="preserve">In het amendement is expliciet een overgangstermijn opgenomen na </w:t>
            </w:r>
            <w:r w:rsidRPr="4F1579BB" w:rsidR="2116DF75">
              <w:rPr>
                <w:sz w:val="22"/>
                <w:szCs w:val="22"/>
              </w:rPr>
              <w:t xml:space="preserve">uitgifte van het staatsblad </w:t>
            </w:r>
            <w:r w:rsidRPr="4F1579BB" w:rsidR="75BD3A8F">
              <w:rPr>
                <w:sz w:val="22"/>
                <w:szCs w:val="22"/>
              </w:rPr>
              <w:t>waarin de Wet houdende w</w:t>
            </w:r>
            <w:r w:rsidRPr="4F1579BB">
              <w:rPr>
                <w:sz w:val="22"/>
                <w:szCs w:val="22"/>
              </w:rPr>
              <w:t>ijziging van de Pensioenwet, de Wet op de loonbelasting 1964 en enige andere wetten in verband met de verlenging van de transitieperiode naar het nieuwe pensioenstelsel</w:t>
            </w:r>
            <w:r w:rsidRPr="4F1579BB" w:rsidR="0FB03140">
              <w:rPr>
                <w:sz w:val="22"/>
                <w:szCs w:val="22"/>
              </w:rPr>
              <w:t xml:space="preserve"> en het waarborgen van zeggenschap bij interne collectieve waardeoverdracht</w:t>
            </w:r>
            <w:r w:rsidRPr="4F1579BB">
              <w:rPr>
                <w:sz w:val="22"/>
                <w:szCs w:val="22"/>
              </w:rPr>
              <w:t xml:space="preserve"> </w:t>
            </w:r>
            <w:r w:rsidRPr="4F1579BB" w:rsidR="75BD3A8F">
              <w:rPr>
                <w:sz w:val="22"/>
                <w:szCs w:val="22"/>
              </w:rPr>
              <w:t>wordt bekendgemaakt.</w:t>
            </w:r>
            <w:r w:rsidRPr="4F1579BB">
              <w:rPr>
                <w:sz w:val="22"/>
                <w:szCs w:val="22"/>
              </w:rPr>
              <w:t xml:space="preserve"> </w:t>
            </w:r>
          </w:p>
        </w:tc>
      </w:tr>
      <w:tr w:rsidRPr="009266C1" w:rsidR="00497C95" w:rsidTr="60167E30" w14:paraId="7949A181" w14:textId="77777777">
        <w:tc>
          <w:tcPr>
            <w:tcW w:w="3114" w:type="dxa"/>
          </w:tcPr>
          <w:p w:rsidRPr="005D50FD" w:rsidR="00497C95" w:rsidP="000E121B" w:rsidRDefault="004F03AB" w14:paraId="4F3405D6" w14:textId="563BBEF4">
            <w:pPr>
              <w:rPr>
                <w:sz w:val="22"/>
                <w:szCs w:val="22"/>
              </w:rPr>
            </w:pPr>
            <w:r>
              <w:rPr>
                <w:sz w:val="22"/>
                <w:szCs w:val="22"/>
              </w:rPr>
              <w:t xml:space="preserve">De Minister vraagt aandacht voor de nodige </w:t>
            </w:r>
            <w:r w:rsidR="00C2694C">
              <w:rPr>
                <w:sz w:val="22"/>
                <w:szCs w:val="22"/>
              </w:rPr>
              <w:t xml:space="preserve">aanvullende </w:t>
            </w:r>
            <w:r>
              <w:rPr>
                <w:sz w:val="22"/>
                <w:szCs w:val="22"/>
              </w:rPr>
              <w:t>wetgeving</w:t>
            </w:r>
            <w:r w:rsidR="00BA477B">
              <w:rPr>
                <w:sz w:val="22"/>
                <w:szCs w:val="22"/>
              </w:rPr>
              <w:t xml:space="preserve"> </w:t>
            </w:r>
          </w:p>
        </w:tc>
        <w:tc>
          <w:tcPr>
            <w:tcW w:w="6662" w:type="dxa"/>
          </w:tcPr>
          <w:p w:rsidRPr="005D50FD" w:rsidR="00497C95" w:rsidP="000E121B" w:rsidRDefault="1FA3E4EB" w14:paraId="19D0C606" w14:textId="730D479C">
            <w:pPr>
              <w:rPr>
                <w:sz w:val="22"/>
                <w:szCs w:val="22"/>
              </w:rPr>
            </w:pPr>
            <w:r w:rsidRPr="4F1579BB">
              <w:rPr>
                <w:sz w:val="22"/>
                <w:szCs w:val="22"/>
              </w:rPr>
              <w:t>De wetgeving en toelichting in het amendement zijn aangescherpt en verduidelijkt rondom de toedeling vermogen</w:t>
            </w:r>
            <w:r w:rsidRPr="4F1579BB" w:rsidR="72794093">
              <w:rPr>
                <w:sz w:val="22"/>
                <w:szCs w:val="22"/>
              </w:rPr>
              <w:t xml:space="preserve"> (</w:t>
            </w:r>
            <w:r w:rsidRPr="4F1579BB" w:rsidR="367D5B74">
              <w:rPr>
                <w:sz w:val="22"/>
                <w:szCs w:val="22"/>
              </w:rPr>
              <w:t>150m</w:t>
            </w:r>
            <w:r w:rsidRPr="4F1579BB" w:rsidR="04028586">
              <w:rPr>
                <w:sz w:val="22"/>
                <w:szCs w:val="22"/>
              </w:rPr>
              <w:t>, 150l</w:t>
            </w:r>
            <w:r w:rsidRPr="4F1579BB" w:rsidR="72794093">
              <w:rPr>
                <w:sz w:val="22"/>
                <w:szCs w:val="22"/>
              </w:rPr>
              <w:t>)</w:t>
            </w:r>
            <w:r w:rsidRPr="4F1579BB">
              <w:rPr>
                <w:sz w:val="22"/>
                <w:szCs w:val="22"/>
              </w:rPr>
              <w:t>, voorwaarden voor keuzes en nieuwe afspraken</w:t>
            </w:r>
            <w:r w:rsidRPr="4F1579BB" w:rsidR="04028586">
              <w:rPr>
                <w:sz w:val="22"/>
                <w:szCs w:val="22"/>
              </w:rPr>
              <w:t xml:space="preserve"> (</w:t>
            </w:r>
            <w:r w:rsidRPr="4F1579BB" w:rsidR="77780643">
              <w:rPr>
                <w:sz w:val="22"/>
                <w:szCs w:val="22"/>
              </w:rPr>
              <w:t>150i</w:t>
            </w:r>
            <w:r w:rsidRPr="4F1579BB" w:rsidR="799EFE96">
              <w:rPr>
                <w:sz w:val="22"/>
                <w:szCs w:val="22"/>
              </w:rPr>
              <w:t>,</w:t>
            </w:r>
            <w:r w:rsidRPr="4F1579BB" w:rsidR="77780643">
              <w:rPr>
                <w:sz w:val="22"/>
                <w:szCs w:val="22"/>
              </w:rPr>
              <w:t>150j</w:t>
            </w:r>
            <w:r w:rsidRPr="4F1579BB" w:rsidR="7C27A86E">
              <w:rPr>
                <w:sz w:val="22"/>
                <w:szCs w:val="22"/>
              </w:rPr>
              <w:t xml:space="preserve"> en 150l</w:t>
            </w:r>
            <w:r w:rsidRPr="4F1579BB" w:rsidR="04028586">
              <w:rPr>
                <w:sz w:val="22"/>
                <w:szCs w:val="22"/>
              </w:rPr>
              <w:t>)</w:t>
            </w:r>
            <w:r w:rsidRPr="4F1579BB">
              <w:rPr>
                <w:sz w:val="22"/>
                <w:szCs w:val="22"/>
              </w:rPr>
              <w:t>, voorschriften informatieverstrekking en keuzebegeleiding</w:t>
            </w:r>
            <w:r w:rsidRPr="4F1579BB" w:rsidR="25E68962">
              <w:rPr>
                <w:sz w:val="22"/>
                <w:szCs w:val="22"/>
              </w:rPr>
              <w:t xml:space="preserve"> (</w:t>
            </w:r>
            <w:r w:rsidRPr="4F1579BB" w:rsidR="3666620F">
              <w:rPr>
                <w:sz w:val="22"/>
                <w:szCs w:val="22"/>
              </w:rPr>
              <w:t>150m en 150</w:t>
            </w:r>
            <w:r w:rsidRPr="4F1579BB" w:rsidR="7743563D">
              <w:rPr>
                <w:sz w:val="22"/>
                <w:szCs w:val="22"/>
              </w:rPr>
              <w:t>j</w:t>
            </w:r>
            <w:r w:rsidRPr="4F1579BB" w:rsidR="25E68962">
              <w:rPr>
                <w:sz w:val="22"/>
                <w:szCs w:val="22"/>
              </w:rPr>
              <w:t>)</w:t>
            </w:r>
            <w:r w:rsidRPr="4F1579BB">
              <w:rPr>
                <w:sz w:val="22"/>
                <w:szCs w:val="22"/>
              </w:rPr>
              <w:t>, voorwaarden transitie FTK</w:t>
            </w:r>
            <w:r w:rsidRPr="4F1579BB" w:rsidR="06576658">
              <w:rPr>
                <w:sz w:val="22"/>
                <w:szCs w:val="22"/>
              </w:rPr>
              <w:t xml:space="preserve"> (150p)</w:t>
            </w:r>
            <w:r w:rsidRPr="4F1579BB" w:rsidR="72794093">
              <w:rPr>
                <w:sz w:val="22"/>
                <w:szCs w:val="22"/>
              </w:rPr>
              <w:t xml:space="preserve"> en ten aanzien van eventuele verlenging tijdsduur van de transitieperiode en eventueel compensatieperiode</w:t>
            </w:r>
          </w:p>
        </w:tc>
      </w:tr>
    </w:tbl>
    <w:p w:rsidRPr="005D50FD" w:rsidR="002B67C7" w:rsidP="002B67C7" w:rsidRDefault="002B67C7" w14:paraId="148628EA" w14:textId="77777777">
      <w:pPr>
        <w:tabs>
          <w:tab w:val="left" w:pos="6910"/>
        </w:tabs>
        <w:rPr>
          <w:sz w:val="22"/>
          <w:szCs w:val="22"/>
        </w:rPr>
      </w:pPr>
      <w:r w:rsidRPr="005D50FD">
        <w:rPr>
          <w:sz w:val="22"/>
          <w:szCs w:val="22"/>
        </w:rPr>
        <w:tab/>
      </w:r>
    </w:p>
    <w:p w:rsidR="39D5DCF1" w:rsidP="0FFAE6F6" w:rsidRDefault="39D5DCF1" w14:paraId="0292F004" w14:textId="3404AF58">
      <w:r>
        <w:t>Joseph</w:t>
      </w:r>
    </w:p>
    <w:p w:rsidR="39D5DCF1" w:rsidP="0FFAE6F6" w:rsidRDefault="39D5DCF1" w14:paraId="754326DF" w14:textId="185EE075">
      <w:r>
        <w:t>Omtzigt</w:t>
      </w:r>
    </w:p>
    <w:p w:rsidR="39D5DCF1" w:rsidP="0FFAE6F6" w:rsidRDefault="39D5DCF1" w14:paraId="0D4E77EE" w14:textId="7F7FAFE4">
      <w:r>
        <w:t>Vermeer</w:t>
      </w:r>
    </w:p>
    <w:p w:rsidR="000153F1" w:rsidP="0FFAE6F6" w:rsidRDefault="000153F1" w14:paraId="06106F28" w14:textId="05D76AC3">
      <w:r>
        <w:t>Mulder</w:t>
      </w:r>
    </w:p>
    <w:p w:rsidR="00C21C1C" w:rsidP="0FFAE6F6" w:rsidRDefault="00C21C1C" w14:paraId="62BFA918" w14:textId="6C6520D6">
      <w:r>
        <w:t>Van Kent</w:t>
      </w:r>
    </w:p>
    <w:sectPr w:rsidR="00C21C1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C6E20" w14:textId="77777777" w:rsidR="001D1DAD" w:rsidRDefault="001D1DAD">
      <w:pPr>
        <w:spacing w:line="20" w:lineRule="exact"/>
      </w:pPr>
    </w:p>
  </w:endnote>
  <w:endnote w:type="continuationSeparator" w:id="0">
    <w:p w14:paraId="577D9EE2" w14:textId="77777777" w:rsidR="001D1DAD" w:rsidRDefault="001D1DAD">
      <w:pPr>
        <w:pStyle w:val="Amendement"/>
      </w:pPr>
      <w:r>
        <w:rPr>
          <w:b w:val="0"/>
        </w:rPr>
        <w:t xml:space="preserve"> </w:t>
      </w:r>
    </w:p>
  </w:endnote>
  <w:endnote w:type="continuationNotice" w:id="1">
    <w:p w14:paraId="3AD70104" w14:textId="77777777" w:rsidR="001D1DAD" w:rsidRDefault="001D1D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0C333" w14:textId="77777777" w:rsidR="001D1DAD" w:rsidRDefault="001D1DAD">
      <w:pPr>
        <w:pStyle w:val="Amendement"/>
      </w:pPr>
      <w:r>
        <w:rPr>
          <w:b w:val="0"/>
        </w:rPr>
        <w:separator/>
      </w:r>
    </w:p>
  </w:footnote>
  <w:footnote w:type="continuationSeparator" w:id="0">
    <w:p w14:paraId="532E5AED" w14:textId="77777777" w:rsidR="001D1DAD" w:rsidRDefault="001D1DAD">
      <w:r>
        <w:continuationSeparator/>
      </w:r>
    </w:p>
  </w:footnote>
  <w:footnote w:type="continuationNotice" w:id="1">
    <w:p w14:paraId="578F7A0C" w14:textId="77777777" w:rsidR="001D1DAD" w:rsidRDefault="001D1DAD"/>
  </w:footnote>
  <w:footnote w:id="2">
    <w:p w14:paraId="12D3C9B5" w14:textId="77777777" w:rsidR="002B67C7" w:rsidRDefault="002B67C7" w:rsidP="002B67C7">
      <w:pPr>
        <w:pStyle w:val="Voetnoottekst"/>
      </w:pPr>
      <w:r>
        <w:rPr>
          <w:rStyle w:val="Voetnootmarkering"/>
        </w:rPr>
        <w:footnoteRef/>
      </w:r>
      <w:r>
        <w:t xml:space="preserve"> </w:t>
      </w:r>
      <w:hyperlink r:id="rId1" w:history="1">
        <w:r w:rsidRPr="00AF0846">
          <w:rPr>
            <w:rStyle w:val="Hyperlink"/>
          </w:rPr>
          <w:t>Juridische analyse inzake Motie Joseph over risico’s van invaren | Tweede Kamer der Staten-Generaal</w:t>
        </w:r>
      </w:hyperlink>
      <w:r>
        <w:t xml:space="preserve"> </w:t>
      </w:r>
    </w:p>
  </w:footnote>
  <w:footnote w:id="3">
    <w:p w14:paraId="61EDD023" w14:textId="77777777" w:rsidR="002B67C7" w:rsidRDefault="002B67C7" w:rsidP="002B67C7">
      <w:pPr>
        <w:pStyle w:val="Voetnoottekst"/>
      </w:pPr>
      <w:r>
        <w:rPr>
          <w:rStyle w:val="Voetnootmarkering"/>
        </w:rPr>
        <w:footnoteRef/>
      </w:r>
      <w:r>
        <w:t xml:space="preserve"> </w:t>
      </w:r>
      <w:hyperlink r:id="rId2" w:history="1">
        <w:r>
          <w:rPr>
            <w:rStyle w:val="Hyperlink"/>
          </w:rPr>
          <w:t>Advies Raad voor de rechtspraak Wet toekomst pensioenen</w:t>
        </w:r>
      </w:hyperlink>
    </w:p>
  </w:footnote>
  <w:footnote w:id="4">
    <w:p w14:paraId="7B56AF12" w14:textId="77777777" w:rsidR="002B67C7" w:rsidRDefault="002B67C7" w:rsidP="002B67C7">
      <w:pPr>
        <w:pStyle w:val="Voetnoottekst"/>
      </w:pPr>
      <w:r>
        <w:rPr>
          <w:rStyle w:val="Voetnootmarkering"/>
        </w:rPr>
        <w:footnoteRef/>
      </w:r>
      <w:r>
        <w:t xml:space="preserve"> </w:t>
      </w:r>
      <w:hyperlink r:id="rId3" w:history="1">
        <w:r w:rsidRPr="00D45793">
          <w:rPr>
            <w:rStyle w:val="Hyperlink"/>
          </w:rPr>
          <w:t xml:space="preserve">Onderzoek tevredenheid over </w:t>
        </w:r>
        <w:proofErr w:type="spellStart"/>
        <w:r w:rsidRPr="00D45793">
          <w:rPr>
            <w:rStyle w:val="Hyperlink"/>
          </w:rPr>
          <w:t>hoorrecht</w:t>
        </w:r>
        <w:proofErr w:type="spellEnd"/>
        <w:r w:rsidRPr="00D45793">
          <w:rPr>
            <w:rStyle w:val="Hyperlink"/>
          </w:rPr>
          <w:t xml:space="preserve"> onder gewezen deelnemers en gepensioneerden | Tweede Kamer der Staten-Generaal</w:t>
        </w:r>
      </w:hyperlink>
      <w:r>
        <w:t xml:space="preserve"> en </w:t>
      </w:r>
      <w:hyperlink r:id="rId4" w:history="1">
        <w:r w:rsidRPr="00944D9F">
          <w:rPr>
            <w:rStyle w:val="Hyperlink"/>
          </w:rPr>
          <w:t xml:space="preserve">Flitspeiling </w:t>
        </w:r>
        <w:proofErr w:type="spellStart"/>
        <w:r w:rsidRPr="00944D9F">
          <w:rPr>
            <w:rStyle w:val="Hyperlink"/>
          </w:rPr>
          <w:t>hoorrecht</w:t>
        </w:r>
        <w:proofErr w:type="spellEnd"/>
        <w:r w:rsidRPr="00944D9F">
          <w:rPr>
            <w:rStyle w:val="Hyperlink"/>
          </w:rPr>
          <w:t xml:space="preserve"> SZW</w:t>
        </w:r>
      </w:hyperlink>
    </w:p>
  </w:footnote>
  <w:footnote w:id="5">
    <w:p w14:paraId="47873602" w14:textId="77777777" w:rsidR="002B67C7" w:rsidRDefault="002B67C7" w:rsidP="002B67C7">
      <w:pPr>
        <w:pStyle w:val="Voetnoottekst"/>
      </w:pPr>
      <w:r>
        <w:rPr>
          <w:rStyle w:val="Voetnootmarkering"/>
        </w:rPr>
        <w:footnoteRef/>
      </w:r>
      <w:r>
        <w:t xml:space="preserve"> Zie bijvoorbeeld ook </w:t>
      </w:r>
      <w:hyperlink r:id="rId5" w:history="1">
        <w:r w:rsidRPr="00DC0E1C">
          <w:rPr>
            <w:rStyle w:val="Hyperlink"/>
          </w:rPr>
          <w:t>Voorop | Vereniging Onze Opgebouwde Rechten op Pensioen</w:t>
        </w:r>
      </w:hyperlink>
    </w:p>
  </w:footnote>
  <w:footnote w:id="6">
    <w:p w14:paraId="292FB6EE" w14:textId="77777777" w:rsidR="002B67C7" w:rsidRDefault="002B67C7" w:rsidP="002B67C7">
      <w:pPr>
        <w:pStyle w:val="Voetnoottekst"/>
      </w:pPr>
      <w:r>
        <w:rPr>
          <w:rStyle w:val="Voetnootmarkering"/>
        </w:rPr>
        <w:footnoteRef/>
      </w:r>
      <w:r>
        <w:t xml:space="preserve"> </w:t>
      </w:r>
      <w:hyperlink r:id="rId6" w:history="1">
        <w:r w:rsidRPr="00724E63">
          <w:rPr>
            <w:rStyle w:val="Hyperlink"/>
          </w:rPr>
          <w:t xml:space="preserve">Rechtspositie van pensioendeelnemers stap voor stap uitgehold bij overgang naar nieuw stelsel - Follow </w:t>
        </w:r>
        <w:proofErr w:type="spellStart"/>
        <w:r w:rsidRPr="00724E63">
          <w:rPr>
            <w:rStyle w:val="Hyperlink"/>
          </w:rPr>
          <w:t>the</w:t>
        </w:r>
        <w:proofErr w:type="spellEnd"/>
        <w:r w:rsidRPr="00724E63">
          <w:rPr>
            <w:rStyle w:val="Hyperlink"/>
          </w:rPr>
          <w:t xml:space="preserve"> Money - Platform voor onderzoeksjournalistiek</w:t>
        </w:r>
      </w:hyperlink>
    </w:p>
  </w:footnote>
  <w:footnote w:id="7">
    <w:p w14:paraId="268997E3" w14:textId="77777777" w:rsidR="002B67C7" w:rsidRDefault="002B67C7" w:rsidP="002B67C7">
      <w:pPr>
        <w:pStyle w:val="Voetnoottekst"/>
      </w:pPr>
      <w:r>
        <w:rPr>
          <w:rStyle w:val="Voetnootmarkering"/>
        </w:rPr>
        <w:footnoteRef/>
      </w:r>
      <w:r>
        <w:t xml:space="preserve"> Zie bijvoorbeeld: </w:t>
      </w:r>
      <w:hyperlink r:id="rId7" w:history="1">
        <w:r w:rsidRPr="00C14033">
          <w:rPr>
            <w:rStyle w:val="Hyperlink"/>
          </w:rPr>
          <w:t>Brief aan Tweede Kamer der Staten: Wet toekomst pensioenen-instemmingsrecht bij invaren</w:t>
        </w:r>
      </w:hyperlink>
      <w:r>
        <w:t xml:space="preserve">, </w:t>
      </w:r>
      <w:hyperlink r:id="rId8" w:history="1">
        <w:r w:rsidRPr="00B65DC8">
          <w:rPr>
            <w:rStyle w:val="Hyperlink"/>
          </w:rPr>
          <w:t>ANBO-PCOB steunt voorstel voor individueel bezwaarrecht | ANBO-PCOB</w:t>
        </w:r>
      </w:hyperlink>
    </w:p>
  </w:footnote>
  <w:footnote w:id="8">
    <w:p w14:paraId="0794A7A0" w14:textId="77777777" w:rsidR="002B67C7" w:rsidRDefault="002B67C7" w:rsidP="002B67C7">
      <w:pPr>
        <w:pStyle w:val="Voetnoottekst"/>
      </w:pPr>
      <w:r w:rsidRPr="42BC0DD7">
        <w:rPr>
          <w:rStyle w:val="Voetnootmarkering"/>
        </w:rPr>
        <w:footnoteRef/>
      </w:r>
      <w:r>
        <w:t xml:space="preserve"> </w:t>
      </w:r>
      <w:hyperlink r:id="rId9">
        <w:r w:rsidRPr="42BC0DD7">
          <w:rPr>
            <w:rStyle w:val="Hyperlink"/>
          </w:rPr>
          <w:t>Rapport Pensioenpeiling (2024) - Nibud</w:t>
        </w:r>
      </w:hyperlink>
    </w:p>
  </w:footnote>
  <w:footnote w:id="9">
    <w:p w14:paraId="6CEF5587" w14:textId="77777777" w:rsidR="002B67C7" w:rsidRDefault="002B67C7" w:rsidP="002B67C7">
      <w:pPr>
        <w:pStyle w:val="Voetnoottekst"/>
      </w:pPr>
      <w:r w:rsidRPr="42BC0DD7">
        <w:rPr>
          <w:rStyle w:val="Voetnootmarkering"/>
        </w:rPr>
        <w:footnoteRef/>
      </w:r>
      <w:r>
        <w:t xml:space="preserve"> </w:t>
      </w:r>
      <w:hyperlink r:id="rId10">
        <w:r w:rsidRPr="42BC0DD7">
          <w:rPr>
            <w:rStyle w:val="Hyperlink"/>
          </w:rPr>
          <w:t xml:space="preserve">Deelnemers hebben in een pensioenfondsreferendum voorkeur voor het 'ingroeien’ van pensioenrechten - Me </w:t>
        </w:r>
        <w:proofErr w:type="spellStart"/>
        <w:r w:rsidRPr="42BC0DD7">
          <w:rPr>
            <w:rStyle w:val="Hyperlink"/>
          </w:rPr>
          <w:t>Judice</w:t>
        </w:r>
        <w:proofErr w:type="spellEnd"/>
      </w:hyperlink>
    </w:p>
  </w:footnote>
  <w:footnote w:id="10">
    <w:p w14:paraId="34B102EC" w14:textId="77777777" w:rsidR="002B67C7" w:rsidRDefault="002B67C7" w:rsidP="002B67C7">
      <w:pPr>
        <w:pStyle w:val="Voetnoottekst"/>
      </w:pPr>
      <w:r w:rsidRPr="42BC0DD7">
        <w:rPr>
          <w:rStyle w:val="Voetnootmarkering"/>
        </w:rPr>
        <w:footnoteRef/>
      </w:r>
      <w:r>
        <w:t xml:space="preserve"> </w:t>
      </w:r>
      <w:hyperlink r:id="rId11">
        <w:r w:rsidRPr="42BC0DD7">
          <w:rPr>
            <w:rStyle w:val="Hyperlink"/>
          </w:rPr>
          <w:t>’Nieuw stelsel te risicovol’ | Wat U Zegt | Telegraaf.nl</w:t>
        </w:r>
      </w:hyperlink>
    </w:p>
  </w:footnote>
  <w:footnote w:id="11">
    <w:p w14:paraId="05C9DA59" w14:textId="77777777" w:rsidR="002B67C7" w:rsidRDefault="002B67C7" w:rsidP="002B67C7">
      <w:pPr>
        <w:pStyle w:val="Voetnoottekst"/>
      </w:pPr>
      <w:r>
        <w:rPr>
          <w:rStyle w:val="Voetnootmarkering"/>
        </w:rPr>
        <w:footnoteRef/>
      </w:r>
      <w:r>
        <w:t xml:space="preserve"> </w:t>
      </w:r>
      <w:hyperlink r:id="rId12" w:history="1">
        <w:r w:rsidRPr="00C14033">
          <w:rPr>
            <w:rStyle w:val="Hyperlink"/>
          </w:rPr>
          <w:t>Brief aan Tweede Kamer der Staten: Wet toekomst pensioenen-instemmingsrecht bij invaren</w:t>
        </w:r>
      </w:hyperlink>
      <w:r>
        <w:t>,</w:t>
      </w:r>
    </w:p>
  </w:footnote>
  <w:footnote w:id="12">
    <w:p w14:paraId="2BCA4E2B" w14:textId="77777777" w:rsidR="002B67C7" w:rsidRDefault="002B67C7" w:rsidP="002B67C7">
      <w:pPr>
        <w:pStyle w:val="Voetnoottekst"/>
      </w:pPr>
      <w:r>
        <w:rPr>
          <w:rStyle w:val="Voetnootmarkering"/>
        </w:rPr>
        <w:footnoteRef/>
      </w:r>
      <w:r>
        <w:t xml:space="preserve"> </w:t>
      </w:r>
      <w:hyperlink r:id="rId13" w:history="1">
        <w:r w:rsidRPr="0094715B">
          <w:rPr>
            <w:rStyle w:val="Hyperlink"/>
          </w:rPr>
          <w:t>Voorstel individueel bezwaarrecht behoeft aanpassing | ANBO-PCOB</w:t>
        </w:r>
      </w:hyperlink>
    </w:p>
  </w:footnote>
  <w:footnote w:id="13">
    <w:p w14:paraId="0B258631" w14:textId="77777777" w:rsidR="002B67C7" w:rsidRDefault="002B67C7" w:rsidP="002B67C7">
      <w:pPr>
        <w:pStyle w:val="Voetnoottekst"/>
      </w:pPr>
      <w:r>
        <w:rPr>
          <w:rStyle w:val="Voetnootmarkering"/>
        </w:rPr>
        <w:footnoteRef/>
      </w:r>
      <w:r>
        <w:t xml:space="preserve"> </w:t>
      </w:r>
      <w:hyperlink r:id="rId14" w:history="1">
        <w:r w:rsidRPr="0071147B">
          <w:rPr>
            <w:rStyle w:val="Hyperlink"/>
          </w:rPr>
          <w:t>TRANSITIENIEUWS – Sectorbeeld WTP-transitie: later invaren en minder gebruik transitie-</w:t>
        </w:r>
        <w:proofErr w:type="spellStart"/>
        <w:r w:rsidRPr="0071147B">
          <w:rPr>
            <w:rStyle w:val="Hyperlink"/>
          </w:rPr>
          <w:t>ftk</w:t>
        </w:r>
        <w:proofErr w:type="spellEnd"/>
        <w:r w:rsidRPr="0071147B">
          <w:rPr>
            <w:rStyle w:val="Hyperlink"/>
          </w:rPr>
          <w:t xml:space="preserve"> | De Nederlandsche Bank</w:t>
        </w:r>
      </w:hyperlink>
    </w:p>
  </w:footnote>
  <w:footnote w:id="14">
    <w:p w14:paraId="3999AC9D" w14:textId="77777777" w:rsidR="002B67C7" w:rsidRDefault="002B67C7" w:rsidP="002B67C7">
      <w:pPr>
        <w:pStyle w:val="Voetnoottekst"/>
      </w:pPr>
      <w:r>
        <w:rPr>
          <w:rStyle w:val="Voetnootmarkering"/>
        </w:rPr>
        <w:footnoteRef/>
      </w:r>
      <w:r>
        <w:t xml:space="preserve"> </w:t>
      </w:r>
      <w:hyperlink r:id="rId15" w:history="1">
        <w:proofErr w:type="spellStart"/>
        <w:r w:rsidRPr="00231393">
          <w:rPr>
            <w:rStyle w:val="Hyperlink"/>
          </w:rPr>
          <w:t>Veelgestelde</w:t>
        </w:r>
        <w:proofErr w:type="spellEnd"/>
        <w:r w:rsidRPr="00231393">
          <w:rPr>
            <w:rStyle w:val="Hyperlink"/>
          </w:rPr>
          <w:t xml:space="preserve"> vragen naar aanleiding van de online bijeenkomst op 14 oktober</w:t>
        </w:r>
      </w:hyperlink>
    </w:p>
  </w:footnote>
  <w:footnote w:id="15">
    <w:p w14:paraId="577FE052" w14:textId="77777777" w:rsidR="002B67C7" w:rsidRDefault="002B67C7" w:rsidP="002B67C7">
      <w:pPr>
        <w:pStyle w:val="Voetnoottekst"/>
      </w:pPr>
      <w:r>
        <w:rPr>
          <w:rStyle w:val="Voetnootmarkering"/>
        </w:rPr>
        <w:footnoteRef/>
      </w:r>
      <w:r>
        <w:t xml:space="preserve"> </w:t>
      </w:r>
      <w:hyperlink r:id="rId16" w:history="1">
        <w:r w:rsidRPr="4FC5BF7C">
          <w:rPr>
            <w:rStyle w:val="Hyperlink"/>
          </w:rPr>
          <w:t>TRANSITIENIEUWS - Belangrijke rol fondsen bij keuze om niet in te varen | De Nederlandsche Bank</w:t>
        </w:r>
      </w:hyperlink>
    </w:p>
  </w:footnote>
  <w:footnote w:id="16">
    <w:p w14:paraId="4FC1E62A" w14:textId="77777777" w:rsidR="00DC48B6" w:rsidRDefault="00DC48B6" w:rsidP="00DC48B6">
      <w:pPr>
        <w:pStyle w:val="Voetnoottekst"/>
      </w:pPr>
      <w:r>
        <w:rPr>
          <w:rStyle w:val="Voetnootmarkering"/>
        </w:rPr>
        <w:footnoteRef/>
      </w:r>
      <w:r>
        <w:t xml:space="preserve"> </w:t>
      </w:r>
      <w:hyperlink r:id="rId17" w:history="1">
        <w:r w:rsidRPr="00E5769C">
          <w:rPr>
            <w:rStyle w:val="Hyperlink"/>
          </w:rPr>
          <w:t>Uitgangspunten beoordeling voornemen tot collectieve waardeoverdracht tussen pensioenfondsen | De Nederlandsche Bank</w:t>
        </w:r>
      </w:hyperlink>
    </w:p>
  </w:footnote>
  <w:footnote w:id="17">
    <w:p w14:paraId="40FBB672" w14:textId="77777777" w:rsidR="002B66F7" w:rsidRDefault="002B66F7" w:rsidP="002B66F7">
      <w:pPr>
        <w:pStyle w:val="Voetnoottekst"/>
      </w:pPr>
      <w:r>
        <w:rPr>
          <w:rStyle w:val="Voetnootmarkering"/>
        </w:rPr>
        <w:footnoteRef/>
      </w:r>
      <w:r>
        <w:t xml:space="preserve"> </w:t>
      </w:r>
      <w:hyperlink r:id="rId18" w:history="1">
        <w:r w:rsidRPr="00F41F29">
          <w:rPr>
            <w:rStyle w:val="Hyperlink"/>
          </w:rPr>
          <w:t>Groothandelsfonds geeft deelnemers individueel instemmingsrecht | Pensioen Pro</w:t>
        </w:r>
      </w:hyperlink>
    </w:p>
  </w:footnote>
  <w:footnote w:id="18">
    <w:p w14:paraId="153CB288" w14:textId="77777777" w:rsidR="000129D9" w:rsidRDefault="000129D9" w:rsidP="000129D9">
      <w:pPr>
        <w:pStyle w:val="Voetnoottekst"/>
      </w:pPr>
      <w:r w:rsidRPr="77ED5B47">
        <w:rPr>
          <w:rStyle w:val="Voetnootmarkering"/>
        </w:rPr>
        <w:footnoteRef/>
      </w:r>
      <w:r>
        <w:t xml:space="preserve"> </w:t>
      </w:r>
      <w:hyperlink r:id="rId19" w:history="1">
        <w:r w:rsidRPr="77ED5B47">
          <w:rPr>
            <w:rStyle w:val="Hyperlink"/>
          </w:rPr>
          <w:t>Collectieve waardeoverdracht</w:t>
        </w:r>
      </w:hyperlink>
      <w:r>
        <w:t xml:space="preserve"> en </w:t>
      </w:r>
      <w:hyperlink r:id="rId20" w:history="1">
        <w:r w:rsidRPr="77ED5B47">
          <w:rPr>
            <w:rStyle w:val="Hyperlink"/>
          </w:rPr>
          <w:t>Leidraad informatieverstrekking-collectieve waardeoverdracht</w:t>
        </w:r>
      </w:hyperlink>
      <w:r>
        <w:t xml:space="preserve"> </w:t>
      </w:r>
    </w:p>
  </w:footnote>
  <w:footnote w:id="19">
    <w:p w14:paraId="5499D19D" w14:textId="77777777" w:rsidR="000129D9" w:rsidRDefault="000129D9" w:rsidP="000129D9">
      <w:pPr>
        <w:pStyle w:val="Voetnoottekst"/>
      </w:pPr>
      <w:r>
        <w:rPr>
          <w:rStyle w:val="Voetnootmarkering"/>
        </w:rPr>
        <w:footnoteRef/>
      </w:r>
      <w:r>
        <w:t xml:space="preserve"> </w:t>
      </w:r>
      <w:hyperlink r:id="rId21" w:history="1">
        <w:r w:rsidRPr="0058615F">
          <w:rPr>
            <w:rStyle w:val="Hyperlink"/>
          </w:rPr>
          <w:t>Collectieve waardeoverdracht</w:t>
        </w:r>
      </w:hyperlink>
    </w:p>
  </w:footnote>
  <w:footnote w:id="20">
    <w:p w14:paraId="4795B5D1" w14:textId="77777777" w:rsidR="002B67C7" w:rsidRDefault="002B67C7" w:rsidP="002B67C7">
      <w:pPr>
        <w:pStyle w:val="Voetnoottekst"/>
      </w:pPr>
      <w:r>
        <w:rPr>
          <w:rStyle w:val="Voetnootmarkering"/>
        </w:rPr>
        <w:footnoteRef/>
      </w:r>
      <w:r>
        <w:t xml:space="preserve"> Zie bijvoorbeeld ook </w:t>
      </w:r>
      <w:hyperlink r:id="rId22" w:history="1">
        <w:r w:rsidRPr="003D2513">
          <w:rPr>
            <w:rStyle w:val="Hyperlink"/>
          </w:rPr>
          <w:t>Pensioenfondsen beven door beursdrama: ’Compensatie bij overgang naar nieuwe stelsel in gevaar’ | Financieel | Telegraaf.nl</w:t>
        </w:r>
      </w:hyperlink>
    </w:p>
  </w:footnote>
  <w:footnote w:id="21">
    <w:p w14:paraId="6C9E0807" w14:textId="77777777" w:rsidR="00892E04" w:rsidRDefault="00892E04" w:rsidP="00892E04">
      <w:pPr>
        <w:pStyle w:val="Voetnoottekst"/>
      </w:pPr>
      <w:r>
        <w:rPr>
          <w:rStyle w:val="Voetnootmarkering"/>
        </w:rPr>
        <w:footnoteRef/>
      </w:r>
      <w:r>
        <w:t xml:space="preserve"> </w:t>
      </w:r>
      <w:hyperlink r:id="rId23" w:history="1">
        <w:r w:rsidRPr="00266DA1">
          <w:rPr>
            <w:rStyle w:val="Hyperlink"/>
          </w:rPr>
          <w:t xml:space="preserve">Voormalig </w:t>
        </w:r>
        <w:proofErr w:type="spellStart"/>
        <w:r w:rsidRPr="00266DA1">
          <w:rPr>
            <w:rStyle w:val="Hyperlink"/>
          </w:rPr>
          <w:t>RBS’ers</w:t>
        </w:r>
        <w:proofErr w:type="spellEnd"/>
        <w:r w:rsidRPr="00266DA1">
          <w:rPr>
            <w:rStyle w:val="Hyperlink"/>
          </w:rPr>
          <w:t xml:space="preserve"> kiezen voor flexibel in collectieve kring | Pensioen Pro</w:t>
        </w:r>
      </w:hyperlink>
    </w:p>
  </w:footnote>
  <w:footnote w:id="22">
    <w:p w14:paraId="05A6D5CE" w14:textId="77777777" w:rsidR="00892E04" w:rsidRDefault="00892E04" w:rsidP="00892E04">
      <w:pPr>
        <w:pStyle w:val="Voetnoottekst"/>
      </w:pPr>
      <w:r>
        <w:rPr>
          <w:rStyle w:val="Voetnootmarkering"/>
        </w:rPr>
        <w:footnoteRef/>
      </w:r>
      <w:r>
        <w:t xml:space="preserve"> </w:t>
      </w:r>
      <w:hyperlink r:id="rId24" w:history="1">
        <w:r w:rsidRPr="00774563">
          <w:rPr>
            <w:rStyle w:val="Hyperlink"/>
          </w:rPr>
          <w:t xml:space="preserve">Besluit “niet-invaren” PGB pensioenen </w:t>
        </w:r>
        <w:proofErr w:type="spellStart"/>
        <w:r w:rsidRPr="00774563">
          <w:rPr>
            <w:rStyle w:val="Hyperlink"/>
          </w:rPr>
          <w:t>Plukon</w:t>
        </w:r>
        <w:proofErr w:type="spellEnd"/>
        <w:r w:rsidRPr="00774563">
          <w:rPr>
            <w:rStyle w:val="Hyperlink"/>
          </w:rPr>
          <w:t xml:space="preserve"> naar nieuw pensioenstelsel | CNV</w:t>
        </w:r>
      </w:hyperlink>
    </w:p>
  </w:footnote>
  <w:footnote w:id="23">
    <w:p w14:paraId="556CF502" w14:textId="77777777" w:rsidR="002B67C7" w:rsidRDefault="002B67C7" w:rsidP="002B67C7">
      <w:pPr>
        <w:pStyle w:val="Voetnoottekst"/>
      </w:pPr>
      <w:r>
        <w:rPr>
          <w:rStyle w:val="Voetnootmarkering"/>
        </w:rPr>
        <w:footnoteRef/>
      </w:r>
      <w:r>
        <w:t xml:space="preserve"> Zie ook </w:t>
      </w:r>
      <w:hyperlink r:id="rId25" w:history="1">
        <w:r>
          <w:rPr>
            <w:rStyle w:val="Hyperlink"/>
          </w:rPr>
          <w:t>https://www.dnb.nl/voor-de-sector/open-boek-toezicht/sectoren/pensioenfondsen/collectieve-waardeoverdracht/</w:t>
        </w:r>
      </w:hyperlink>
      <w:r>
        <w:t xml:space="preserve"> en </w:t>
      </w:r>
      <w:hyperlink r:id="rId26" w:history="1">
        <w:r>
          <w:rPr>
            <w:rStyle w:val="Hyperlink"/>
          </w:rPr>
          <w:t>https://www.afm.nl/nl-nl/sector/pensioenuitvoerders/informeren-deelnemers/collectieve-waardeoverdracht</w:t>
        </w:r>
      </w:hyperlink>
    </w:p>
  </w:footnote>
  <w:footnote w:id="24">
    <w:p w14:paraId="2FA4A6BD" w14:textId="77777777" w:rsidR="002B67C7" w:rsidRDefault="002B67C7" w:rsidP="002B67C7">
      <w:pPr>
        <w:pStyle w:val="Voetnoottekst"/>
      </w:pPr>
      <w:r>
        <w:rPr>
          <w:rStyle w:val="Voetnootmarkering"/>
        </w:rPr>
        <w:footnoteRef/>
      </w:r>
      <w:r>
        <w:t xml:space="preserve"> Zie bijvoorbeeld ook </w:t>
      </w:r>
      <w:hyperlink r:id="rId27" w:history="1">
        <w:r>
          <w:rPr>
            <w:rStyle w:val="Hyperlink"/>
          </w:rPr>
          <w:t>Brief Wet toekomst pensioenen instemmingsrecht bij invaren</w:t>
        </w:r>
      </w:hyperlink>
      <w:r>
        <w:t xml:space="preserve"> en </w:t>
      </w:r>
      <w:hyperlink r:id="rId28" w:history="1">
        <w:r w:rsidRPr="00AF0846">
          <w:rPr>
            <w:rStyle w:val="Hyperlink"/>
          </w:rPr>
          <w:t>Juridische analyse inzake Motie Joseph over risico’s van invaren | Tweede Kamer der Staten-Generaal</w:t>
        </w:r>
      </w:hyperlink>
      <w:r>
        <w:t xml:space="preserve"> punt 88</w:t>
      </w:r>
    </w:p>
  </w:footnote>
  <w:footnote w:id="25">
    <w:p w14:paraId="5A9D71BB" w14:textId="77777777" w:rsidR="002B67C7" w:rsidRDefault="002B67C7" w:rsidP="002B67C7">
      <w:pPr>
        <w:pStyle w:val="Voetnoottekst"/>
      </w:pPr>
      <w:r>
        <w:rPr>
          <w:rStyle w:val="Voetnootmarkering"/>
        </w:rPr>
        <w:footnoteRef/>
      </w:r>
      <w:r>
        <w:t xml:space="preserve"> </w:t>
      </w:r>
      <w:hyperlink r:id="rId29" w:history="1">
        <w:r w:rsidRPr="00EE28B9">
          <w:rPr>
            <w:rStyle w:val="Hyperlink"/>
          </w:rPr>
          <w:t>Burgerperspectieven 2024 Bericht 2 | Publicatie | Sociaal en Cultureel Planbureau</w:t>
        </w:r>
      </w:hyperlink>
    </w:p>
  </w:footnote>
  <w:footnote w:id="26">
    <w:p w14:paraId="6521014D" w14:textId="6AA6EF95" w:rsidR="002B67C7" w:rsidRDefault="002B67C7" w:rsidP="002B67C7">
      <w:pPr>
        <w:pStyle w:val="Voetnoottekst"/>
      </w:pPr>
      <w:r>
        <w:rPr>
          <w:rStyle w:val="Voetnootmarkering"/>
        </w:rPr>
        <w:footnoteRef/>
      </w:r>
      <w:r>
        <w:t xml:space="preserve"> </w:t>
      </w:r>
      <w:hyperlink r:id="rId30" w:history="1">
        <w:r w:rsidRPr="00C76612">
          <w:rPr>
            <w:rStyle w:val="Hyperlink"/>
          </w:rPr>
          <w:t>Aanbiedingsbrief reacties op amendement-Joseph over invoeren goedkeuringsrecht bij interne waardeoverdracht van pensioenen | Kamerstuk | Rijksoverheid.nl</w:t>
        </w:r>
      </w:hyperlink>
      <w:r w:rsidR="004A2DB0">
        <w:t xml:space="preserve">, </w:t>
      </w:r>
      <w:hyperlink r:id="rId31" w:history="1">
        <w:r w:rsidR="004A2DB0" w:rsidRPr="004A2DB0">
          <w:rPr>
            <w:rStyle w:val="Hyperlink"/>
          </w:rPr>
          <w:t xml:space="preserve">Advies AFM nader gewijzigd amendement Joseph </w:t>
        </w:r>
        <w:proofErr w:type="spellStart"/>
        <w:r w:rsidR="004A2DB0" w:rsidRPr="004A2DB0">
          <w:rPr>
            <w:rStyle w:val="Hyperlink"/>
          </w:rPr>
          <w:t>cs</w:t>
        </w:r>
        <w:proofErr w:type="spellEnd"/>
        <w:r w:rsidR="004A2DB0" w:rsidRPr="004A2DB0">
          <w:rPr>
            <w:rStyle w:val="Hyperlink"/>
          </w:rPr>
          <w:t xml:space="preserve"> | Kamerstuk | Rijksoverheid.nl</w:t>
        </w:r>
      </w:hyperlink>
      <w:r w:rsidR="00D75445">
        <w:t xml:space="preserve">, </w:t>
      </w:r>
      <w:hyperlink r:id="rId32" w:history="1">
        <w:r w:rsidR="00C85860" w:rsidRPr="00C85860">
          <w:rPr>
            <w:rStyle w:val="Hyperlink"/>
          </w:rPr>
          <w:t>Bijlage - Advies DNB nader gewijzigd amendement Joseph c s | Kamerstuk | Rijksoverheid.nl</w:t>
        </w:r>
      </w:hyperlink>
      <w:r w:rsidR="00E3326C">
        <w:t xml:space="preserve">, </w:t>
      </w:r>
      <w:hyperlink r:id="rId33" w:history="1">
        <w:r w:rsidR="00E3326C" w:rsidRPr="00E3326C">
          <w:rPr>
            <w:rStyle w:val="Hyperlink"/>
          </w:rPr>
          <w:t xml:space="preserve">Kamerbrief Noodzakelijke aanvullende wetgeving bij amendement Joseph </w:t>
        </w:r>
        <w:proofErr w:type="spellStart"/>
        <w:r w:rsidR="00E3326C" w:rsidRPr="00E3326C">
          <w:rPr>
            <w:rStyle w:val="Hyperlink"/>
          </w:rPr>
          <w:t>cs</w:t>
        </w:r>
        <w:proofErr w:type="spellEnd"/>
        <w:r w:rsidR="00E3326C" w:rsidRPr="00E3326C">
          <w:rPr>
            <w:rStyle w:val="Hyperlink"/>
          </w:rPr>
          <w:t xml:space="preserve"> | Kamerstuk | Rijksoverheid.nl</w:t>
        </w:r>
      </w:hyperlink>
    </w:p>
  </w:footnote>
  <w:footnote w:id="27">
    <w:p w14:paraId="3E3BD62B" w14:textId="77777777" w:rsidR="002B67C7" w:rsidRDefault="002B67C7" w:rsidP="002B67C7">
      <w:pPr>
        <w:pStyle w:val="Voetnoottekst"/>
      </w:pPr>
      <w:r>
        <w:rPr>
          <w:rStyle w:val="Voetnootmarkering"/>
        </w:rPr>
        <w:footnoteRef/>
      </w:r>
      <w:r>
        <w:t xml:space="preserve"> </w:t>
      </w:r>
      <w:hyperlink r:id="rId34" w:history="1">
        <w:r>
          <w:rPr>
            <w:rStyle w:val="Hyperlink"/>
          </w:rPr>
          <w:t xml:space="preserve">#wtp #referendum| Anne </w:t>
        </w:r>
        <w:proofErr w:type="spellStart"/>
        <w:r>
          <w:rPr>
            <w:rStyle w:val="Hyperlink"/>
          </w:rPr>
          <w:t>Laning</w:t>
        </w:r>
        <w:proofErr w:type="spellEnd"/>
      </w:hyperlink>
      <w:r>
        <w:t xml:space="preserve">, </w:t>
      </w:r>
      <w:hyperlink r:id="rId35" w:history="1">
        <w:r>
          <w:rPr>
            <w:rStyle w:val="Hyperlink"/>
          </w:rPr>
          <w:t xml:space="preserve">Bas Werker voorstel </w:t>
        </w:r>
        <w:proofErr w:type="spellStart"/>
        <w:r>
          <w:rPr>
            <w:rStyle w:val="Hyperlink"/>
          </w:rPr>
          <w:t>opt</w:t>
        </w:r>
        <w:proofErr w:type="spellEnd"/>
        <w:r>
          <w:rPr>
            <w:rStyle w:val="Hyperlink"/>
          </w:rPr>
          <w:t xml:space="preserve"> out - d.d. 20 juni 2024</w:t>
        </w:r>
      </w:hyperlink>
      <w:r>
        <w:t xml:space="preserve">, </w:t>
      </w:r>
      <w:hyperlink r:id="rId36" w:history="1">
        <w:r>
          <w:rPr>
            <w:rStyle w:val="Hyperlink"/>
          </w:rPr>
          <w:t xml:space="preserve">Vast of variabel, geef pensioenspaarders die keuze </w:t>
        </w:r>
        <w:proofErr w:type="spellStart"/>
        <w:r>
          <w:rPr>
            <w:rStyle w:val="Hyperlink"/>
          </w:rPr>
          <w:t>Kocken</w:t>
        </w:r>
        <w:proofErr w:type="spellEnd"/>
        <w:r>
          <w:rPr>
            <w:rStyle w:val="Hyperlink"/>
          </w:rPr>
          <w:t xml:space="preserve"> </w:t>
        </w:r>
        <w:proofErr w:type="spellStart"/>
        <w:r>
          <w:rPr>
            <w:rStyle w:val="Hyperlink"/>
          </w:rPr>
          <w:t>Mehlkopf</w:t>
        </w:r>
        <w:proofErr w:type="spellEnd"/>
      </w:hyperlink>
      <w:r>
        <w:t xml:space="preserve">, </w:t>
      </w:r>
      <w:hyperlink r:id="rId37" w:history="1">
        <w:r>
          <w:rPr>
            <w:rStyle w:val="Hyperlink"/>
          </w:rPr>
          <w:t>Voorstel individueel bezwaarrecht | ANBO-PCOB</w:t>
        </w:r>
      </w:hyperlink>
      <w:r>
        <w:t xml:space="preserve">, </w:t>
      </w:r>
      <w:hyperlink r:id="rId38" w:history="1">
        <w:r>
          <w:rPr>
            <w:rStyle w:val="Hyperlink"/>
          </w:rPr>
          <w:t>Manifest pensioenbeleid Jongerenorganisaties</w:t>
        </w:r>
      </w:hyperlink>
      <w:r>
        <w:t xml:space="preserve">, </w:t>
      </w:r>
      <w:hyperlink r:id="rId39" w:history="1">
        <w:r>
          <w:rPr>
            <w:rStyle w:val="Hyperlink"/>
          </w:rPr>
          <w:t>Juridische analyse inzake Motie Joseph over risico’s van invaren</w:t>
        </w:r>
      </w:hyperlink>
      <w:r>
        <w:t xml:space="preserve">, </w:t>
      </w:r>
      <w:hyperlink r:id="rId40" w:history="1">
        <w:r>
          <w:rPr>
            <w:rStyle w:val="Hyperlink"/>
          </w:rPr>
          <w:t>Raad voor de rechtspraak</w:t>
        </w:r>
      </w:hyperlink>
    </w:p>
  </w:footnote>
  <w:footnote w:id="28">
    <w:p w14:paraId="1893F861" w14:textId="77777777" w:rsidR="002B67C7" w:rsidRDefault="002B67C7" w:rsidP="002B67C7">
      <w:pPr>
        <w:pStyle w:val="Voetnoottekst"/>
      </w:pPr>
      <w:r>
        <w:rPr>
          <w:rStyle w:val="Voetnootmarkering"/>
        </w:rPr>
        <w:footnoteRef/>
      </w:r>
      <w:r>
        <w:t xml:space="preserve"> </w:t>
      </w:r>
      <w:hyperlink r:id="rId41" w:history="1">
        <w:r w:rsidRPr="002A39E0">
          <w:rPr>
            <w:rStyle w:val="Hyperlink"/>
          </w:rPr>
          <w:t>Voorstel individueel bezwaarrecht behoeft aanpassing | ANBO-PCOB</w:t>
        </w:r>
      </w:hyperlink>
    </w:p>
  </w:footnote>
  <w:footnote w:id="29">
    <w:p w14:paraId="7FAC6306" w14:textId="77777777" w:rsidR="002B67C7" w:rsidRDefault="002B67C7" w:rsidP="002B67C7">
      <w:pPr>
        <w:pStyle w:val="Voetnoottekst"/>
      </w:pPr>
      <w:r>
        <w:rPr>
          <w:rStyle w:val="Voetnootmarkering"/>
        </w:rPr>
        <w:footnoteRef/>
      </w:r>
      <w:r>
        <w:t xml:space="preserve"> </w:t>
      </w:r>
      <w:hyperlink r:id="rId42" w:anchor=":~:text=De%20Afdeling%20advisering%20van%20de,de%20Afdeling%20advisering%20openbaar%20geworden" w:history="1">
        <w:r w:rsidRPr="008B33FD">
          <w:rPr>
            <w:rStyle w:val="Hyperlink"/>
          </w:rPr>
          <w:t>Wet toekomst pensioenen. - Raad van State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030"/>
    <w:multiLevelType w:val="hybridMultilevel"/>
    <w:tmpl w:val="6B8E859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B844B52C">
      <w:start w:val="14"/>
      <w:numFmt w:val="bullet"/>
      <w:lvlText w:val="-"/>
      <w:lvlJc w:val="left"/>
      <w:pPr>
        <w:ind w:left="1980" w:hanging="360"/>
      </w:pPr>
      <w:rPr>
        <w:rFonts w:ascii="Verdana" w:eastAsia="DejaVu Sans" w:hAnsi="Verdana" w:cs="Lohit Hind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AB2558"/>
    <w:multiLevelType w:val="hybridMultilevel"/>
    <w:tmpl w:val="B98227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965630"/>
    <w:multiLevelType w:val="multilevel"/>
    <w:tmpl w:val="9360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4" w15:restartNumberingAfterBreak="0">
    <w:nsid w:val="2B905F54"/>
    <w:multiLevelType w:val="multilevel"/>
    <w:tmpl w:val="C266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262E1C"/>
    <w:multiLevelType w:val="hybridMultilevel"/>
    <w:tmpl w:val="50C404D2"/>
    <w:lvl w:ilvl="0" w:tplc="615A1A34">
      <w:start w:val="1"/>
      <w:numFmt w:val="bullet"/>
      <w:lvlText w:val=""/>
      <w:lvlJc w:val="left"/>
      <w:pPr>
        <w:ind w:left="1440" w:hanging="360"/>
      </w:pPr>
      <w:rPr>
        <w:rFonts w:ascii="Symbol" w:hAnsi="Symbol"/>
      </w:rPr>
    </w:lvl>
    <w:lvl w:ilvl="1" w:tplc="8ECE1DF8">
      <w:start w:val="1"/>
      <w:numFmt w:val="bullet"/>
      <w:lvlText w:val=""/>
      <w:lvlJc w:val="left"/>
      <w:pPr>
        <w:ind w:left="1440" w:hanging="360"/>
      </w:pPr>
      <w:rPr>
        <w:rFonts w:ascii="Symbol" w:hAnsi="Symbol"/>
      </w:rPr>
    </w:lvl>
    <w:lvl w:ilvl="2" w:tplc="0492AD0A">
      <w:start w:val="1"/>
      <w:numFmt w:val="bullet"/>
      <w:lvlText w:val=""/>
      <w:lvlJc w:val="left"/>
      <w:pPr>
        <w:ind w:left="1440" w:hanging="360"/>
      </w:pPr>
      <w:rPr>
        <w:rFonts w:ascii="Symbol" w:hAnsi="Symbol"/>
      </w:rPr>
    </w:lvl>
    <w:lvl w:ilvl="3" w:tplc="0888A81C">
      <w:start w:val="1"/>
      <w:numFmt w:val="bullet"/>
      <w:lvlText w:val=""/>
      <w:lvlJc w:val="left"/>
      <w:pPr>
        <w:ind w:left="1440" w:hanging="360"/>
      </w:pPr>
      <w:rPr>
        <w:rFonts w:ascii="Symbol" w:hAnsi="Symbol"/>
      </w:rPr>
    </w:lvl>
    <w:lvl w:ilvl="4" w:tplc="B51C84B0">
      <w:start w:val="1"/>
      <w:numFmt w:val="bullet"/>
      <w:lvlText w:val=""/>
      <w:lvlJc w:val="left"/>
      <w:pPr>
        <w:ind w:left="1440" w:hanging="360"/>
      </w:pPr>
      <w:rPr>
        <w:rFonts w:ascii="Symbol" w:hAnsi="Symbol"/>
      </w:rPr>
    </w:lvl>
    <w:lvl w:ilvl="5" w:tplc="DB7A9654">
      <w:start w:val="1"/>
      <w:numFmt w:val="bullet"/>
      <w:lvlText w:val=""/>
      <w:lvlJc w:val="left"/>
      <w:pPr>
        <w:ind w:left="1440" w:hanging="360"/>
      </w:pPr>
      <w:rPr>
        <w:rFonts w:ascii="Symbol" w:hAnsi="Symbol"/>
      </w:rPr>
    </w:lvl>
    <w:lvl w:ilvl="6" w:tplc="84C269BA">
      <w:start w:val="1"/>
      <w:numFmt w:val="bullet"/>
      <w:lvlText w:val=""/>
      <w:lvlJc w:val="left"/>
      <w:pPr>
        <w:ind w:left="1440" w:hanging="360"/>
      </w:pPr>
      <w:rPr>
        <w:rFonts w:ascii="Symbol" w:hAnsi="Symbol"/>
      </w:rPr>
    </w:lvl>
    <w:lvl w:ilvl="7" w:tplc="99CCAF5E">
      <w:start w:val="1"/>
      <w:numFmt w:val="bullet"/>
      <w:lvlText w:val=""/>
      <w:lvlJc w:val="left"/>
      <w:pPr>
        <w:ind w:left="1440" w:hanging="360"/>
      </w:pPr>
      <w:rPr>
        <w:rFonts w:ascii="Symbol" w:hAnsi="Symbol"/>
      </w:rPr>
    </w:lvl>
    <w:lvl w:ilvl="8" w:tplc="42A644F6">
      <w:start w:val="1"/>
      <w:numFmt w:val="bullet"/>
      <w:lvlText w:val=""/>
      <w:lvlJc w:val="left"/>
      <w:pPr>
        <w:ind w:left="1440" w:hanging="360"/>
      </w:pPr>
      <w:rPr>
        <w:rFonts w:ascii="Symbol" w:hAnsi="Symbol"/>
      </w:rPr>
    </w:lvl>
  </w:abstractNum>
  <w:abstractNum w:abstractNumId="6" w15:restartNumberingAfterBreak="0">
    <w:nsid w:val="34142471"/>
    <w:multiLevelType w:val="hybridMultilevel"/>
    <w:tmpl w:val="58BCA700"/>
    <w:lvl w:ilvl="0" w:tplc="F2F0763C">
      <w:start w:val="11"/>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FB6AC0"/>
    <w:multiLevelType w:val="multilevel"/>
    <w:tmpl w:val="38D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196DE4"/>
    <w:multiLevelType w:val="hybridMultilevel"/>
    <w:tmpl w:val="35B85032"/>
    <w:lvl w:ilvl="0" w:tplc="E102A4CE">
      <w:start w:val="1"/>
      <w:numFmt w:val="bullet"/>
      <w:lvlText w:val=""/>
      <w:lvlJc w:val="left"/>
      <w:pPr>
        <w:ind w:left="1440" w:hanging="360"/>
      </w:pPr>
      <w:rPr>
        <w:rFonts w:ascii="Symbol" w:hAnsi="Symbol"/>
      </w:rPr>
    </w:lvl>
    <w:lvl w:ilvl="1" w:tplc="1E46D1D8">
      <w:start w:val="1"/>
      <w:numFmt w:val="bullet"/>
      <w:lvlText w:val=""/>
      <w:lvlJc w:val="left"/>
      <w:pPr>
        <w:ind w:left="1440" w:hanging="360"/>
      </w:pPr>
      <w:rPr>
        <w:rFonts w:ascii="Symbol" w:hAnsi="Symbol"/>
      </w:rPr>
    </w:lvl>
    <w:lvl w:ilvl="2" w:tplc="EAD814CC">
      <w:start w:val="1"/>
      <w:numFmt w:val="bullet"/>
      <w:lvlText w:val=""/>
      <w:lvlJc w:val="left"/>
      <w:pPr>
        <w:ind w:left="1440" w:hanging="360"/>
      </w:pPr>
      <w:rPr>
        <w:rFonts w:ascii="Symbol" w:hAnsi="Symbol"/>
      </w:rPr>
    </w:lvl>
    <w:lvl w:ilvl="3" w:tplc="318663F0">
      <w:start w:val="1"/>
      <w:numFmt w:val="bullet"/>
      <w:lvlText w:val=""/>
      <w:lvlJc w:val="left"/>
      <w:pPr>
        <w:ind w:left="1440" w:hanging="360"/>
      </w:pPr>
      <w:rPr>
        <w:rFonts w:ascii="Symbol" w:hAnsi="Symbol"/>
      </w:rPr>
    </w:lvl>
    <w:lvl w:ilvl="4" w:tplc="4E2C874C">
      <w:start w:val="1"/>
      <w:numFmt w:val="bullet"/>
      <w:lvlText w:val=""/>
      <w:lvlJc w:val="left"/>
      <w:pPr>
        <w:ind w:left="1440" w:hanging="360"/>
      </w:pPr>
      <w:rPr>
        <w:rFonts w:ascii="Symbol" w:hAnsi="Symbol"/>
      </w:rPr>
    </w:lvl>
    <w:lvl w:ilvl="5" w:tplc="F6CCAAAC">
      <w:start w:val="1"/>
      <w:numFmt w:val="bullet"/>
      <w:lvlText w:val=""/>
      <w:lvlJc w:val="left"/>
      <w:pPr>
        <w:ind w:left="1440" w:hanging="360"/>
      </w:pPr>
      <w:rPr>
        <w:rFonts w:ascii="Symbol" w:hAnsi="Symbol"/>
      </w:rPr>
    </w:lvl>
    <w:lvl w:ilvl="6" w:tplc="12FEFD8E">
      <w:start w:val="1"/>
      <w:numFmt w:val="bullet"/>
      <w:lvlText w:val=""/>
      <w:lvlJc w:val="left"/>
      <w:pPr>
        <w:ind w:left="1440" w:hanging="360"/>
      </w:pPr>
      <w:rPr>
        <w:rFonts w:ascii="Symbol" w:hAnsi="Symbol"/>
      </w:rPr>
    </w:lvl>
    <w:lvl w:ilvl="7" w:tplc="FBBE4DA8">
      <w:start w:val="1"/>
      <w:numFmt w:val="bullet"/>
      <w:lvlText w:val=""/>
      <w:lvlJc w:val="left"/>
      <w:pPr>
        <w:ind w:left="1440" w:hanging="360"/>
      </w:pPr>
      <w:rPr>
        <w:rFonts w:ascii="Symbol" w:hAnsi="Symbol"/>
      </w:rPr>
    </w:lvl>
    <w:lvl w:ilvl="8" w:tplc="895CEDAE">
      <w:start w:val="1"/>
      <w:numFmt w:val="bullet"/>
      <w:lvlText w:val=""/>
      <w:lvlJc w:val="left"/>
      <w:pPr>
        <w:ind w:left="1440" w:hanging="360"/>
      </w:pPr>
      <w:rPr>
        <w:rFonts w:ascii="Symbol" w:hAnsi="Symbol"/>
      </w:rPr>
    </w:lvl>
  </w:abstractNum>
  <w:abstractNum w:abstractNumId="11" w15:restartNumberingAfterBreak="0">
    <w:nsid w:val="4454056A"/>
    <w:multiLevelType w:val="multilevel"/>
    <w:tmpl w:val="AF5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622A6"/>
    <w:multiLevelType w:val="hybridMultilevel"/>
    <w:tmpl w:val="01DA6892"/>
    <w:lvl w:ilvl="0" w:tplc="EA5416C8">
      <w:start w:val="1"/>
      <w:numFmt w:val="bullet"/>
      <w:lvlText w:val=""/>
      <w:lvlJc w:val="left"/>
      <w:pPr>
        <w:ind w:left="1440" w:hanging="360"/>
      </w:pPr>
      <w:rPr>
        <w:rFonts w:ascii="Symbol" w:hAnsi="Symbol"/>
      </w:rPr>
    </w:lvl>
    <w:lvl w:ilvl="1" w:tplc="1D7A5BCC">
      <w:start w:val="1"/>
      <w:numFmt w:val="bullet"/>
      <w:lvlText w:val=""/>
      <w:lvlJc w:val="left"/>
      <w:pPr>
        <w:ind w:left="2160" w:hanging="360"/>
      </w:pPr>
      <w:rPr>
        <w:rFonts w:ascii="Symbol" w:hAnsi="Symbol"/>
      </w:rPr>
    </w:lvl>
    <w:lvl w:ilvl="2" w:tplc="963A95F2">
      <w:start w:val="1"/>
      <w:numFmt w:val="bullet"/>
      <w:lvlText w:val=""/>
      <w:lvlJc w:val="left"/>
      <w:pPr>
        <w:ind w:left="1440" w:hanging="360"/>
      </w:pPr>
      <w:rPr>
        <w:rFonts w:ascii="Symbol" w:hAnsi="Symbol"/>
      </w:rPr>
    </w:lvl>
    <w:lvl w:ilvl="3" w:tplc="0D32B2BA">
      <w:start w:val="1"/>
      <w:numFmt w:val="bullet"/>
      <w:lvlText w:val=""/>
      <w:lvlJc w:val="left"/>
      <w:pPr>
        <w:ind w:left="1440" w:hanging="360"/>
      </w:pPr>
      <w:rPr>
        <w:rFonts w:ascii="Symbol" w:hAnsi="Symbol"/>
      </w:rPr>
    </w:lvl>
    <w:lvl w:ilvl="4" w:tplc="3306FED6">
      <w:start w:val="1"/>
      <w:numFmt w:val="bullet"/>
      <w:lvlText w:val=""/>
      <w:lvlJc w:val="left"/>
      <w:pPr>
        <w:ind w:left="1440" w:hanging="360"/>
      </w:pPr>
      <w:rPr>
        <w:rFonts w:ascii="Symbol" w:hAnsi="Symbol"/>
      </w:rPr>
    </w:lvl>
    <w:lvl w:ilvl="5" w:tplc="1C565616">
      <w:start w:val="1"/>
      <w:numFmt w:val="bullet"/>
      <w:lvlText w:val=""/>
      <w:lvlJc w:val="left"/>
      <w:pPr>
        <w:ind w:left="1440" w:hanging="360"/>
      </w:pPr>
      <w:rPr>
        <w:rFonts w:ascii="Symbol" w:hAnsi="Symbol"/>
      </w:rPr>
    </w:lvl>
    <w:lvl w:ilvl="6" w:tplc="1AD234A4">
      <w:start w:val="1"/>
      <w:numFmt w:val="bullet"/>
      <w:lvlText w:val=""/>
      <w:lvlJc w:val="left"/>
      <w:pPr>
        <w:ind w:left="1440" w:hanging="360"/>
      </w:pPr>
      <w:rPr>
        <w:rFonts w:ascii="Symbol" w:hAnsi="Symbol"/>
      </w:rPr>
    </w:lvl>
    <w:lvl w:ilvl="7" w:tplc="C4965CDA">
      <w:start w:val="1"/>
      <w:numFmt w:val="bullet"/>
      <w:lvlText w:val=""/>
      <w:lvlJc w:val="left"/>
      <w:pPr>
        <w:ind w:left="1440" w:hanging="360"/>
      </w:pPr>
      <w:rPr>
        <w:rFonts w:ascii="Symbol" w:hAnsi="Symbol"/>
      </w:rPr>
    </w:lvl>
    <w:lvl w:ilvl="8" w:tplc="A69C4CF0">
      <w:start w:val="1"/>
      <w:numFmt w:val="bullet"/>
      <w:lvlText w:val=""/>
      <w:lvlJc w:val="left"/>
      <w:pPr>
        <w:ind w:left="1440" w:hanging="360"/>
      </w:pPr>
      <w:rPr>
        <w:rFonts w:ascii="Symbol" w:hAnsi="Symbol"/>
      </w:rPr>
    </w:lvl>
  </w:abstractNum>
  <w:abstractNum w:abstractNumId="13"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14"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15"/>
  </w:num>
  <w:num w:numId="2" w16cid:durableId="1237938912">
    <w:abstractNumId w:val="7"/>
  </w:num>
  <w:num w:numId="3" w16cid:durableId="989289918">
    <w:abstractNumId w:val="13"/>
  </w:num>
  <w:num w:numId="4" w16cid:durableId="1433893879">
    <w:abstractNumId w:val="3"/>
  </w:num>
  <w:num w:numId="5" w16cid:durableId="1374233493">
    <w:abstractNumId w:val="14"/>
  </w:num>
  <w:num w:numId="6" w16cid:durableId="1297763232">
    <w:abstractNumId w:val="8"/>
  </w:num>
  <w:num w:numId="7" w16cid:durableId="1886526905">
    <w:abstractNumId w:val="10"/>
  </w:num>
  <w:num w:numId="8" w16cid:durableId="504129224">
    <w:abstractNumId w:val="11"/>
  </w:num>
  <w:num w:numId="9" w16cid:durableId="1086535180">
    <w:abstractNumId w:val="6"/>
  </w:num>
  <w:num w:numId="10" w16cid:durableId="1949852218">
    <w:abstractNumId w:val="1"/>
  </w:num>
  <w:num w:numId="11" w16cid:durableId="679309726">
    <w:abstractNumId w:val="0"/>
  </w:num>
  <w:num w:numId="12" w16cid:durableId="1891990436">
    <w:abstractNumId w:val="12"/>
  </w:num>
  <w:num w:numId="13" w16cid:durableId="54474505">
    <w:abstractNumId w:val="4"/>
  </w:num>
  <w:num w:numId="14" w16cid:durableId="857617645">
    <w:abstractNumId w:val="9"/>
  </w:num>
  <w:num w:numId="15" w16cid:durableId="1164248718">
    <w:abstractNumId w:val="2"/>
  </w:num>
  <w:num w:numId="16" w16cid:durableId="2054306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0743"/>
    <w:rsid w:val="00000824"/>
    <w:rsid w:val="00000BFD"/>
    <w:rsid w:val="00001497"/>
    <w:rsid w:val="00002925"/>
    <w:rsid w:val="00002FF4"/>
    <w:rsid w:val="00004570"/>
    <w:rsid w:val="00005DCD"/>
    <w:rsid w:val="000066D1"/>
    <w:rsid w:val="00006D8F"/>
    <w:rsid w:val="00007702"/>
    <w:rsid w:val="00007A08"/>
    <w:rsid w:val="00007C0E"/>
    <w:rsid w:val="000108E3"/>
    <w:rsid w:val="00010A6A"/>
    <w:rsid w:val="00011073"/>
    <w:rsid w:val="0001176B"/>
    <w:rsid w:val="000118D8"/>
    <w:rsid w:val="000129D9"/>
    <w:rsid w:val="00013760"/>
    <w:rsid w:val="00013D94"/>
    <w:rsid w:val="0001420D"/>
    <w:rsid w:val="00014BB2"/>
    <w:rsid w:val="00014E71"/>
    <w:rsid w:val="000153F1"/>
    <w:rsid w:val="000156F3"/>
    <w:rsid w:val="00020328"/>
    <w:rsid w:val="00020711"/>
    <w:rsid w:val="00020A77"/>
    <w:rsid w:val="00021847"/>
    <w:rsid w:val="00021974"/>
    <w:rsid w:val="00022340"/>
    <w:rsid w:val="0002311E"/>
    <w:rsid w:val="000241B0"/>
    <w:rsid w:val="00025B0F"/>
    <w:rsid w:val="00025C56"/>
    <w:rsid w:val="00026197"/>
    <w:rsid w:val="00030CBA"/>
    <w:rsid w:val="00032314"/>
    <w:rsid w:val="0003456E"/>
    <w:rsid w:val="00034671"/>
    <w:rsid w:val="0003495C"/>
    <w:rsid w:val="00035AB0"/>
    <w:rsid w:val="000361DD"/>
    <w:rsid w:val="000375FE"/>
    <w:rsid w:val="0004044F"/>
    <w:rsid w:val="00041B66"/>
    <w:rsid w:val="0004273B"/>
    <w:rsid w:val="000427BB"/>
    <w:rsid w:val="0004363D"/>
    <w:rsid w:val="00043D24"/>
    <w:rsid w:val="00045D66"/>
    <w:rsid w:val="0004605E"/>
    <w:rsid w:val="0004670C"/>
    <w:rsid w:val="0004713C"/>
    <w:rsid w:val="00047561"/>
    <w:rsid w:val="00047E8D"/>
    <w:rsid w:val="000502D4"/>
    <w:rsid w:val="00051BC7"/>
    <w:rsid w:val="000534BB"/>
    <w:rsid w:val="00053BDE"/>
    <w:rsid w:val="0005460C"/>
    <w:rsid w:val="00054711"/>
    <w:rsid w:val="0005471E"/>
    <w:rsid w:val="00054C01"/>
    <w:rsid w:val="00054C34"/>
    <w:rsid w:val="000567A6"/>
    <w:rsid w:val="0005727B"/>
    <w:rsid w:val="000579AA"/>
    <w:rsid w:val="00057B01"/>
    <w:rsid w:val="00057BD3"/>
    <w:rsid w:val="000615DD"/>
    <w:rsid w:val="00065375"/>
    <w:rsid w:val="00065AC1"/>
    <w:rsid w:val="00065FE6"/>
    <w:rsid w:val="000668DD"/>
    <w:rsid w:val="00066E4C"/>
    <w:rsid w:val="0006773B"/>
    <w:rsid w:val="00067812"/>
    <w:rsid w:val="000705DB"/>
    <w:rsid w:val="0007065D"/>
    <w:rsid w:val="00070E91"/>
    <w:rsid w:val="00071B93"/>
    <w:rsid w:val="000724BA"/>
    <w:rsid w:val="000726FC"/>
    <w:rsid w:val="00072EF9"/>
    <w:rsid w:val="00074163"/>
    <w:rsid w:val="000743A0"/>
    <w:rsid w:val="00074F39"/>
    <w:rsid w:val="0007671D"/>
    <w:rsid w:val="000779AE"/>
    <w:rsid w:val="0008036A"/>
    <w:rsid w:val="0008292F"/>
    <w:rsid w:val="00082D73"/>
    <w:rsid w:val="000833C7"/>
    <w:rsid w:val="00083D38"/>
    <w:rsid w:val="000841DF"/>
    <w:rsid w:val="00085CE5"/>
    <w:rsid w:val="000868AE"/>
    <w:rsid w:val="00086E1E"/>
    <w:rsid w:val="00087FF5"/>
    <w:rsid w:val="000910DD"/>
    <w:rsid w:val="0009110E"/>
    <w:rsid w:val="0009170A"/>
    <w:rsid w:val="000927DD"/>
    <w:rsid w:val="0009511B"/>
    <w:rsid w:val="00096056"/>
    <w:rsid w:val="000968BA"/>
    <w:rsid w:val="000A0481"/>
    <w:rsid w:val="000A09A0"/>
    <w:rsid w:val="000A0CFE"/>
    <w:rsid w:val="000A2F07"/>
    <w:rsid w:val="000A474F"/>
    <w:rsid w:val="000A4E7E"/>
    <w:rsid w:val="000A5C45"/>
    <w:rsid w:val="000A7192"/>
    <w:rsid w:val="000A7DA1"/>
    <w:rsid w:val="000B0A22"/>
    <w:rsid w:val="000B3598"/>
    <w:rsid w:val="000B402C"/>
    <w:rsid w:val="000B4747"/>
    <w:rsid w:val="000B722F"/>
    <w:rsid w:val="000B773B"/>
    <w:rsid w:val="000C04FB"/>
    <w:rsid w:val="000C45D9"/>
    <w:rsid w:val="000C4D72"/>
    <w:rsid w:val="000C5E18"/>
    <w:rsid w:val="000C6F13"/>
    <w:rsid w:val="000C72AA"/>
    <w:rsid w:val="000C7EF4"/>
    <w:rsid w:val="000D057C"/>
    <w:rsid w:val="000D126B"/>
    <w:rsid w:val="000D15C9"/>
    <w:rsid w:val="000D17BF"/>
    <w:rsid w:val="000D24A5"/>
    <w:rsid w:val="000D32D1"/>
    <w:rsid w:val="000D41B5"/>
    <w:rsid w:val="000D4D61"/>
    <w:rsid w:val="000D5A87"/>
    <w:rsid w:val="000D6CEA"/>
    <w:rsid w:val="000D71E3"/>
    <w:rsid w:val="000E0E87"/>
    <w:rsid w:val="000E0F60"/>
    <w:rsid w:val="000E101D"/>
    <w:rsid w:val="000E121B"/>
    <w:rsid w:val="000E1B6E"/>
    <w:rsid w:val="000E1FE7"/>
    <w:rsid w:val="000E29F9"/>
    <w:rsid w:val="000E3309"/>
    <w:rsid w:val="000E3737"/>
    <w:rsid w:val="000E3BF7"/>
    <w:rsid w:val="000E528F"/>
    <w:rsid w:val="000F04DD"/>
    <w:rsid w:val="000F0B98"/>
    <w:rsid w:val="000F24CE"/>
    <w:rsid w:val="000F2881"/>
    <w:rsid w:val="000F3D5C"/>
    <w:rsid w:val="000F5494"/>
    <w:rsid w:val="000F786E"/>
    <w:rsid w:val="000F7AB7"/>
    <w:rsid w:val="000F7AD7"/>
    <w:rsid w:val="0010262D"/>
    <w:rsid w:val="00102A0B"/>
    <w:rsid w:val="00103862"/>
    <w:rsid w:val="0010485E"/>
    <w:rsid w:val="00104B9D"/>
    <w:rsid w:val="00104E83"/>
    <w:rsid w:val="001055BB"/>
    <w:rsid w:val="0010570B"/>
    <w:rsid w:val="00105969"/>
    <w:rsid w:val="00106289"/>
    <w:rsid w:val="0010691E"/>
    <w:rsid w:val="00107593"/>
    <w:rsid w:val="00107665"/>
    <w:rsid w:val="00110592"/>
    <w:rsid w:val="00111BC7"/>
    <w:rsid w:val="00113C08"/>
    <w:rsid w:val="00114057"/>
    <w:rsid w:val="00114EEC"/>
    <w:rsid w:val="001159D8"/>
    <w:rsid w:val="00115E87"/>
    <w:rsid w:val="00116436"/>
    <w:rsid w:val="001167B4"/>
    <w:rsid w:val="001167D4"/>
    <w:rsid w:val="0012309D"/>
    <w:rsid w:val="00123593"/>
    <w:rsid w:val="00124849"/>
    <w:rsid w:val="00125A23"/>
    <w:rsid w:val="00127CA2"/>
    <w:rsid w:val="00127E46"/>
    <w:rsid w:val="00130288"/>
    <w:rsid w:val="0013247F"/>
    <w:rsid w:val="001326C6"/>
    <w:rsid w:val="00133B03"/>
    <w:rsid w:val="00133E84"/>
    <w:rsid w:val="00134B04"/>
    <w:rsid w:val="0013560C"/>
    <w:rsid w:val="0013578D"/>
    <w:rsid w:val="001360AD"/>
    <w:rsid w:val="00141DD3"/>
    <w:rsid w:val="001420DB"/>
    <w:rsid w:val="001433CC"/>
    <w:rsid w:val="001438BD"/>
    <w:rsid w:val="001443FE"/>
    <w:rsid w:val="0014492C"/>
    <w:rsid w:val="00144C80"/>
    <w:rsid w:val="001452E6"/>
    <w:rsid w:val="00145CC6"/>
    <w:rsid w:val="001461FA"/>
    <w:rsid w:val="00146AED"/>
    <w:rsid w:val="00147FEE"/>
    <w:rsid w:val="00150620"/>
    <w:rsid w:val="001522C5"/>
    <w:rsid w:val="00153335"/>
    <w:rsid w:val="001536DB"/>
    <w:rsid w:val="00153F96"/>
    <w:rsid w:val="00154407"/>
    <w:rsid w:val="00154C36"/>
    <w:rsid w:val="00154F3E"/>
    <w:rsid w:val="00154FCA"/>
    <w:rsid w:val="0015560E"/>
    <w:rsid w:val="0015659E"/>
    <w:rsid w:val="00157CAF"/>
    <w:rsid w:val="00160167"/>
    <w:rsid w:val="00160845"/>
    <w:rsid w:val="001616CE"/>
    <w:rsid w:val="001625AC"/>
    <w:rsid w:val="00162CBA"/>
    <w:rsid w:val="00163632"/>
    <w:rsid w:val="00163991"/>
    <w:rsid w:val="001656EE"/>
    <w:rsid w:val="001662DA"/>
    <w:rsid w:val="001664B7"/>
    <w:rsid w:val="0016653D"/>
    <w:rsid w:val="001677FB"/>
    <w:rsid w:val="00171CBE"/>
    <w:rsid w:val="00172833"/>
    <w:rsid w:val="00175E1F"/>
    <w:rsid w:val="0017691A"/>
    <w:rsid w:val="00176D35"/>
    <w:rsid w:val="00181506"/>
    <w:rsid w:val="001819F0"/>
    <w:rsid w:val="00184321"/>
    <w:rsid w:val="00185527"/>
    <w:rsid w:val="00185ABC"/>
    <w:rsid w:val="00186182"/>
    <w:rsid w:val="00186D0E"/>
    <w:rsid w:val="0018756E"/>
    <w:rsid w:val="00187928"/>
    <w:rsid w:val="001910DC"/>
    <w:rsid w:val="00191C07"/>
    <w:rsid w:val="00194035"/>
    <w:rsid w:val="0019467A"/>
    <w:rsid w:val="001947D0"/>
    <w:rsid w:val="00194969"/>
    <w:rsid w:val="00195E6A"/>
    <w:rsid w:val="0019698B"/>
    <w:rsid w:val="001978AA"/>
    <w:rsid w:val="00197962"/>
    <w:rsid w:val="001A0376"/>
    <w:rsid w:val="001A11A9"/>
    <w:rsid w:val="001A42C4"/>
    <w:rsid w:val="001A437F"/>
    <w:rsid w:val="001A478F"/>
    <w:rsid w:val="001A48D0"/>
    <w:rsid w:val="001A4959"/>
    <w:rsid w:val="001A4D6C"/>
    <w:rsid w:val="001A571B"/>
    <w:rsid w:val="001A594D"/>
    <w:rsid w:val="001A5960"/>
    <w:rsid w:val="001A5FBE"/>
    <w:rsid w:val="001A631A"/>
    <w:rsid w:val="001A7521"/>
    <w:rsid w:val="001B144B"/>
    <w:rsid w:val="001B1820"/>
    <w:rsid w:val="001B1BB3"/>
    <w:rsid w:val="001B2B56"/>
    <w:rsid w:val="001B2EE4"/>
    <w:rsid w:val="001B35A5"/>
    <w:rsid w:val="001B4FD0"/>
    <w:rsid w:val="001B582C"/>
    <w:rsid w:val="001B5B65"/>
    <w:rsid w:val="001B627A"/>
    <w:rsid w:val="001B62E3"/>
    <w:rsid w:val="001B6BFD"/>
    <w:rsid w:val="001C0250"/>
    <w:rsid w:val="001C07F5"/>
    <w:rsid w:val="001C0EF6"/>
    <w:rsid w:val="001C195D"/>
    <w:rsid w:val="001C402E"/>
    <w:rsid w:val="001C4B80"/>
    <w:rsid w:val="001C61B4"/>
    <w:rsid w:val="001C6D22"/>
    <w:rsid w:val="001C72B0"/>
    <w:rsid w:val="001C7321"/>
    <w:rsid w:val="001D01D2"/>
    <w:rsid w:val="001D105B"/>
    <w:rsid w:val="001D12D3"/>
    <w:rsid w:val="001D12E9"/>
    <w:rsid w:val="001D1DAD"/>
    <w:rsid w:val="001D206C"/>
    <w:rsid w:val="001D2F55"/>
    <w:rsid w:val="001D43C7"/>
    <w:rsid w:val="001D460C"/>
    <w:rsid w:val="001D5150"/>
    <w:rsid w:val="001D56AF"/>
    <w:rsid w:val="001E076E"/>
    <w:rsid w:val="001E08BE"/>
    <w:rsid w:val="001E0E21"/>
    <w:rsid w:val="001E1830"/>
    <w:rsid w:val="001E1F03"/>
    <w:rsid w:val="001E2092"/>
    <w:rsid w:val="001E2389"/>
    <w:rsid w:val="001E26AC"/>
    <w:rsid w:val="001E2D24"/>
    <w:rsid w:val="001E51FC"/>
    <w:rsid w:val="001E566B"/>
    <w:rsid w:val="001E5AC8"/>
    <w:rsid w:val="001E5F0A"/>
    <w:rsid w:val="001E71F2"/>
    <w:rsid w:val="001E77EB"/>
    <w:rsid w:val="001F1F97"/>
    <w:rsid w:val="001F2875"/>
    <w:rsid w:val="001F2A5F"/>
    <w:rsid w:val="001F2B58"/>
    <w:rsid w:val="001F2FF2"/>
    <w:rsid w:val="001F3BF3"/>
    <w:rsid w:val="001F5B6D"/>
    <w:rsid w:val="001F60C2"/>
    <w:rsid w:val="001F6121"/>
    <w:rsid w:val="001F6354"/>
    <w:rsid w:val="001F7010"/>
    <w:rsid w:val="001F7A06"/>
    <w:rsid w:val="001F7E4A"/>
    <w:rsid w:val="0020053F"/>
    <w:rsid w:val="00200F23"/>
    <w:rsid w:val="0020533E"/>
    <w:rsid w:val="00205F70"/>
    <w:rsid w:val="0020637C"/>
    <w:rsid w:val="00206F98"/>
    <w:rsid w:val="00210AD2"/>
    <w:rsid w:val="002117B7"/>
    <w:rsid w:val="00211D81"/>
    <w:rsid w:val="00212E0A"/>
    <w:rsid w:val="002153B0"/>
    <w:rsid w:val="002164BB"/>
    <w:rsid w:val="0021688A"/>
    <w:rsid w:val="00216B15"/>
    <w:rsid w:val="0021777F"/>
    <w:rsid w:val="00217C2D"/>
    <w:rsid w:val="00220AE6"/>
    <w:rsid w:val="0022163E"/>
    <w:rsid w:val="0022172E"/>
    <w:rsid w:val="00223F04"/>
    <w:rsid w:val="00224431"/>
    <w:rsid w:val="002258EF"/>
    <w:rsid w:val="0022630C"/>
    <w:rsid w:val="002269CA"/>
    <w:rsid w:val="00226A4F"/>
    <w:rsid w:val="00226EE1"/>
    <w:rsid w:val="002303E2"/>
    <w:rsid w:val="00230A7D"/>
    <w:rsid w:val="00231D7A"/>
    <w:rsid w:val="0023237B"/>
    <w:rsid w:val="0023369B"/>
    <w:rsid w:val="00233B4C"/>
    <w:rsid w:val="00233CD8"/>
    <w:rsid w:val="00233EC3"/>
    <w:rsid w:val="002355E3"/>
    <w:rsid w:val="00237473"/>
    <w:rsid w:val="00240880"/>
    <w:rsid w:val="00241531"/>
    <w:rsid w:val="00241606"/>
    <w:rsid w:val="00241715"/>
    <w:rsid w:val="00241DD0"/>
    <w:rsid w:val="002427D4"/>
    <w:rsid w:val="00244357"/>
    <w:rsid w:val="00244986"/>
    <w:rsid w:val="0024734C"/>
    <w:rsid w:val="00247459"/>
    <w:rsid w:val="00247580"/>
    <w:rsid w:val="00251649"/>
    <w:rsid w:val="00251910"/>
    <w:rsid w:val="00251DEE"/>
    <w:rsid w:val="00255BC0"/>
    <w:rsid w:val="0025688F"/>
    <w:rsid w:val="00256A3C"/>
    <w:rsid w:val="002613B1"/>
    <w:rsid w:val="00261456"/>
    <w:rsid w:val="0026150B"/>
    <w:rsid w:val="00262AC7"/>
    <w:rsid w:val="002630B9"/>
    <w:rsid w:val="002631F2"/>
    <w:rsid w:val="002637C6"/>
    <w:rsid w:val="00263873"/>
    <w:rsid w:val="00263A69"/>
    <w:rsid w:val="00263ACC"/>
    <w:rsid w:val="00263AF3"/>
    <w:rsid w:val="00263D00"/>
    <w:rsid w:val="00264728"/>
    <w:rsid w:val="002651A8"/>
    <w:rsid w:val="00265269"/>
    <w:rsid w:val="00265B14"/>
    <w:rsid w:val="00265DC6"/>
    <w:rsid w:val="00267780"/>
    <w:rsid w:val="00267967"/>
    <w:rsid w:val="0027015B"/>
    <w:rsid w:val="002704B1"/>
    <w:rsid w:val="00271DC9"/>
    <w:rsid w:val="00272058"/>
    <w:rsid w:val="00272B0F"/>
    <w:rsid w:val="00272C2F"/>
    <w:rsid w:val="00273911"/>
    <w:rsid w:val="00273952"/>
    <w:rsid w:val="00273AA4"/>
    <w:rsid w:val="0027593B"/>
    <w:rsid w:val="00275F41"/>
    <w:rsid w:val="0027604B"/>
    <w:rsid w:val="00276A69"/>
    <w:rsid w:val="002772C7"/>
    <w:rsid w:val="0027765D"/>
    <w:rsid w:val="002778BB"/>
    <w:rsid w:val="00277FEF"/>
    <w:rsid w:val="0028113E"/>
    <w:rsid w:val="002835CE"/>
    <w:rsid w:val="00283B0B"/>
    <w:rsid w:val="00283BA6"/>
    <w:rsid w:val="00284AA9"/>
    <w:rsid w:val="00286B44"/>
    <w:rsid w:val="002902A4"/>
    <w:rsid w:val="00290C8F"/>
    <w:rsid w:val="00291650"/>
    <w:rsid w:val="002917E9"/>
    <w:rsid w:val="00291A5F"/>
    <w:rsid w:val="002926AA"/>
    <w:rsid w:val="00292770"/>
    <w:rsid w:val="00292D2D"/>
    <w:rsid w:val="00293C92"/>
    <w:rsid w:val="00294814"/>
    <w:rsid w:val="00295E33"/>
    <w:rsid w:val="00296A92"/>
    <w:rsid w:val="00297159"/>
    <w:rsid w:val="00297369"/>
    <w:rsid w:val="002978FE"/>
    <w:rsid w:val="002A0713"/>
    <w:rsid w:val="002A19FA"/>
    <w:rsid w:val="002A1D75"/>
    <w:rsid w:val="002A212B"/>
    <w:rsid w:val="002A21FA"/>
    <w:rsid w:val="002A22B1"/>
    <w:rsid w:val="002A2E2F"/>
    <w:rsid w:val="002A36D8"/>
    <w:rsid w:val="002A3876"/>
    <w:rsid w:val="002A3B8E"/>
    <w:rsid w:val="002A3C6A"/>
    <w:rsid w:val="002A3E6D"/>
    <w:rsid w:val="002A49D4"/>
    <w:rsid w:val="002A5C8E"/>
    <w:rsid w:val="002A5E2E"/>
    <w:rsid w:val="002A61A4"/>
    <w:rsid w:val="002A715E"/>
    <w:rsid w:val="002A73A0"/>
    <w:rsid w:val="002B05CC"/>
    <w:rsid w:val="002B2BB1"/>
    <w:rsid w:val="002B429B"/>
    <w:rsid w:val="002B5468"/>
    <w:rsid w:val="002B5AD7"/>
    <w:rsid w:val="002B66F7"/>
    <w:rsid w:val="002B67C7"/>
    <w:rsid w:val="002B68C2"/>
    <w:rsid w:val="002B7DE6"/>
    <w:rsid w:val="002C0C1F"/>
    <w:rsid w:val="002C0F73"/>
    <w:rsid w:val="002C29A7"/>
    <w:rsid w:val="002C3BA6"/>
    <w:rsid w:val="002C5DAC"/>
    <w:rsid w:val="002C5DC7"/>
    <w:rsid w:val="002C646A"/>
    <w:rsid w:val="002C71D1"/>
    <w:rsid w:val="002C7DA7"/>
    <w:rsid w:val="002C7F8F"/>
    <w:rsid w:val="002D0600"/>
    <w:rsid w:val="002D0651"/>
    <w:rsid w:val="002D1A8D"/>
    <w:rsid w:val="002D1C4D"/>
    <w:rsid w:val="002D448E"/>
    <w:rsid w:val="002D4564"/>
    <w:rsid w:val="002D4C0D"/>
    <w:rsid w:val="002D527C"/>
    <w:rsid w:val="002D64A9"/>
    <w:rsid w:val="002D64D7"/>
    <w:rsid w:val="002D7282"/>
    <w:rsid w:val="002D7EAE"/>
    <w:rsid w:val="002DE255"/>
    <w:rsid w:val="002E1754"/>
    <w:rsid w:val="002E317E"/>
    <w:rsid w:val="002E5387"/>
    <w:rsid w:val="002E5FA4"/>
    <w:rsid w:val="002E63D9"/>
    <w:rsid w:val="002E657C"/>
    <w:rsid w:val="002E6D06"/>
    <w:rsid w:val="002E743F"/>
    <w:rsid w:val="002F1ABB"/>
    <w:rsid w:val="002F1E29"/>
    <w:rsid w:val="002F1EC7"/>
    <w:rsid w:val="002F2CA5"/>
    <w:rsid w:val="002F2F13"/>
    <w:rsid w:val="002F2F9A"/>
    <w:rsid w:val="002F3602"/>
    <w:rsid w:val="002F3816"/>
    <w:rsid w:val="002F39D7"/>
    <w:rsid w:val="002F46B2"/>
    <w:rsid w:val="002F4F0A"/>
    <w:rsid w:val="002F5595"/>
    <w:rsid w:val="00301B8A"/>
    <w:rsid w:val="00301F54"/>
    <w:rsid w:val="00302739"/>
    <w:rsid w:val="00302B20"/>
    <w:rsid w:val="003032C8"/>
    <w:rsid w:val="00304501"/>
    <w:rsid w:val="0030516A"/>
    <w:rsid w:val="00306465"/>
    <w:rsid w:val="00306561"/>
    <w:rsid w:val="00307403"/>
    <w:rsid w:val="003116E3"/>
    <w:rsid w:val="0031183B"/>
    <w:rsid w:val="00311F2C"/>
    <w:rsid w:val="003120EA"/>
    <w:rsid w:val="0031241C"/>
    <w:rsid w:val="003132C3"/>
    <w:rsid w:val="003137E0"/>
    <w:rsid w:val="0031638C"/>
    <w:rsid w:val="003166E4"/>
    <w:rsid w:val="00316B57"/>
    <w:rsid w:val="00320DF0"/>
    <w:rsid w:val="003211B7"/>
    <w:rsid w:val="00321A34"/>
    <w:rsid w:val="00321D69"/>
    <w:rsid w:val="003223F9"/>
    <w:rsid w:val="00323009"/>
    <w:rsid w:val="00323DD7"/>
    <w:rsid w:val="00323E5B"/>
    <w:rsid w:val="00324A3D"/>
    <w:rsid w:val="00325F1D"/>
    <w:rsid w:val="003262C3"/>
    <w:rsid w:val="0032673E"/>
    <w:rsid w:val="00326C86"/>
    <w:rsid w:val="00330064"/>
    <w:rsid w:val="00330532"/>
    <w:rsid w:val="0033171B"/>
    <w:rsid w:val="00331B5F"/>
    <w:rsid w:val="00332227"/>
    <w:rsid w:val="00332C99"/>
    <w:rsid w:val="00332EC2"/>
    <w:rsid w:val="0033327C"/>
    <w:rsid w:val="00333893"/>
    <w:rsid w:val="00333A79"/>
    <w:rsid w:val="00334187"/>
    <w:rsid w:val="00334272"/>
    <w:rsid w:val="00334937"/>
    <w:rsid w:val="00334F6E"/>
    <w:rsid w:val="003352B5"/>
    <w:rsid w:val="0033559D"/>
    <w:rsid w:val="003363F2"/>
    <w:rsid w:val="0033776F"/>
    <w:rsid w:val="0034050F"/>
    <w:rsid w:val="00340691"/>
    <w:rsid w:val="0034167F"/>
    <w:rsid w:val="00343B58"/>
    <w:rsid w:val="00344335"/>
    <w:rsid w:val="003446E6"/>
    <w:rsid w:val="00344B84"/>
    <w:rsid w:val="00344EAE"/>
    <w:rsid w:val="00345082"/>
    <w:rsid w:val="00347BC0"/>
    <w:rsid w:val="00349B15"/>
    <w:rsid w:val="003500C8"/>
    <w:rsid w:val="00351A2D"/>
    <w:rsid w:val="0035243D"/>
    <w:rsid w:val="003524E3"/>
    <w:rsid w:val="00355ADD"/>
    <w:rsid w:val="00355F3D"/>
    <w:rsid w:val="00356289"/>
    <w:rsid w:val="003562DF"/>
    <w:rsid w:val="003567D6"/>
    <w:rsid w:val="00356DAD"/>
    <w:rsid w:val="00357972"/>
    <w:rsid w:val="003605F7"/>
    <w:rsid w:val="00360B46"/>
    <w:rsid w:val="00361981"/>
    <w:rsid w:val="0036238B"/>
    <w:rsid w:val="00362C90"/>
    <w:rsid w:val="00364768"/>
    <w:rsid w:val="0036596D"/>
    <w:rsid w:val="003664B3"/>
    <w:rsid w:val="0036653C"/>
    <w:rsid w:val="00370B54"/>
    <w:rsid w:val="003714CF"/>
    <w:rsid w:val="00371872"/>
    <w:rsid w:val="0037273A"/>
    <w:rsid w:val="003732DD"/>
    <w:rsid w:val="003733DE"/>
    <w:rsid w:val="0037369B"/>
    <w:rsid w:val="00373835"/>
    <w:rsid w:val="0037449F"/>
    <w:rsid w:val="003756EC"/>
    <w:rsid w:val="00375AB1"/>
    <w:rsid w:val="0037609E"/>
    <w:rsid w:val="003765AB"/>
    <w:rsid w:val="0037769B"/>
    <w:rsid w:val="0037780E"/>
    <w:rsid w:val="00377D12"/>
    <w:rsid w:val="00377DD7"/>
    <w:rsid w:val="00377EF3"/>
    <w:rsid w:val="0038033A"/>
    <w:rsid w:val="00380A96"/>
    <w:rsid w:val="00381BFB"/>
    <w:rsid w:val="00382112"/>
    <w:rsid w:val="003821D9"/>
    <w:rsid w:val="00382A2F"/>
    <w:rsid w:val="00382D54"/>
    <w:rsid w:val="003835B8"/>
    <w:rsid w:val="003840A6"/>
    <w:rsid w:val="003840FE"/>
    <w:rsid w:val="00384868"/>
    <w:rsid w:val="00384D4D"/>
    <w:rsid w:val="003874B4"/>
    <w:rsid w:val="0038BE3B"/>
    <w:rsid w:val="003901B5"/>
    <w:rsid w:val="003906AD"/>
    <w:rsid w:val="00390B70"/>
    <w:rsid w:val="003912C3"/>
    <w:rsid w:val="0039210B"/>
    <w:rsid w:val="0039268A"/>
    <w:rsid w:val="00392EA4"/>
    <w:rsid w:val="003937AE"/>
    <w:rsid w:val="003938F8"/>
    <w:rsid w:val="00396986"/>
    <w:rsid w:val="00397149"/>
    <w:rsid w:val="0039728D"/>
    <w:rsid w:val="003A08E8"/>
    <w:rsid w:val="003A1014"/>
    <w:rsid w:val="003A19AC"/>
    <w:rsid w:val="003A1F28"/>
    <w:rsid w:val="003A202B"/>
    <w:rsid w:val="003A335A"/>
    <w:rsid w:val="003A3555"/>
    <w:rsid w:val="003A3BF5"/>
    <w:rsid w:val="003A4D10"/>
    <w:rsid w:val="003A51BD"/>
    <w:rsid w:val="003A5775"/>
    <w:rsid w:val="003A70EA"/>
    <w:rsid w:val="003A7810"/>
    <w:rsid w:val="003B02F6"/>
    <w:rsid w:val="003B03B2"/>
    <w:rsid w:val="003B0D28"/>
    <w:rsid w:val="003B0E5F"/>
    <w:rsid w:val="003B1718"/>
    <w:rsid w:val="003B1B2D"/>
    <w:rsid w:val="003B2E02"/>
    <w:rsid w:val="003B2FF5"/>
    <w:rsid w:val="003B356C"/>
    <w:rsid w:val="003B5121"/>
    <w:rsid w:val="003B616E"/>
    <w:rsid w:val="003B6244"/>
    <w:rsid w:val="003B640A"/>
    <w:rsid w:val="003B6EC1"/>
    <w:rsid w:val="003C0000"/>
    <w:rsid w:val="003C004C"/>
    <w:rsid w:val="003C17C2"/>
    <w:rsid w:val="003C1E4D"/>
    <w:rsid w:val="003C213A"/>
    <w:rsid w:val="003C21AC"/>
    <w:rsid w:val="003C5218"/>
    <w:rsid w:val="003C6045"/>
    <w:rsid w:val="003C73FC"/>
    <w:rsid w:val="003C7876"/>
    <w:rsid w:val="003D047D"/>
    <w:rsid w:val="003D1C15"/>
    <w:rsid w:val="003D66DB"/>
    <w:rsid w:val="003D70FD"/>
    <w:rsid w:val="003E0A22"/>
    <w:rsid w:val="003E10D7"/>
    <w:rsid w:val="003E12E4"/>
    <w:rsid w:val="003E1552"/>
    <w:rsid w:val="003E1CF0"/>
    <w:rsid w:val="003E2809"/>
    <w:rsid w:val="003E2F98"/>
    <w:rsid w:val="003E38AB"/>
    <w:rsid w:val="003E40A8"/>
    <w:rsid w:val="003E569B"/>
    <w:rsid w:val="003E5DC1"/>
    <w:rsid w:val="003E6150"/>
    <w:rsid w:val="003E6476"/>
    <w:rsid w:val="003E6B1E"/>
    <w:rsid w:val="003E72C0"/>
    <w:rsid w:val="003E7702"/>
    <w:rsid w:val="003E7C06"/>
    <w:rsid w:val="003F09D2"/>
    <w:rsid w:val="003F0BE7"/>
    <w:rsid w:val="003F133F"/>
    <w:rsid w:val="003F15DC"/>
    <w:rsid w:val="003F1730"/>
    <w:rsid w:val="003F1CF7"/>
    <w:rsid w:val="003F1D58"/>
    <w:rsid w:val="003F21CE"/>
    <w:rsid w:val="003F2F83"/>
    <w:rsid w:val="003F34EB"/>
    <w:rsid w:val="003F5ADD"/>
    <w:rsid w:val="003F5C07"/>
    <w:rsid w:val="003F5C16"/>
    <w:rsid w:val="003F5EC6"/>
    <w:rsid w:val="003F7084"/>
    <w:rsid w:val="00400555"/>
    <w:rsid w:val="004005ED"/>
    <w:rsid w:val="00400645"/>
    <w:rsid w:val="00401CD9"/>
    <w:rsid w:val="004022F1"/>
    <w:rsid w:val="00402939"/>
    <w:rsid w:val="0040324D"/>
    <w:rsid w:val="00403BC0"/>
    <w:rsid w:val="00403D48"/>
    <w:rsid w:val="0040418B"/>
    <w:rsid w:val="004041E9"/>
    <w:rsid w:val="00404A57"/>
    <w:rsid w:val="00405B06"/>
    <w:rsid w:val="00405D09"/>
    <w:rsid w:val="00407787"/>
    <w:rsid w:val="004077C9"/>
    <w:rsid w:val="004118D8"/>
    <w:rsid w:val="00412590"/>
    <w:rsid w:val="004131A2"/>
    <w:rsid w:val="00413A08"/>
    <w:rsid w:val="00414DFD"/>
    <w:rsid w:val="00415B52"/>
    <w:rsid w:val="004163EE"/>
    <w:rsid w:val="00417DAD"/>
    <w:rsid w:val="00420BAD"/>
    <w:rsid w:val="004213C7"/>
    <w:rsid w:val="00422EC7"/>
    <w:rsid w:val="0042422A"/>
    <w:rsid w:val="004245FE"/>
    <w:rsid w:val="00424886"/>
    <w:rsid w:val="0042574B"/>
    <w:rsid w:val="00425BFD"/>
    <w:rsid w:val="004262C9"/>
    <w:rsid w:val="00427CA2"/>
    <w:rsid w:val="004300EF"/>
    <w:rsid w:val="004309C3"/>
    <w:rsid w:val="004309E4"/>
    <w:rsid w:val="004318AE"/>
    <w:rsid w:val="0043266C"/>
    <w:rsid w:val="004330ED"/>
    <w:rsid w:val="0043377F"/>
    <w:rsid w:val="004337D5"/>
    <w:rsid w:val="004342A4"/>
    <w:rsid w:val="004347B0"/>
    <w:rsid w:val="00434B00"/>
    <w:rsid w:val="00434B57"/>
    <w:rsid w:val="00434E7C"/>
    <w:rsid w:val="00437271"/>
    <w:rsid w:val="0043757A"/>
    <w:rsid w:val="004420A0"/>
    <w:rsid w:val="0044403B"/>
    <w:rsid w:val="004449A7"/>
    <w:rsid w:val="00445233"/>
    <w:rsid w:val="00446F2C"/>
    <w:rsid w:val="00447E6B"/>
    <w:rsid w:val="00450402"/>
    <w:rsid w:val="00451969"/>
    <w:rsid w:val="00451A93"/>
    <w:rsid w:val="00451EF9"/>
    <w:rsid w:val="0045242B"/>
    <w:rsid w:val="00452B43"/>
    <w:rsid w:val="00452E8C"/>
    <w:rsid w:val="0045393E"/>
    <w:rsid w:val="00453E7E"/>
    <w:rsid w:val="004545CA"/>
    <w:rsid w:val="00455D66"/>
    <w:rsid w:val="00456656"/>
    <w:rsid w:val="004567FD"/>
    <w:rsid w:val="00456847"/>
    <w:rsid w:val="00461FF6"/>
    <w:rsid w:val="004645AE"/>
    <w:rsid w:val="00464C7C"/>
    <w:rsid w:val="00464D4D"/>
    <w:rsid w:val="00466388"/>
    <w:rsid w:val="0046657A"/>
    <w:rsid w:val="004669D8"/>
    <w:rsid w:val="0046721B"/>
    <w:rsid w:val="00467B0B"/>
    <w:rsid w:val="00467BF4"/>
    <w:rsid w:val="0047200D"/>
    <w:rsid w:val="00472851"/>
    <w:rsid w:val="00473185"/>
    <w:rsid w:val="00473AC2"/>
    <w:rsid w:val="00474122"/>
    <w:rsid w:val="0047460D"/>
    <w:rsid w:val="004749D3"/>
    <w:rsid w:val="00475DCA"/>
    <w:rsid w:val="00476F8E"/>
    <w:rsid w:val="00476FDD"/>
    <w:rsid w:val="00477ECC"/>
    <w:rsid w:val="004800D3"/>
    <w:rsid w:val="00480CA2"/>
    <w:rsid w:val="00481C91"/>
    <w:rsid w:val="0048270A"/>
    <w:rsid w:val="00483235"/>
    <w:rsid w:val="00483355"/>
    <w:rsid w:val="00485AE0"/>
    <w:rsid w:val="0048787C"/>
    <w:rsid w:val="00487B80"/>
    <w:rsid w:val="004909C2"/>
    <w:rsid w:val="00490C7D"/>
    <w:rsid w:val="00490D6C"/>
    <w:rsid w:val="004911E3"/>
    <w:rsid w:val="0049122F"/>
    <w:rsid w:val="0049187C"/>
    <w:rsid w:val="004926E3"/>
    <w:rsid w:val="00492C5B"/>
    <w:rsid w:val="00493232"/>
    <w:rsid w:val="0049445E"/>
    <w:rsid w:val="00494B32"/>
    <w:rsid w:val="00495288"/>
    <w:rsid w:val="00496838"/>
    <w:rsid w:val="004969AA"/>
    <w:rsid w:val="00496A05"/>
    <w:rsid w:val="00496BF7"/>
    <w:rsid w:val="00496C14"/>
    <w:rsid w:val="00496EF6"/>
    <w:rsid w:val="0049736F"/>
    <w:rsid w:val="00497C95"/>
    <w:rsid w:val="00497D57"/>
    <w:rsid w:val="004A1E29"/>
    <w:rsid w:val="004A218D"/>
    <w:rsid w:val="004A24AB"/>
    <w:rsid w:val="004A2DB0"/>
    <w:rsid w:val="004A2E14"/>
    <w:rsid w:val="004A347B"/>
    <w:rsid w:val="004A3918"/>
    <w:rsid w:val="004A3C54"/>
    <w:rsid w:val="004A3D9E"/>
    <w:rsid w:val="004A3DF1"/>
    <w:rsid w:val="004A5196"/>
    <w:rsid w:val="004A5486"/>
    <w:rsid w:val="004A5509"/>
    <w:rsid w:val="004A6FAE"/>
    <w:rsid w:val="004A7DD4"/>
    <w:rsid w:val="004B05F9"/>
    <w:rsid w:val="004B0D54"/>
    <w:rsid w:val="004B1145"/>
    <w:rsid w:val="004B1512"/>
    <w:rsid w:val="004B1F04"/>
    <w:rsid w:val="004B243F"/>
    <w:rsid w:val="004B335D"/>
    <w:rsid w:val="004B4067"/>
    <w:rsid w:val="004B4B28"/>
    <w:rsid w:val="004B4E5E"/>
    <w:rsid w:val="004B50D8"/>
    <w:rsid w:val="004B5283"/>
    <w:rsid w:val="004B5B90"/>
    <w:rsid w:val="004B5F04"/>
    <w:rsid w:val="004B6D9D"/>
    <w:rsid w:val="004B700F"/>
    <w:rsid w:val="004B7DBE"/>
    <w:rsid w:val="004C07F1"/>
    <w:rsid w:val="004C0ECC"/>
    <w:rsid w:val="004C30B8"/>
    <w:rsid w:val="004C3233"/>
    <w:rsid w:val="004C400C"/>
    <w:rsid w:val="004C4C64"/>
    <w:rsid w:val="004C675B"/>
    <w:rsid w:val="004C6E26"/>
    <w:rsid w:val="004C7F2B"/>
    <w:rsid w:val="004D02A2"/>
    <w:rsid w:val="004D0806"/>
    <w:rsid w:val="004D0BDC"/>
    <w:rsid w:val="004D145B"/>
    <w:rsid w:val="004D2252"/>
    <w:rsid w:val="004D2618"/>
    <w:rsid w:val="004D2D78"/>
    <w:rsid w:val="004D45A0"/>
    <w:rsid w:val="004D5121"/>
    <w:rsid w:val="004D5A3B"/>
    <w:rsid w:val="004D6B3A"/>
    <w:rsid w:val="004D6FA1"/>
    <w:rsid w:val="004D7E08"/>
    <w:rsid w:val="004D7F61"/>
    <w:rsid w:val="004E0FE8"/>
    <w:rsid w:val="004E10BE"/>
    <w:rsid w:val="004E124F"/>
    <w:rsid w:val="004E15BA"/>
    <w:rsid w:val="004E2783"/>
    <w:rsid w:val="004E2D8F"/>
    <w:rsid w:val="004E3EC1"/>
    <w:rsid w:val="004E4584"/>
    <w:rsid w:val="004E48B8"/>
    <w:rsid w:val="004E4D36"/>
    <w:rsid w:val="004E556F"/>
    <w:rsid w:val="004E5CC6"/>
    <w:rsid w:val="004E73E2"/>
    <w:rsid w:val="004E7697"/>
    <w:rsid w:val="004E7BA9"/>
    <w:rsid w:val="004F03AB"/>
    <w:rsid w:val="004F158C"/>
    <w:rsid w:val="004F1DB7"/>
    <w:rsid w:val="004F20E8"/>
    <w:rsid w:val="004F224C"/>
    <w:rsid w:val="004F35AD"/>
    <w:rsid w:val="004F38FC"/>
    <w:rsid w:val="004F5DC7"/>
    <w:rsid w:val="004F76EB"/>
    <w:rsid w:val="005001D6"/>
    <w:rsid w:val="00500463"/>
    <w:rsid w:val="00500E50"/>
    <w:rsid w:val="00501109"/>
    <w:rsid w:val="00501605"/>
    <w:rsid w:val="00501839"/>
    <w:rsid w:val="00502137"/>
    <w:rsid w:val="00502676"/>
    <w:rsid w:val="00504862"/>
    <w:rsid w:val="005054C9"/>
    <w:rsid w:val="005056F2"/>
    <w:rsid w:val="005059AC"/>
    <w:rsid w:val="00507FBE"/>
    <w:rsid w:val="00511DE0"/>
    <w:rsid w:val="00512985"/>
    <w:rsid w:val="00513A02"/>
    <w:rsid w:val="00513E48"/>
    <w:rsid w:val="0051482F"/>
    <w:rsid w:val="005159BB"/>
    <w:rsid w:val="00515BB8"/>
    <w:rsid w:val="0051774D"/>
    <w:rsid w:val="00517A37"/>
    <w:rsid w:val="00517F17"/>
    <w:rsid w:val="005207A4"/>
    <w:rsid w:val="00523231"/>
    <w:rsid w:val="00523328"/>
    <w:rsid w:val="005236BC"/>
    <w:rsid w:val="00524C55"/>
    <w:rsid w:val="00526115"/>
    <w:rsid w:val="00527484"/>
    <w:rsid w:val="00527DFF"/>
    <w:rsid w:val="00532282"/>
    <w:rsid w:val="005324E9"/>
    <w:rsid w:val="005337AA"/>
    <w:rsid w:val="00533808"/>
    <w:rsid w:val="00535E60"/>
    <w:rsid w:val="005364DF"/>
    <w:rsid w:val="005371F3"/>
    <w:rsid w:val="00537F22"/>
    <w:rsid w:val="00542EEE"/>
    <w:rsid w:val="00543FE8"/>
    <w:rsid w:val="00547D71"/>
    <w:rsid w:val="00551B0D"/>
    <w:rsid w:val="00551B83"/>
    <w:rsid w:val="00553050"/>
    <w:rsid w:val="00554DA5"/>
    <w:rsid w:val="0055522D"/>
    <w:rsid w:val="0055668F"/>
    <w:rsid w:val="00556EBC"/>
    <w:rsid w:val="00556EC1"/>
    <w:rsid w:val="00560768"/>
    <w:rsid w:val="00560F38"/>
    <w:rsid w:val="0056198E"/>
    <w:rsid w:val="00561B05"/>
    <w:rsid w:val="00561C25"/>
    <w:rsid w:val="0056333A"/>
    <w:rsid w:val="0056435A"/>
    <w:rsid w:val="00565A73"/>
    <w:rsid w:val="00565EE5"/>
    <w:rsid w:val="00566351"/>
    <w:rsid w:val="00566657"/>
    <w:rsid w:val="005670CF"/>
    <w:rsid w:val="00567770"/>
    <w:rsid w:val="005703C9"/>
    <w:rsid w:val="00571B29"/>
    <w:rsid w:val="00571F21"/>
    <w:rsid w:val="00572EEA"/>
    <w:rsid w:val="00573022"/>
    <w:rsid w:val="00575B5F"/>
    <w:rsid w:val="005771A1"/>
    <w:rsid w:val="005775FD"/>
    <w:rsid w:val="00580337"/>
    <w:rsid w:val="005807CD"/>
    <w:rsid w:val="00580E65"/>
    <w:rsid w:val="005821C3"/>
    <w:rsid w:val="00582263"/>
    <w:rsid w:val="0058285A"/>
    <w:rsid w:val="00582A96"/>
    <w:rsid w:val="00582CBF"/>
    <w:rsid w:val="00582D43"/>
    <w:rsid w:val="005830BD"/>
    <w:rsid w:val="00583C3F"/>
    <w:rsid w:val="00584092"/>
    <w:rsid w:val="005842A9"/>
    <w:rsid w:val="00584A91"/>
    <w:rsid w:val="0058615F"/>
    <w:rsid w:val="00586C78"/>
    <w:rsid w:val="0058718E"/>
    <w:rsid w:val="00587FB2"/>
    <w:rsid w:val="005904FE"/>
    <w:rsid w:val="00590533"/>
    <w:rsid w:val="00591158"/>
    <w:rsid w:val="00591492"/>
    <w:rsid w:val="00591739"/>
    <w:rsid w:val="005934BB"/>
    <w:rsid w:val="0059371C"/>
    <w:rsid w:val="0059386E"/>
    <w:rsid w:val="0059401D"/>
    <w:rsid w:val="005954A2"/>
    <w:rsid w:val="00596850"/>
    <w:rsid w:val="00597575"/>
    <w:rsid w:val="00597703"/>
    <w:rsid w:val="005A0279"/>
    <w:rsid w:val="005A127F"/>
    <w:rsid w:val="005A1553"/>
    <w:rsid w:val="005A29CD"/>
    <w:rsid w:val="005A325F"/>
    <w:rsid w:val="005A3694"/>
    <w:rsid w:val="005A36E0"/>
    <w:rsid w:val="005A5AAF"/>
    <w:rsid w:val="005A5DFF"/>
    <w:rsid w:val="005A6097"/>
    <w:rsid w:val="005A6188"/>
    <w:rsid w:val="005A6786"/>
    <w:rsid w:val="005A75A7"/>
    <w:rsid w:val="005A7D1C"/>
    <w:rsid w:val="005B00CB"/>
    <w:rsid w:val="005B0BD2"/>
    <w:rsid w:val="005B11C5"/>
    <w:rsid w:val="005B1DCC"/>
    <w:rsid w:val="005B1EFE"/>
    <w:rsid w:val="005B2752"/>
    <w:rsid w:val="005B2D33"/>
    <w:rsid w:val="005B3480"/>
    <w:rsid w:val="005B46A0"/>
    <w:rsid w:val="005B4E92"/>
    <w:rsid w:val="005B6452"/>
    <w:rsid w:val="005B6FB4"/>
    <w:rsid w:val="005B7323"/>
    <w:rsid w:val="005B77ED"/>
    <w:rsid w:val="005B7EF9"/>
    <w:rsid w:val="005C0127"/>
    <w:rsid w:val="005C0823"/>
    <w:rsid w:val="005C0A9D"/>
    <w:rsid w:val="005C0BC4"/>
    <w:rsid w:val="005C1FD5"/>
    <w:rsid w:val="005C22A1"/>
    <w:rsid w:val="005C25B9"/>
    <w:rsid w:val="005C280B"/>
    <w:rsid w:val="005C334E"/>
    <w:rsid w:val="005C3583"/>
    <w:rsid w:val="005C3CE7"/>
    <w:rsid w:val="005C4528"/>
    <w:rsid w:val="005C5C8C"/>
    <w:rsid w:val="005C7D78"/>
    <w:rsid w:val="005C7EF7"/>
    <w:rsid w:val="005D0631"/>
    <w:rsid w:val="005D06B0"/>
    <w:rsid w:val="005D0F20"/>
    <w:rsid w:val="005D13D9"/>
    <w:rsid w:val="005D1CBF"/>
    <w:rsid w:val="005D381D"/>
    <w:rsid w:val="005D4946"/>
    <w:rsid w:val="005D5518"/>
    <w:rsid w:val="005D7670"/>
    <w:rsid w:val="005D77F4"/>
    <w:rsid w:val="005D7EDA"/>
    <w:rsid w:val="005E21BE"/>
    <w:rsid w:val="005E4241"/>
    <w:rsid w:val="005E4CE3"/>
    <w:rsid w:val="005E53EA"/>
    <w:rsid w:val="005E6224"/>
    <w:rsid w:val="005E6377"/>
    <w:rsid w:val="005E649E"/>
    <w:rsid w:val="005E6ACA"/>
    <w:rsid w:val="005E6F08"/>
    <w:rsid w:val="005E7497"/>
    <w:rsid w:val="005E7CED"/>
    <w:rsid w:val="005F0FF7"/>
    <w:rsid w:val="005F11A4"/>
    <w:rsid w:val="005F1754"/>
    <w:rsid w:val="005F219B"/>
    <w:rsid w:val="005F2BDB"/>
    <w:rsid w:val="005F378C"/>
    <w:rsid w:val="005F3A60"/>
    <w:rsid w:val="005F3F7A"/>
    <w:rsid w:val="005F4B0F"/>
    <w:rsid w:val="005F5C78"/>
    <w:rsid w:val="005F5C86"/>
    <w:rsid w:val="005F6B84"/>
    <w:rsid w:val="005F7619"/>
    <w:rsid w:val="00601168"/>
    <w:rsid w:val="006011F3"/>
    <w:rsid w:val="006024AE"/>
    <w:rsid w:val="00604506"/>
    <w:rsid w:val="00604D89"/>
    <w:rsid w:val="00604F2F"/>
    <w:rsid w:val="006055DF"/>
    <w:rsid w:val="00606663"/>
    <w:rsid w:val="006105EB"/>
    <w:rsid w:val="00610FEE"/>
    <w:rsid w:val="006111BF"/>
    <w:rsid w:val="00611F64"/>
    <w:rsid w:val="00612749"/>
    <w:rsid w:val="00612963"/>
    <w:rsid w:val="00612E18"/>
    <w:rsid w:val="0061353C"/>
    <w:rsid w:val="006136E0"/>
    <w:rsid w:val="00615347"/>
    <w:rsid w:val="006158E5"/>
    <w:rsid w:val="00615998"/>
    <w:rsid w:val="00615DD1"/>
    <w:rsid w:val="00616606"/>
    <w:rsid w:val="00616721"/>
    <w:rsid w:val="00616BA5"/>
    <w:rsid w:val="00617554"/>
    <w:rsid w:val="00617C4B"/>
    <w:rsid w:val="0062056B"/>
    <w:rsid w:val="00623485"/>
    <w:rsid w:val="00623DBC"/>
    <w:rsid w:val="006241A9"/>
    <w:rsid w:val="00625833"/>
    <w:rsid w:val="006265A4"/>
    <w:rsid w:val="006267E6"/>
    <w:rsid w:val="00626E0E"/>
    <w:rsid w:val="006270AF"/>
    <w:rsid w:val="00630F6E"/>
    <w:rsid w:val="00635DB2"/>
    <w:rsid w:val="00636047"/>
    <w:rsid w:val="00637781"/>
    <w:rsid w:val="00637B1F"/>
    <w:rsid w:val="00641890"/>
    <w:rsid w:val="00641AD0"/>
    <w:rsid w:val="00642B1B"/>
    <w:rsid w:val="00642BAD"/>
    <w:rsid w:val="00642CDF"/>
    <w:rsid w:val="00643727"/>
    <w:rsid w:val="006459FD"/>
    <w:rsid w:val="006463B9"/>
    <w:rsid w:val="00646E75"/>
    <w:rsid w:val="00647652"/>
    <w:rsid w:val="0064797F"/>
    <w:rsid w:val="0065120C"/>
    <w:rsid w:val="0065153D"/>
    <w:rsid w:val="00651A9A"/>
    <w:rsid w:val="00651DC2"/>
    <w:rsid w:val="0065242B"/>
    <w:rsid w:val="00653195"/>
    <w:rsid w:val="0065528B"/>
    <w:rsid w:val="00655847"/>
    <w:rsid w:val="006558D2"/>
    <w:rsid w:val="00656C88"/>
    <w:rsid w:val="0065741C"/>
    <w:rsid w:val="00657CB7"/>
    <w:rsid w:val="006605A0"/>
    <w:rsid w:val="0066103B"/>
    <w:rsid w:val="006612B0"/>
    <w:rsid w:val="00661E9F"/>
    <w:rsid w:val="0066204F"/>
    <w:rsid w:val="00662062"/>
    <w:rsid w:val="006622EB"/>
    <w:rsid w:val="006629DD"/>
    <w:rsid w:val="00662A55"/>
    <w:rsid w:val="00662B7D"/>
    <w:rsid w:val="00662C46"/>
    <w:rsid w:val="00662E18"/>
    <w:rsid w:val="00663016"/>
    <w:rsid w:val="006632C2"/>
    <w:rsid w:val="00664464"/>
    <w:rsid w:val="00664509"/>
    <w:rsid w:val="00665606"/>
    <w:rsid w:val="00666BA7"/>
    <w:rsid w:val="00667562"/>
    <w:rsid w:val="006716A6"/>
    <w:rsid w:val="00671953"/>
    <w:rsid w:val="00671DF0"/>
    <w:rsid w:val="00672D25"/>
    <w:rsid w:val="006738BC"/>
    <w:rsid w:val="0067416E"/>
    <w:rsid w:val="00674FDF"/>
    <w:rsid w:val="00675273"/>
    <w:rsid w:val="00675D78"/>
    <w:rsid w:val="006764F0"/>
    <w:rsid w:val="00676D84"/>
    <w:rsid w:val="006772CB"/>
    <w:rsid w:val="006773C9"/>
    <w:rsid w:val="006774FD"/>
    <w:rsid w:val="0067780C"/>
    <w:rsid w:val="0068002C"/>
    <w:rsid w:val="006816A7"/>
    <w:rsid w:val="00681B91"/>
    <w:rsid w:val="0068211F"/>
    <w:rsid w:val="006830EE"/>
    <w:rsid w:val="00683DA7"/>
    <w:rsid w:val="00684C55"/>
    <w:rsid w:val="00687CA4"/>
    <w:rsid w:val="0069105C"/>
    <w:rsid w:val="00691212"/>
    <w:rsid w:val="0069199F"/>
    <w:rsid w:val="00692A00"/>
    <w:rsid w:val="00692B21"/>
    <w:rsid w:val="0069425A"/>
    <w:rsid w:val="006942E3"/>
    <w:rsid w:val="00694D08"/>
    <w:rsid w:val="00694E9D"/>
    <w:rsid w:val="006951EF"/>
    <w:rsid w:val="006954D8"/>
    <w:rsid w:val="00695E37"/>
    <w:rsid w:val="00696693"/>
    <w:rsid w:val="0069776E"/>
    <w:rsid w:val="00697FB1"/>
    <w:rsid w:val="006A0698"/>
    <w:rsid w:val="006A159F"/>
    <w:rsid w:val="006A18F5"/>
    <w:rsid w:val="006A1BF2"/>
    <w:rsid w:val="006A20FF"/>
    <w:rsid w:val="006A2E5E"/>
    <w:rsid w:val="006A3739"/>
    <w:rsid w:val="006A3CCF"/>
    <w:rsid w:val="006A3CF5"/>
    <w:rsid w:val="006A3DBA"/>
    <w:rsid w:val="006A4105"/>
    <w:rsid w:val="006A4458"/>
    <w:rsid w:val="006A46EC"/>
    <w:rsid w:val="006A545B"/>
    <w:rsid w:val="006A64A7"/>
    <w:rsid w:val="006A674C"/>
    <w:rsid w:val="006A6799"/>
    <w:rsid w:val="006A6801"/>
    <w:rsid w:val="006A73E6"/>
    <w:rsid w:val="006AF438"/>
    <w:rsid w:val="006B0866"/>
    <w:rsid w:val="006B2F15"/>
    <w:rsid w:val="006B2F76"/>
    <w:rsid w:val="006B35A4"/>
    <w:rsid w:val="006B4DC3"/>
    <w:rsid w:val="006B5C6A"/>
    <w:rsid w:val="006B5E0B"/>
    <w:rsid w:val="006B6320"/>
    <w:rsid w:val="006B7C03"/>
    <w:rsid w:val="006C0CE9"/>
    <w:rsid w:val="006C0DC3"/>
    <w:rsid w:val="006C0E96"/>
    <w:rsid w:val="006C1257"/>
    <w:rsid w:val="006C1645"/>
    <w:rsid w:val="006C1A6D"/>
    <w:rsid w:val="006C1F47"/>
    <w:rsid w:val="006C2035"/>
    <w:rsid w:val="006C26B3"/>
    <w:rsid w:val="006C270C"/>
    <w:rsid w:val="006C5F3B"/>
    <w:rsid w:val="006C6EDD"/>
    <w:rsid w:val="006C7254"/>
    <w:rsid w:val="006C7467"/>
    <w:rsid w:val="006C7DF8"/>
    <w:rsid w:val="006D1776"/>
    <w:rsid w:val="006D320D"/>
    <w:rsid w:val="006D36FC"/>
    <w:rsid w:val="006D3E69"/>
    <w:rsid w:val="006D43D6"/>
    <w:rsid w:val="006D4900"/>
    <w:rsid w:val="006D5436"/>
    <w:rsid w:val="006D60C3"/>
    <w:rsid w:val="006D6130"/>
    <w:rsid w:val="006D69B8"/>
    <w:rsid w:val="006D7B08"/>
    <w:rsid w:val="006E0971"/>
    <w:rsid w:val="006E17F5"/>
    <w:rsid w:val="006E196E"/>
    <w:rsid w:val="006E2CE3"/>
    <w:rsid w:val="006E38DC"/>
    <w:rsid w:val="006E3977"/>
    <w:rsid w:val="006E41C7"/>
    <w:rsid w:val="006E4900"/>
    <w:rsid w:val="006E64BC"/>
    <w:rsid w:val="006E6972"/>
    <w:rsid w:val="006F0307"/>
    <w:rsid w:val="006F2731"/>
    <w:rsid w:val="006F27B9"/>
    <w:rsid w:val="006F2A4D"/>
    <w:rsid w:val="006F3C84"/>
    <w:rsid w:val="006F4C0B"/>
    <w:rsid w:val="006F5E4A"/>
    <w:rsid w:val="006F6319"/>
    <w:rsid w:val="006F6608"/>
    <w:rsid w:val="006F74E5"/>
    <w:rsid w:val="006F7AF3"/>
    <w:rsid w:val="006F7B6E"/>
    <w:rsid w:val="006FB653"/>
    <w:rsid w:val="007015B9"/>
    <w:rsid w:val="00702F48"/>
    <w:rsid w:val="00703387"/>
    <w:rsid w:val="007035CA"/>
    <w:rsid w:val="0070453B"/>
    <w:rsid w:val="0070499F"/>
    <w:rsid w:val="00704CA7"/>
    <w:rsid w:val="00704CB0"/>
    <w:rsid w:val="00705E56"/>
    <w:rsid w:val="007076D8"/>
    <w:rsid w:val="00707C2D"/>
    <w:rsid w:val="00710143"/>
    <w:rsid w:val="00710265"/>
    <w:rsid w:val="0071333F"/>
    <w:rsid w:val="00714EA8"/>
    <w:rsid w:val="00715387"/>
    <w:rsid w:val="007159C5"/>
    <w:rsid w:val="00715DA9"/>
    <w:rsid w:val="007164C6"/>
    <w:rsid w:val="00716EB7"/>
    <w:rsid w:val="00717BD9"/>
    <w:rsid w:val="00721349"/>
    <w:rsid w:val="00725B58"/>
    <w:rsid w:val="007261E6"/>
    <w:rsid w:val="00727B9D"/>
    <w:rsid w:val="0072B51B"/>
    <w:rsid w:val="00730B00"/>
    <w:rsid w:val="00730DC2"/>
    <w:rsid w:val="0073138F"/>
    <w:rsid w:val="00732DFE"/>
    <w:rsid w:val="007333AC"/>
    <w:rsid w:val="00734692"/>
    <w:rsid w:val="00734B9F"/>
    <w:rsid w:val="007350AC"/>
    <w:rsid w:val="00735827"/>
    <w:rsid w:val="00735F1C"/>
    <w:rsid w:val="00737D41"/>
    <w:rsid w:val="007409AB"/>
    <w:rsid w:val="00740C2A"/>
    <w:rsid w:val="00741621"/>
    <w:rsid w:val="0074185A"/>
    <w:rsid w:val="00741999"/>
    <w:rsid w:val="00741C49"/>
    <w:rsid w:val="00743C4D"/>
    <w:rsid w:val="0074498A"/>
    <w:rsid w:val="007460A5"/>
    <w:rsid w:val="00746ABB"/>
    <w:rsid w:val="007470C3"/>
    <w:rsid w:val="007470E6"/>
    <w:rsid w:val="007471F9"/>
    <w:rsid w:val="007474E2"/>
    <w:rsid w:val="00747CD9"/>
    <w:rsid w:val="007510DF"/>
    <w:rsid w:val="00751231"/>
    <w:rsid w:val="007516C6"/>
    <w:rsid w:val="007520F2"/>
    <w:rsid w:val="007526D5"/>
    <w:rsid w:val="00752AA8"/>
    <w:rsid w:val="007531A8"/>
    <w:rsid w:val="00753DEF"/>
    <w:rsid w:val="007546DD"/>
    <w:rsid w:val="00754DB8"/>
    <w:rsid w:val="007553CC"/>
    <w:rsid w:val="00755588"/>
    <w:rsid w:val="00755BFB"/>
    <w:rsid w:val="0075691E"/>
    <w:rsid w:val="00756F51"/>
    <w:rsid w:val="00761146"/>
    <w:rsid w:val="00761F8D"/>
    <w:rsid w:val="00762F36"/>
    <w:rsid w:val="00764745"/>
    <w:rsid w:val="007648C3"/>
    <w:rsid w:val="00764BE1"/>
    <w:rsid w:val="007652FA"/>
    <w:rsid w:val="00765A5F"/>
    <w:rsid w:val="00766435"/>
    <w:rsid w:val="00766821"/>
    <w:rsid w:val="0076745A"/>
    <w:rsid w:val="00767561"/>
    <w:rsid w:val="00767E21"/>
    <w:rsid w:val="0077026C"/>
    <w:rsid w:val="007709F6"/>
    <w:rsid w:val="00770A2B"/>
    <w:rsid w:val="00771138"/>
    <w:rsid w:val="007717C6"/>
    <w:rsid w:val="00771AA8"/>
    <w:rsid w:val="007722D1"/>
    <w:rsid w:val="00772492"/>
    <w:rsid w:val="00772812"/>
    <w:rsid w:val="00772BD3"/>
    <w:rsid w:val="00773E82"/>
    <w:rsid w:val="00774D36"/>
    <w:rsid w:val="00774FD6"/>
    <w:rsid w:val="007755FB"/>
    <w:rsid w:val="00776778"/>
    <w:rsid w:val="00776E53"/>
    <w:rsid w:val="00777C44"/>
    <w:rsid w:val="00780695"/>
    <w:rsid w:val="007809EE"/>
    <w:rsid w:val="0078225E"/>
    <w:rsid w:val="00782291"/>
    <w:rsid w:val="00782F52"/>
    <w:rsid w:val="00783EAB"/>
    <w:rsid w:val="00784B54"/>
    <w:rsid w:val="00784DD4"/>
    <w:rsid w:val="00785111"/>
    <w:rsid w:val="00785583"/>
    <w:rsid w:val="007856DE"/>
    <w:rsid w:val="00785979"/>
    <w:rsid w:val="00786FCF"/>
    <w:rsid w:val="0078722C"/>
    <w:rsid w:val="007875A2"/>
    <w:rsid w:val="00787CFF"/>
    <w:rsid w:val="00790E1E"/>
    <w:rsid w:val="00791116"/>
    <w:rsid w:val="00791654"/>
    <w:rsid w:val="0079190C"/>
    <w:rsid w:val="00791C8F"/>
    <w:rsid w:val="0079376F"/>
    <w:rsid w:val="0079391B"/>
    <w:rsid w:val="00793CE8"/>
    <w:rsid w:val="00793E44"/>
    <w:rsid w:val="00794A25"/>
    <w:rsid w:val="00794AD5"/>
    <w:rsid w:val="00795717"/>
    <w:rsid w:val="0079587D"/>
    <w:rsid w:val="00796513"/>
    <w:rsid w:val="007965CB"/>
    <w:rsid w:val="007965FC"/>
    <w:rsid w:val="007968FE"/>
    <w:rsid w:val="007A2A77"/>
    <w:rsid w:val="007A3195"/>
    <w:rsid w:val="007A4CD7"/>
    <w:rsid w:val="007A5A0E"/>
    <w:rsid w:val="007A5BAB"/>
    <w:rsid w:val="007A5F81"/>
    <w:rsid w:val="007A61EC"/>
    <w:rsid w:val="007A62FF"/>
    <w:rsid w:val="007A6416"/>
    <w:rsid w:val="007A660A"/>
    <w:rsid w:val="007A6B27"/>
    <w:rsid w:val="007A6D23"/>
    <w:rsid w:val="007A7865"/>
    <w:rsid w:val="007A7C9D"/>
    <w:rsid w:val="007B04B4"/>
    <w:rsid w:val="007B25D8"/>
    <w:rsid w:val="007B2A44"/>
    <w:rsid w:val="007B314B"/>
    <w:rsid w:val="007B54FB"/>
    <w:rsid w:val="007B586D"/>
    <w:rsid w:val="007B6F04"/>
    <w:rsid w:val="007B7E2C"/>
    <w:rsid w:val="007C0299"/>
    <w:rsid w:val="007C0D03"/>
    <w:rsid w:val="007C261A"/>
    <w:rsid w:val="007C30EB"/>
    <w:rsid w:val="007C33FB"/>
    <w:rsid w:val="007C4EFA"/>
    <w:rsid w:val="007C4F91"/>
    <w:rsid w:val="007C5F32"/>
    <w:rsid w:val="007C6899"/>
    <w:rsid w:val="007C6FB4"/>
    <w:rsid w:val="007C7210"/>
    <w:rsid w:val="007C7CAB"/>
    <w:rsid w:val="007D00E2"/>
    <w:rsid w:val="007D02A4"/>
    <w:rsid w:val="007D0313"/>
    <w:rsid w:val="007D0F56"/>
    <w:rsid w:val="007D1236"/>
    <w:rsid w:val="007D1F7D"/>
    <w:rsid w:val="007D2608"/>
    <w:rsid w:val="007D370D"/>
    <w:rsid w:val="007D3B5D"/>
    <w:rsid w:val="007D4E5A"/>
    <w:rsid w:val="007D63A5"/>
    <w:rsid w:val="007D6967"/>
    <w:rsid w:val="007D74EE"/>
    <w:rsid w:val="007D765B"/>
    <w:rsid w:val="007E03A2"/>
    <w:rsid w:val="007E053B"/>
    <w:rsid w:val="007E1523"/>
    <w:rsid w:val="007E1D00"/>
    <w:rsid w:val="007E2AE6"/>
    <w:rsid w:val="007E579E"/>
    <w:rsid w:val="007E5974"/>
    <w:rsid w:val="007E6905"/>
    <w:rsid w:val="007E69DD"/>
    <w:rsid w:val="007F0024"/>
    <w:rsid w:val="007F0717"/>
    <w:rsid w:val="007F1D7A"/>
    <w:rsid w:val="007F2543"/>
    <w:rsid w:val="007F3982"/>
    <w:rsid w:val="007F3CDC"/>
    <w:rsid w:val="007F41C4"/>
    <w:rsid w:val="007F54EA"/>
    <w:rsid w:val="008009E0"/>
    <w:rsid w:val="0080115F"/>
    <w:rsid w:val="0080133C"/>
    <w:rsid w:val="00801738"/>
    <w:rsid w:val="00801D08"/>
    <w:rsid w:val="00801F65"/>
    <w:rsid w:val="00802420"/>
    <w:rsid w:val="00802DD3"/>
    <w:rsid w:val="00802EA9"/>
    <w:rsid w:val="00803110"/>
    <w:rsid w:val="00804141"/>
    <w:rsid w:val="0080492D"/>
    <w:rsid w:val="008068DC"/>
    <w:rsid w:val="008070DC"/>
    <w:rsid w:val="0081053B"/>
    <w:rsid w:val="00810E5C"/>
    <w:rsid w:val="0081128F"/>
    <w:rsid w:val="008114CD"/>
    <w:rsid w:val="00812069"/>
    <w:rsid w:val="008126CB"/>
    <w:rsid w:val="0081285C"/>
    <w:rsid w:val="00814D3D"/>
    <w:rsid w:val="00814DA1"/>
    <w:rsid w:val="00815278"/>
    <w:rsid w:val="008153C5"/>
    <w:rsid w:val="00815600"/>
    <w:rsid w:val="008156B0"/>
    <w:rsid w:val="00815E16"/>
    <w:rsid w:val="00815EB1"/>
    <w:rsid w:val="008164E5"/>
    <w:rsid w:val="008165EC"/>
    <w:rsid w:val="00820285"/>
    <w:rsid w:val="00820696"/>
    <w:rsid w:val="00821517"/>
    <w:rsid w:val="00821587"/>
    <w:rsid w:val="008215E7"/>
    <w:rsid w:val="008218FB"/>
    <w:rsid w:val="00823485"/>
    <w:rsid w:val="0082488D"/>
    <w:rsid w:val="00825BE0"/>
    <w:rsid w:val="00826007"/>
    <w:rsid w:val="00827AB1"/>
    <w:rsid w:val="00830081"/>
    <w:rsid w:val="008313B4"/>
    <w:rsid w:val="00831A86"/>
    <w:rsid w:val="0083294A"/>
    <w:rsid w:val="00835289"/>
    <w:rsid w:val="00835661"/>
    <w:rsid w:val="00835F6A"/>
    <w:rsid w:val="0083626A"/>
    <w:rsid w:val="008363ED"/>
    <w:rsid w:val="008369B2"/>
    <w:rsid w:val="008375FB"/>
    <w:rsid w:val="00837F6F"/>
    <w:rsid w:val="00837FC2"/>
    <w:rsid w:val="008404CF"/>
    <w:rsid w:val="0084130A"/>
    <w:rsid w:val="0084225E"/>
    <w:rsid w:val="0084283C"/>
    <w:rsid w:val="00843495"/>
    <w:rsid w:val="008437B0"/>
    <w:rsid w:val="0084587D"/>
    <w:rsid w:val="008467D7"/>
    <w:rsid w:val="00847071"/>
    <w:rsid w:val="008476B0"/>
    <w:rsid w:val="0085036A"/>
    <w:rsid w:val="0085073D"/>
    <w:rsid w:val="00851AF8"/>
    <w:rsid w:val="00851EB3"/>
    <w:rsid w:val="008522D5"/>
    <w:rsid w:val="00852541"/>
    <w:rsid w:val="0085292C"/>
    <w:rsid w:val="00852DEC"/>
    <w:rsid w:val="00852FB7"/>
    <w:rsid w:val="00852FC0"/>
    <w:rsid w:val="0085335F"/>
    <w:rsid w:val="00853BCA"/>
    <w:rsid w:val="0085414F"/>
    <w:rsid w:val="00854877"/>
    <w:rsid w:val="00856007"/>
    <w:rsid w:val="008604C2"/>
    <w:rsid w:val="008627F0"/>
    <w:rsid w:val="008638D0"/>
    <w:rsid w:val="00863EEA"/>
    <w:rsid w:val="00864959"/>
    <w:rsid w:val="0086576B"/>
    <w:rsid w:val="00865D47"/>
    <w:rsid w:val="00866CAD"/>
    <w:rsid w:val="00866F52"/>
    <w:rsid w:val="00866FDF"/>
    <w:rsid w:val="00867E30"/>
    <w:rsid w:val="0086F2DA"/>
    <w:rsid w:val="0087123E"/>
    <w:rsid w:val="00871249"/>
    <w:rsid w:val="00871459"/>
    <w:rsid w:val="008715B4"/>
    <w:rsid w:val="00872E3D"/>
    <w:rsid w:val="008735E9"/>
    <w:rsid w:val="00873AEA"/>
    <w:rsid w:val="00874549"/>
    <w:rsid w:val="00874643"/>
    <w:rsid w:val="008751AD"/>
    <w:rsid w:val="00876095"/>
    <w:rsid w:val="00876D10"/>
    <w:rsid w:val="008773BE"/>
    <w:rsid w:val="0088080B"/>
    <w:rsid w:val="008824F4"/>
    <w:rsid w:val="00883512"/>
    <w:rsid w:val="0088365C"/>
    <w:rsid w:val="0088452C"/>
    <w:rsid w:val="00884883"/>
    <w:rsid w:val="00886281"/>
    <w:rsid w:val="00887107"/>
    <w:rsid w:val="00891649"/>
    <w:rsid w:val="00891CF7"/>
    <w:rsid w:val="00892E04"/>
    <w:rsid w:val="00895D85"/>
    <w:rsid w:val="00896054"/>
    <w:rsid w:val="008965C7"/>
    <w:rsid w:val="008967AE"/>
    <w:rsid w:val="00897989"/>
    <w:rsid w:val="00897A83"/>
    <w:rsid w:val="00897BC0"/>
    <w:rsid w:val="008A076C"/>
    <w:rsid w:val="008A3BF9"/>
    <w:rsid w:val="008A4426"/>
    <w:rsid w:val="008A4551"/>
    <w:rsid w:val="008A4AF0"/>
    <w:rsid w:val="008A4FB8"/>
    <w:rsid w:val="008A6280"/>
    <w:rsid w:val="008A629B"/>
    <w:rsid w:val="008B0595"/>
    <w:rsid w:val="008B089C"/>
    <w:rsid w:val="008B140E"/>
    <w:rsid w:val="008B1754"/>
    <w:rsid w:val="008B18E7"/>
    <w:rsid w:val="008B3641"/>
    <w:rsid w:val="008B4099"/>
    <w:rsid w:val="008B5700"/>
    <w:rsid w:val="008B5C65"/>
    <w:rsid w:val="008B70B4"/>
    <w:rsid w:val="008B767E"/>
    <w:rsid w:val="008C00A0"/>
    <w:rsid w:val="008C03A3"/>
    <w:rsid w:val="008C0DD1"/>
    <w:rsid w:val="008C0F29"/>
    <w:rsid w:val="008C1943"/>
    <w:rsid w:val="008C1F7B"/>
    <w:rsid w:val="008C28A5"/>
    <w:rsid w:val="008C4128"/>
    <w:rsid w:val="008C4513"/>
    <w:rsid w:val="008C4639"/>
    <w:rsid w:val="008C7515"/>
    <w:rsid w:val="008C7823"/>
    <w:rsid w:val="008C7F72"/>
    <w:rsid w:val="008D13F5"/>
    <w:rsid w:val="008D1A04"/>
    <w:rsid w:val="008D2771"/>
    <w:rsid w:val="008D3022"/>
    <w:rsid w:val="008D3A93"/>
    <w:rsid w:val="008D52A3"/>
    <w:rsid w:val="008D6444"/>
    <w:rsid w:val="008D78A5"/>
    <w:rsid w:val="008D7DCB"/>
    <w:rsid w:val="008E0DF8"/>
    <w:rsid w:val="008E1BE7"/>
    <w:rsid w:val="008E41B2"/>
    <w:rsid w:val="008E46C9"/>
    <w:rsid w:val="008E5CE8"/>
    <w:rsid w:val="008E5E74"/>
    <w:rsid w:val="008E6FC3"/>
    <w:rsid w:val="008E7054"/>
    <w:rsid w:val="008E72CD"/>
    <w:rsid w:val="008E7383"/>
    <w:rsid w:val="008E7D9D"/>
    <w:rsid w:val="008F0C70"/>
    <w:rsid w:val="008F0D1F"/>
    <w:rsid w:val="008F0D59"/>
    <w:rsid w:val="008F136B"/>
    <w:rsid w:val="008F137B"/>
    <w:rsid w:val="008F354D"/>
    <w:rsid w:val="008F5719"/>
    <w:rsid w:val="008F6171"/>
    <w:rsid w:val="008F6E1D"/>
    <w:rsid w:val="008F71CD"/>
    <w:rsid w:val="008F74A0"/>
    <w:rsid w:val="00900CFA"/>
    <w:rsid w:val="00900E11"/>
    <w:rsid w:val="00901B2C"/>
    <w:rsid w:val="009029DB"/>
    <w:rsid w:val="00902A8E"/>
    <w:rsid w:val="00902B61"/>
    <w:rsid w:val="00902D79"/>
    <w:rsid w:val="00903B84"/>
    <w:rsid w:val="0090554A"/>
    <w:rsid w:val="009055DB"/>
    <w:rsid w:val="00905721"/>
    <w:rsid w:val="009058D6"/>
    <w:rsid w:val="00905ECB"/>
    <w:rsid w:val="0090779F"/>
    <w:rsid w:val="00907D18"/>
    <w:rsid w:val="0091043B"/>
    <w:rsid w:val="009117D0"/>
    <w:rsid w:val="0091323B"/>
    <w:rsid w:val="009134E6"/>
    <w:rsid w:val="00913758"/>
    <w:rsid w:val="00913A1C"/>
    <w:rsid w:val="0091465E"/>
    <w:rsid w:val="00914D18"/>
    <w:rsid w:val="009152CA"/>
    <w:rsid w:val="0091654F"/>
    <w:rsid w:val="00920138"/>
    <w:rsid w:val="00920C81"/>
    <w:rsid w:val="00921433"/>
    <w:rsid w:val="009225A1"/>
    <w:rsid w:val="009229FE"/>
    <w:rsid w:val="00924F31"/>
    <w:rsid w:val="0092506B"/>
    <w:rsid w:val="00926469"/>
    <w:rsid w:val="00926E87"/>
    <w:rsid w:val="00926ED7"/>
    <w:rsid w:val="0093009E"/>
    <w:rsid w:val="00930D85"/>
    <w:rsid w:val="00931101"/>
    <w:rsid w:val="00931210"/>
    <w:rsid w:val="00933F47"/>
    <w:rsid w:val="009341CE"/>
    <w:rsid w:val="009357EA"/>
    <w:rsid w:val="00937FBB"/>
    <w:rsid w:val="00940455"/>
    <w:rsid w:val="00940762"/>
    <w:rsid w:val="009417F2"/>
    <w:rsid w:val="00941AE5"/>
    <w:rsid w:val="0094230E"/>
    <w:rsid w:val="00943B8A"/>
    <w:rsid w:val="0094454C"/>
    <w:rsid w:val="00944D9F"/>
    <w:rsid w:val="00945C00"/>
    <w:rsid w:val="009463AB"/>
    <w:rsid w:val="00946ED9"/>
    <w:rsid w:val="009507CD"/>
    <w:rsid w:val="00951450"/>
    <w:rsid w:val="009534C4"/>
    <w:rsid w:val="00954C68"/>
    <w:rsid w:val="0095783B"/>
    <w:rsid w:val="0096123B"/>
    <w:rsid w:val="0096165D"/>
    <w:rsid w:val="00961A0E"/>
    <w:rsid w:val="009624F3"/>
    <w:rsid w:val="009626DD"/>
    <w:rsid w:val="00962C57"/>
    <w:rsid w:val="00963224"/>
    <w:rsid w:val="00966981"/>
    <w:rsid w:val="00967579"/>
    <w:rsid w:val="00971E6C"/>
    <w:rsid w:val="00974B3E"/>
    <w:rsid w:val="00974C62"/>
    <w:rsid w:val="00976DC8"/>
    <w:rsid w:val="0097732E"/>
    <w:rsid w:val="009801E0"/>
    <w:rsid w:val="00980BA5"/>
    <w:rsid w:val="00980BFD"/>
    <w:rsid w:val="009815A2"/>
    <w:rsid w:val="00982144"/>
    <w:rsid w:val="00982232"/>
    <w:rsid w:val="00982329"/>
    <w:rsid w:val="00985032"/>
    <w:rsid w:val="00985680"/>
    <w:rsid w:val="00985F9E"/>
    <w:rsid w:val="00986755"/>
    <w:rsid w:val="00990056"/>
    <w:rsid w:val="00990AEA"/>
    <w:rsid w:val="0099135E"/>
    <w:rsid w:val="00991E1C"/>
    <w:rsid w:val="00993022"/>
    <w:rsid w:val="00993E91"/>
    <w:rsid w:val="009959A8"/>
    <w:rsid w:val="00995D06"/>
    <w:rsid w:val="0099681F"/>
    <w:rsid w:val="00997472"/>
    <w:rsid w:val="00997C3A"/>
    <w:rsid w:val="009A1066"/>
    <w:rsid w:val="009A1657"/>
    <w:rsid w:val="009A17EC"/>
    <w:rsid w:val="009A1B40"/>
    <w:rsid w:val="009A28D4"/>
    <w:rsid w:val="009A2D9A"/>
    <w:rsid w:val="009A35D7"/>
    <w:rsid w:val="009A409F"/>
    <w:rsid w:val="009A41DD"/>
    <w:rsid w:val="009A5F70"/>
    <w:rsid w:val="009A6EB9"/>
    <w:rsid w:val="009A6F63"/>
    <w:rsid w:val="009B00B3"/>
    <w:rsid w:val="009B01CE"/>
    <w:rsid w:val="009B1FB7"/>
    <w:rsid w:val="009B257E"/>
    <w:rsid w:val="009B28A1"/>
    <w:rsid w:val="009B4FE6"/>
    <w:rsid w:val="009B5845"/>
    <w:rsid w:val="009B63B1"/>
    <w:rsid w:val="009C0282"/>
    <w:rsid w:val="009C0C1F"/>
    <w:rsid w:val="009C24E2"/>
    <w:rsid w:val="009C33DE"/>
    <w:rsid w:val="009C3D31"/>
    <w:rsid w:val="009C67F2"/>
    <w:rsid w:val="009C6E96"/>
    <w:rsid w:val="009C6FD9"/>
    <w:rsid w:val="009D01AD"/>
    <w:rsid w:val="009D09E2"/>
    <w:rsid w:val="009D0E85"/>
    <w:rsid w:val="009D0F9B"/>
    <w:rsid w:val="009D10BF"/>
    <w:rsid w:val="009D2AAE"/>
    <w:rsid w:val="009D3234"/>
    <w:rsid w:val="009D7890"/>
    <w:rsid w:val="009E04BC"/>
    <w:rsid w:val="009E12E3"/>
    <w:rsid w:val="009E1F65"/>
    <w:rsid w:val="009E2062"/>
    <w:rsid w:val="009E38EE"/>
    <w:rsid w:val="009E4032"/>
    <w:rsid w:val="009E47E5"/>
    <w:rsid w:val="009E4FA5"/>
    <w:rsid w:val="009E5310"/>
    <w:rsid w:val="009E6DC0"/>
    <w:rsid w:val="009E76FF"/>
    <w:rsid w:val="009F018E"/>
    <w:rsid w:val="009F0846"/>
    <w:rsid w:val="009F1333"/>
    <w:rsid w:val="009F1997"/>
    <w:rsid w:val="009F3332"/>
    <w:rsid w:val="009F4021"/>
    <w:rsid w:val="009F61AE"/>
    <w:rsid w:val="009F66CD"/>
    <w:rsid w:val="009F67A9"/>
    <w:rsid w:val="009F6867"/>
    <w:rsid w:val="009F692A"/>
    <w:rsid w:val="009F7236"/>
    <w:rsid w:val="009F785F"/>
    <w:rsid w:val="00A03427"/>
    <w:rsid w:val="00A03D60"/>
    <w:rsid w:val="00A04228"/>
    <w:rsid w:val="00A042DA"/>
    <w:rsid w:val="00A0456D"/>
    <w:rsid w:val="00A05884"/>
    <w:rsid w:val="00A06490"/>
    <w:rsid w:val="00A06B96"/>
    <w:rsid w:val="00A06EDD"/>
    <w:rsid w:val="00A0702C"/>
    <w:rsid w:val="00A07B6D"/>
    <w:rsid w:val="00A07E90"/>
    <w:rsid w:val="00A07ED1"/>
    <w:rsid w:val="00A1037A"/>
    <w:rsid w:val="00A10505"/>
    <w:rsid w:val="00A113C9"/>
    <w:rsid w:val="00A12636"/>
    <w:rsid w:val="00A1288B"/>
    <w:rsid w:val="00A14DA0"/>
    <w:rsid w:val="00A14E6D"/>
    <w:rsid w:val="00A1511E"/>
    <w:rsid w:val="00A166B4"/>
    <w:rsid w:val="00A167DC"/>
    <w:rsid w:val="00A17072"/>
    <w:rsid w:val="00A20274"/>
    <w:rsid w:val="00A20814"/>
    <w:rsid w:val="00A2164B"/>
    <w:rsid w:val="00A21EEE"/>
    <w:rsid w:val="00A21F1C"/>
    <w:rsid w:val="00A225D7"/>
    <w:rsid w:val="00A234FF"/>
    <w:rsid w:val="00A237FF"/>
    <w:rsid w:val="00A25AAC"/>
    <w:rsid w:val="00A25B37"/>
    <w:rsid w:val="00A25E3B"/>
    <w:rsid w:val="00A2642D"/>
    <w:rsid w:val="00A26725"/>
    <w:rsid w:val="00A274C9"/>
    <w:rsid w:val="00A27AE8"/>
    <w:rsid w:val="00A318BF"/>
    <w:rsid w:val="00A322AD"/>
    <w:rsid w:val="00A34432"/>
    <w:rsid w:val="00A34EEB"/>
    <w:rsid w:val="00A3725D"/>
    <w:rsid w:val="00A375E6"/>
    <w:rsid w:val="00A41CE8"/>
    <w:rsid w:val="00A42061"/>
    <w:rsid w:val="00A45CA0"/>
    <w:rsid w:val="00A46164"/>
    <w:rsid w:val="00A47998"/>
    <w:rsid w:val="00A47A06"/>
    <w:rsid w:val="00A47DFA"/>
    <w:rsid w:val="00A514CB"/>
    <w:rsid w:val="00A51D39"/>
    <w:rsid w:val="00A53203"/>
    <w:rsid w:val="00A53DA5"/>
    <w:rsid w:val="00A54371"/>
    <w:rsid w:val="00A54626"/>
    <w:rsid w:val="00A55CA5"/>
    <w:rsid w:val="00A56493"/>
    <w:rsid w:val="00A56BD4"/>
    <w:rsid w:val="00A56F8F"/>
    <w:rsid w:val="00A6059B"/>
    <w:rsid w:val="00A6101A"/>
    <w:rsid w:val="00A61075"/>
    <w:rsid w:val="00A61281"/>
    <w:rsid w:val="00A6197A"/>
    <w:rsid w:val="00A61E07"/>
    <w:rsid w:val="00A63B12"/>
    <w:rsid w:val="00A644D9"/>
    <w:rsid w:val="00A64BD6"/>
    <w:rsid w:val="00A66802"/>
    <w:rsid w:val="00A67163"/>
    <w:rsid w:val="00A67DB9"/>
    <w:rsid w:val="00A708AC"/>
    <w:rsid w:val="00A70F0E"/>
    <w:rsid w:val="00A71D1D"/>
    <w:rsid w:val="00A72C1F"/>
    <w:rsid w:val="00A73533"/>
    <w:rsid w:val="00A73631"/>
    <w:rsid w:val="00A7380B"/>
    <w:rsid w:val="00A73C33"/>
    <w:rsid w:val="00A744F7"/>
    <w:rsid w:val="00A7548E"/>
    <w:rsid w:val="00A75FB9"/>
    <w:rsid w:val="00A772EB"/>
    <w:rsid w:val="00A773EF"/>
    <w:rsid w:val="00A81441"/>
    <w:rsid w:val="00A828D5"/>
    <w:rsid w:val="00A90838"/>
    <w:rsid w:val="00A90C7E"/>
    <w:rsid w:val="00A91064"/>
    <w:rsid w:val="00A954B7"/>
    <w:rsid w:val="00A97A06"/>
    <w:rsid w:val="00A97ADA"/>
    <w:rsid w:val="00AA0859"/>
    <w:rsid w:val="00AA1495"/>
    <w:rsid w:val="00AA211F"/>
    <w:rsid w:val="00AA29DE"/>
    <w:rsid w:val="00AA2F91"/>
    <w:rsid w:val="00AA3D97"/>
    <w:rsid w:val="00AA4686"/>
    <w:rsid w:val="00AA67BD"/>
    <w:rsid w:val="00AAA3B3"/>
    <w:rsid w:val="00AB017C"/>
    <w:rsid w:val="00AB10E9"/>
    <w:rsid w:val="00AB1939"/>
    <w:rsid w:val="00AB1D24"/>
    <w:rsid w:val="00AB214A"/>
    <w:rsid w:val="00AB2F7D"/>
    <w:rsid w:val="00AB3644"/>
    <w:rsid w:val="00AB390C"/>
    <w:rsid w:val="00AB3DDA"/>
    <w:rsid w:val="00AB54B2"/>
    <w:rsid w:val="00AB6A38"/>
    <w:rsid w:val="00AB7C0E"/>
    <w:rsid w:val="00AC0C04"/>
    <w:rsid w:val="00AC0E51"/>
    <w:rsid w:val="00AC1518"/>
    <w:rsid w:val="00AC18FB"/>
    <w:rsid w:val="00AC230D"/>
    <w:rsid w:val="00AC2E2B"/>
    <w:rsid w:val="00AC36C6"/>
    <w:rsid w:val="00AC4D90"/>
    <w:rsid w:val="00AC524B"/>
    <w:rsid w:val="00AC52D9"/>
    <w:rsid w:val="00AC5A99"/>
    <w:rsid w:val="00AC65F4"/>
    <w:rsid w:val="00AC6996"/>
    <w:rsid w:val="00AD299F"/>
    <w:rsid w:val="00AD3001"/>
    <w:rsid w:val="00AD4B41"/>
    <w:rsid w:val="00AD6CAE"/>
    <w:rsid w:val="00AD7668"/>
    <w:rsid w:val="00AD7B10"/>
    <w:rsid w:val="00AE085D"/>
    <w:rsid w:val="00AE185F"/>
    <w:rsid w:val="00AE358A"/>
    <w:rsid w:val="00AE3AC5"/>
    <w:rsid w:val="00AE4B13"/>
    <w:rsid w:val="00AE501B"/>
    <w:rsid w:val="00AE5A44"/>
    <w:rsid w:val="00AE62B1"/>
    <w:rsid w:val="00AF0846"/>
    <w:rsid w:val="00AF17A4"/>
    <w:rsid w:val="00AF1C41"/>
    <w:rsid w:val="00AF1F0B"/>
    <w:rsid w:val="00AF25C3"/>
    <w:rsid w:val="00AF273F"/>
    <w:rsid w:val="00AF3027"/>
    <w:rsid w:val="00AF41A6"/>
    <w:rsid w:val="00AF4A5A"/>
    <w:rsid w:val="00AF553D"/>
    <w:rsid w:val="00AF5B99"/>
    <w:rsid w:val="00AF7CD5"/>
    <w:rsid w:val="00AF7DAF"/>
    <w:rsid w:val="00B00075"/>
    <w:rsid w:val="00B0036B"/>
    <w:rsid w:val="00B004A5"/>
    <w:rsid w:val="00B00C66"/>
    <w:rsid w:val="00B01AE3"/>
    <w:rsid w:val="00B01B6F"/>
    <w:rsid w:val="00B01BA6"/>
    <w:rsid w:val="00B01D65"/>
    <w:rsid w:val="00B039A7"/>
    <w:rsid w:val="00B0506F"/>
    <w:rsid w:val="00B06227"/>
    <w:rsid w:val="00B06372"/>
    <w:rsid w:val="00B065DC"/>
    <w:rsid w:val="00B069F1"/>
    <w:rsid w:val="00B07298"/>
    <w:rsid w:val="00B10172"/>
    <w:rsid w:val="00B101A8"/>
    <w:rsid w:val="00B103AA"/>
    <w:rsid w:val="00B10C16"/>
    <w:rsid w:val="00B11210"/>
    <w:rsid w:val="00B124A3"/>
    <w:rsid w:val="00B12C29"/>
    <w:rsid w:val="00B13BD3"/>
    <w:rsid w:val="00B13DD3"/>
    <w:rsid w:val="00B14E61"/>
    <w:rsid w:val="00B15B5C"/>
    <w:rsid w:val="00B16A17"/>
    <w:rsid w:val="00B1739F"/>
    <w:rsid w:val="00B17A79"/>
    <w:rsid w:val="00B2084D"/>
    <w:rsid w:val="00B21232"/>
    <w:rsid w:val="00B2194D"/>
    <w:rsid w:val="00B21A64"/>
    <w:rsid w:val="00B21E6C"/>
    <w:rsid w:val="00B23D04"/>
    <w:rsid w:val="00B24647"/>
    <w:rsid w:val="00B25A5B"/>
    <w:rsid w:val="00B25AB1"/>
    <w:rsid w:val="00B25C73"/>
    <w:rsid w:val="00B2619F"/>
    <w:rsid w:val="00B26487"/>
    <w:rsid w:val="00B26810"/>
    <w:rsid w:val="00B27164"/>
    <w:rsid w:val="00B30A2F"/>
    <w:rsid w:val="00B30BF8"/>
    <w:rsid w:val="00B32141"/>
    <w:rsid w:val="00B32344"/>
    <w:rsid w:val="00B33D5A"/>
    <w:rsid w:val="00B342CF"/>
    <w:rsid w:val="00B34301"/>
    <w:rsid w:val="00B345E3"/>
    <w:rsid w:val="00B36432"/>
    <w:rsid w:val="00B36BD3"/>
    <w:rsid w:val="00B37DEA"/>
    <w:rsid w:val="00B37FA2"/>
    <w:rsid w:val="00B4443C"/>
    <w:rsid w:val="00B446B0"/>
    <w:rsid w:val="00B46275"/>
    <w:rsid w:val="00B46DFA"/>
    <w:rsid w:val="00B4708A"/>
    <w:rsid w:val="00B470AB"/>
    <w:rsid w:val="00B523C3"/>
    <w:rsid w:val="00B523CF"/>
    <w:rsid w:val="00B52647"/>
    <w:rsid w:val="00B52A23"/>
    <w:rsid w:val="00B533A2"/>
    <w:rsid w:val="00B535CB"/>
    <w:rsid w:val="00B54161"/>
    <w:rsid w:val="00B54D75"/>
    <w:rsid w:val="00B55193"/>
    <w:rsid w:val="00B55AD2"/>
    <w:rsid w:val="00B55EA1"/>
    <w:rsid w:val="00B56CD1"/>
    <w:rsid w:val="00B5737D"/>
    <w:rsid w:val="00B57E2B"/>
    <w:rsid w:val="00B6155C"/>
    <w:rsid w:val="00B620AC"/>
    <w:rsid w:val="00B635D2"/>
    <w:rsid w:val="00B636FB"/>
    <w:rsid w:val="00B646CB"/>
    <w:rsid w:val="00B66053"/>
    <w:rsid w:val="00B66FCB"/>
    <w:rsid w:val="00B67CB0"/>
    <w:rsid w:val="00B7000A"/>
    <w:rsid w:val="00B7084B"/>
    <w:rsid w:val="00B70E19"/>
    <w:rsid w:val="00B716D0"/>
    <w:rsid w:val="00B7306F"/>
    <w:rsid w:val="00B734A4"/>
    <w:rsid w:val="00B73859"/>
    <w:rsid w:val="00B73CDA"/>
    <w:rsid w:val="00B73D57"/>
    <w:rsid w:val="00B73EF9"/>
    <w:rsid w:val="00B75357"/>
    <w:rsid w:val="00B763B0"/>
    <w:rsid w:val="00B763E9"/>
    <w:rsid w:val="00B776FA"/>
    <w:rsid w:val="00B80F5D"/>
    <w:rsid w:val="00B810AF"/>
    <w:rsid w:val="00B829FB"/>
    <w:rsid w:val="00B83579"/>
    <w:rsid w:val="00B83C2F"/>
    <w:rsid w:val="00B8462A"/>
    <w:rsid w:val="00B8471D"/>
    <w:rsid w:val="00B84EF4"/>
    <w:rsid w:val="00B863DA"/>
    <w:rsid w:val="00B866AB"/>
    <w:rsid w:val="00B9192D"/>
    <w:rsid w:val="00B92063"/>
    <w:rsid w:val="00B925A2"/>
    <w:rsid w:val="00B92B45"/>
    <w:rsid w:val="00B94B71"/>
    <w:rsid w:val="00B94DF0"/>
    <w:rsid w:val="00B956C1"/>
    <w:rsid w:val="00B95AFE"/>
    <w:rsid w:val="00B96EF8"/>
    <w:rsid w:val="00BA02DE"/>
    <w:rsid w:val="00BA1D94"/>
    <w:rsid w:val="00BA2D51"/>
    <w:rsid w:val="00BA4767"/>
    <w:rsid w:val="00BA477B"/>
    <w:rsid w:val="00BA6ED4"/>
    <w:rsid w:val="00BA701C"/>
    <w:rsid w:val="00BB0286"/>
    <w:rsid w:val="00BB0B8E"/>
    <w:rsid w:val="00BB1DCD"/>
    <w:rsid w:val="00BB1EC7"/>
    <w:rsid w:val="00BB2326"/>
    <w:rsid w:val="00BB2E1E"/>
    <w:rsid w:val="00BB47C2"/>
    <w:rsid w:val="00BB48E1"/>
    <w:rsid w:val="00BB4939"/>
    <w:rsid w:val="00BB5C5D"/>
    <w:rsid w:val="00BC0E20"/>
    <w:rsid w:val="00BC13D7"/>
    <w:rsid w:val="00BC2277"/>
    <w:rsid w:val="00BC2290"/>
    <w:rsid w:val="00BC2D70"/>
    <w:rsid w:val="00BC2E10"/>
    <w:rsid w:val="00BC3165"/>
    <w:rsid w:val="00BC37F7"/>
    <w:rsid w:val="00BC4156"/>
    <w:rsid w:val="00BC4C99"/>
    <w:rsid w:val="00BC5144"/>
    <w:rsid w:val="00BC59C8"/>
    <w:rsid w:val="00BC7107"/>
    <w:rsid w:val="00BD00C7"/>
    <w:rsid w:val="00BD0D01"/>
    <w:rsid w:val="00BD170B"/>
    <w:rsid w:val="00BD1C05"/>
    <w:rsid w:val="00BD1C3C"/>
    <w:rsid w:val="00BD2BF0"/>
    <w:rsid w:val="00BD32E5"/>
    <w:rsid w:val="00BD3EB5"/>
    <w:rsid w:val="00BD4600"/>
    <w:rsid w:val="00BD4CC0"/>
    <w:rsid w:val="00BD586D"/>
    <w:rsid w:val="00BD7436"/>
    <w:rsid w:val="00BD788F"/>
    <w:rsid w:val="00BD79EE"/>
    <w:rsid w:val="00BD7A68"/>
    <w:rsid w:val="00BE0FEC"/>
    <w:rsid w:val="00BE140A"/>
    <w:rsid w:val="00BE153B"/>
    <w:rsid w:val="00BE176C"/>
    <w:rsid w:val="00BE1B97"/>
    <w:rsid w:val="00BE1FCD"/>
    <w:rsid w:val="00BE2D65"/>
    <w:rsid w:val="00BE4997"/>
    <w:rsid w:val="00BE519C"/>
    <w:rsid w:val="00BE6E2C"/>
    <w:rsid w:val="00BE7296"/>
    <w:rsid w:val="00BE72FC"/>
    <w:rsid w:val="00BF03BB"/>
    <w:rsid w:val="00BF0A46"/>
    <w:rsid w:val="00BF1680"/>
    <w:rsid w:val="00BF26B0"/>
    <w:rsid w:val="00BF50E7"/>
    <w:rsid w:val="00BF5325"/>
    <w:rsid w:val="00BF5682"/>
    <w:rsid w:val="00BF5A6A"/>
    <w:rsid w:val="00BF623B"/>
    <w:rsid w:val="00BF7B7F"/>
    <w:rsid w:val="00C0177D"/>
    <w:rsid w:val="00C023CE"/>
    <w:rsid w:val="00C02723"/>
    <w:rsid w:val="00C02916"/>
    <w:rsid w:val="00C02D00"/>
    <w:rsid w:val="00C035D4"/>
    <w:rsid w:val="00C03CA4"/>
    <w:rsid w:val="00C03E9F"/>
    <w:rsid w:val="00C04D9C"/>
    <w:rsid w:val="00C063FD"/>
    <w:rsid w:val="00C066E9"/>
    <w:rsid w:val="00C06DCD"/>
    <w:rsid w:val="00C07393"/>
    <w:rsid w:val="00C07D32"/>
    <w:rsid w:val="00C0BB80"/>
    <w:rsid w:val="00C1025A"/>
    <w:rsid w:val="00C111EB"/>
    <w:rsid w:val="00C11A30"/>
    <w:rsid w:val="00C11EBB"/>
    <w:rsid w:val="00C12437"/>
    <w:rsid w:val="00C139F0"/>
    <w:rsid w:val="00C13A27"/>
    <w:rsid w:val="00C13D0C"/>
    <w:rsid w:val="00C144FC"/>
    <w:rsid w:val="00C15AF8"/>
    <w:rsid w:val="00C166F0"/>
    <w:rsid w:val="00C1731D"/>
    <w:rsid w:val="00C17384"/>
    <w:rsid w:val="00C20393"/>
    <w:rsid w:val="00C20CFF"/>
    <w:rsid w:val="00C215C8"/>
    <w:rsid w:val="00C217F4"/>
    <w:rsid w:val="00C21C1C"/>
    <w:rsid w:val="00C245C3"/>
    <w:rsid w:val="00C250BF"/>
    <w:rsid w:val="00C25E6F"/>
    <w:rsid w:val="00C2694C"/>
    <w:rsid w:val="00C276DD"/>
    <w:rsid w:val="00C27BAE"/>
    <w:rsid w:val="00C314AB"/>
    <w:rsid w:val="00C31BE3"/>
    <w:rsid w:val="00C327E0"/>
    <w:rsid w:val="00C32808"/>
    <w:rsid w:val="00C33B1D"/>
    <w:rsid w:val="00C34930"/>
    <w:rsid w:val="00C37E8F"/>
    <w:rsid w:val="00C37F41"/>
    <w:rsid w:val="00C40B0E"/>
    <w:rsid w:val="00C414CE"/>
    <w:rsid w:val="00C4171A"/>
    <w:rsid w:val="00C42339"/>
    <w:rsid w:val="00C426B0"/>
    <w:rsid w:val="00C4456D"/>
    <w:rsid w:val="00C4461F"/>
    <w:rsid w:val="00C456E3"/>
    <w:rsid w:val="00C45C6B"/>
    <w:rsid w:val="00C46D99"/>
    <w:rsid w:val="00C472E6"/>
    <w:rsid w:val="00C47871"/>
    <w:rsid w:val="00C50D1C"/>
    <w:rsid w:val="00C50EDB"/>
    <w:rsid w:val="00C51018"/>
    <w:rsid w:val="00C5204B"/>
    <w:rsid w:val="00C52907"/>
    <w:rsid w:val="00C52BA5"/>
    <w:rsid w:val="00C52D4B"/>
    <w:rsid w:val="00C5332A"/>
    <w:rsid w:val="00C53F68"/>
    <w:rsid w:val="00C54418"/>
    <w:rsid w:val="00C54E44"/>
    <w:rsid w:val="00C5555D"/>
    <w:rsid w:val="00C56E8B"/>
    <w:rsid w:val="00C56EAB"/>
    <w:rsid w:val="00C57E66"/>
    <w:rsid w:val="00C60007"/>
    <w:rsid w:val="00C60405"/>
    <w:rsid w:val="00C6089E"/>
    <w:rsid w:val="00C60B97"/>
    <w:rsid w:val="00C60FE3"/>
    <w:rsid w:val="00C61755"/>
    <w:rsid w:val="00C61C70"/>
    <w:rsid w:val="00C624AC"/>
    <w:rsid w:val="00C626D7"/>
    <w:rsid w:val="00C63013"/>
    <w:rsid w:val="00C63D78"/>
    <w:rsid w:val="00C64BE6"/>
    <w:rsid w:val="00C64F89"/>
    <w:rsid w:val="00C651F1"/>
    <w:rsid w:val="00C65A13"/>
    <w:rsid w:val="00C67964"/>
    <w:rsid w:val="00C679BF"/>
    <w:rsid w:val="00C70B22"/>
    <w:rsid w:val="00C712FE"/>
    <w:rsid w:val="00C72245"/>
    <w:rsid w:val="00C73918"/>
    <w:rsid w:val="00C73D73"/>
    <w:rsid w:val="00C73F6F"/>
    <w:rsid w:val="00C75147"/>
    <w:rsid w:val="00C7620A"/>
    <w:rsid w:val="00C770DB"/>
    <w:rsid w:val="00C774DC"/>
    <w:rsid w:val="00C81437"/>
    <w:rsid w:val="00C81BBD"/>
    <w:rsid w:val="00C82AED"/>
    <w:rsid w:val="00C83F4B"/>
    <w:rsid w:val="00C843B1"/>
    <w:rsid w:val="00C845A2"/>
    <w:rsid w:val="00C84CEF"/>
    <w:rsid w:val="00C85726"/>
    <w:rsid w:val="00C85860"/>
    <w:rsid w:val="00C86BC0"/>
    <w:rsid w:val="00C86F8F"/>
    <w:rsid w:val="00C90FEA"/>
    <w:rsid w:val="00C92072"/>
    <w:rsid w:val="00C9260D"/>
    <w:rsid w:val="00C92B6A"/>
    <w:rsid w:val="00C93105"/>
    <w:rsid w:val="00C9339E"/>
    <w:rsid w:val="00C93DA3"/>
    <w:rsid w:val="00C93EB2"/>
    <w:rsid w:val="00C95769"/>
    <w:rsid w:val="00C95D43"/>
    <w:rsid w:val="00C96263"/>
    <w:rsid w:val="00C97456"/>
    <w:rsid w:val="00C975D3"/>
    <w:rsid w:val="00C978AF"/>
    <w:rsid w:val="00C97B1D"/>
    <w:rsid w:val="00CA019E"/>
    <w:rsid w:val="00CA0289"/>
    <w:rsid w:val="00CA02BA"/>
    <w:rsid w:val="00CA0A0D"/>
    <w:rsid w:val="00CA0B14"/>
    <w:rsid w:val="00CA0F36"/>
    <w:rsid w:val="00CA1924"/>
    <w:rsid w:val="00CA21F6"/>
    <w:rsid w:val="00CA2391"/>
    <w:rsid w:val="00CA3616"/>
    <w:rsid w:val="00CA4C8C"/>
    <w:rsid w:val="00CA622B"/>
    <w:rsid w:val="00CA6259"/>
    <w:rsid w:val="00CA6698"/>
    <w:rsid w:val="00CA6F53"/>
    <w:rsid w:val="00CA6FE3"/>
    <w:rsid w:val="00CA7007"/>
    <w:rsid w:val="00CA78F4"/>
    <w:rsid w:val="00CB0390"/>
    <w:rsid w:val="00CB1C7A"/>
    <w:rsid w:val="00CB577C"/>
    <w:rsid w:val="00CB64C0"/>
    <w:rsid w:val="00CB69AD"/>
    <w:rsid w:val="00CB69B9"/>
    <w:rsid w:val="00CB6AFB"/>
    <w:rsid w:val="00CB74FB"/>
    <w:rsid w:val="00CB79FA"/>
    <w:rsid w:val="00CB7A98"/>
    <w:rsid w:val="00CB7C2A"/>
    <w:rsid w:val="00CB7DEC"/>
    <w:rsid w:val="00CC21FA"/>
    <w:rsid w:val="00CC27C3"/>
    <w:rsid w:val="00CC28A7"/>
    <w:rsid w:val="00CC2ED2"/>
    <w:rsid w:val="00CC3FE4"/>
    <w:rsid w:val="00CC4661"/>
    <w:rsid w:val="00CC4B8C"/>
    <w:rsid w:val="00CC4C82"/>
    <w:rsid w:val="00CD0240"/>
    <w:rsid w:val="00CD06DE"/>
    <w:rsid w:val="00CD087A"/>
    <w:rsid w:val="00CD16FD"/>
    <w:rsid w:val="00CD3132"/>
    <w:rsid w:val="00CD458F"/>
    <w:rsid w:val="00CD4875"/>
    <w:rsid w:val="00CD58D5"/>
    <w:rsid w:val="00CD5C59"/>
    <w:rsid w:val="00CD685B"/>
    <w:rsid w:val="00CD6E0C"/>
    <w:rsid w:val="00CD7D82"/>
    <w:rsid w:val="00CE04C3"/>
    <w:rsid w:val="00CE0889"/>
    <w:rsid w:val="00CE1C04"/>
    <w:rsid w:val="00CE27CD"/>
    <w:rsid w:val="00CE2E21"/>
    <w:rsid w:val="00CE347C"/>
    <w:rsid w:val="00CE3E2C"/>
    <w:rsid w:val="00CE4169"/>
    <w:rsid w:val="00CE4CFA"/>
    <w:rsid w:val="00CE4D33"/>
    <w:rsid w:val="00CF03CC"/>
    <w:rsid w:val="00CF19AC"/>
    <w:rsid w:val="00CF1DDA"/>
    <w:rsid w:val="00CF2888"/>
    <w:rsid w:val="00CF3AE3"/>
    <w:rsid w:val="00CF4CD4"/>
    <w:rsid w:val="00CF51EE"/>
    <w:rsid w:val="00CF527C"/>
    <w:rsid w:val="00D01259"/>
    <w:rsid w:val="00D01BB6"/>
    <w:rsid w:val="00D024B8"/>
    <w:rsid w:val="00D02BCE"/>
    <w:rsid w:val="00D02DE0"/>
    <w:rsid w:val="00D03B6B"/>
    <w:rsid w:val="00D0469C"/>
    <w:rsid w:val="00D04A8F"/>
    <w:rsid w:val="00D0501E"/>
    <w:rsid w:val="00D07808"/>
    <w:rsid w:val="00D07D7E"/>
    <w:rsid w:val="00D109FC"/>
    <w:rsid w:val="00D112F3"/>
    <w:rsid w:val="00D11B67"/>
    <w:rsid w:val="00D126D4"/>
    <w:rsid w:val="00D1325F"/>
    <w:rsid w:val="00D134F3"/>
    <w:rsid w:val="00D14C77"/>
    <w:rsid w:val="00D15523"/>
    <w:rsid w:val="00D156F1"/>
    <w:rsid w:val="00D15B56"/>
    <w:rsid w:val="00D167ED"/>
    <w:rsid w:val="00D16F5C"/>
    <w:rsid w:val="00D178F6"/>
    <w:rsid w:val="00D17C16"/>
    <w:rsid w:val="00D17D7A"/>
    <w:rsid w:val="00D20FFC"/>
    <w:rsid w:val="00D216A1"/>
    <w:rsid w:val="00D22D3B"/>
    <w:rsid w:val="00D24222"/>
    <w:rsid w:val="00D247AE"/>
    <w:rsid w:val="00D248C8"/>
    <w:rsid w:val="00D24CB6"/>
    <w:rsid w:val="00D24F77"/>
    <w:rsid w:val="00D25009"/>
    <w:rsid w:val="00D2675D"/>
    <w:rsid w:val="00D27492"/>
    <w:rsid w:val="00D3003D"/>
    <w:rsid w:val="00D301A7"/>
    <w:rsid w:val="00D30224"/>
    <w:rsid w:val="00D30519"/>
    <w:rsid w:val="00D30DE3"/>
    <w:rsid w:val="00D31174"/>
    <w:rsid w:val="00D31A2A"/>
    <w:rsid w:val="00D32670"/>
    <w:rsid w:val="00D33316"/>
    <w:rsid w:val="00D336E3"/>
    <w:rsid w:val="00D35388"/>
    <w:rsid w:val="00D364A9"/>
    <w:rsid w:val="00D3652E"/>
    <w:rsid w:val="00D40F84"/>
    <w:rsid w:val="00D42721"/>
    <w:rsid w:val="00D4392F"/>
    <w:rsid w:val="00D43CA6"/>
    <w:rsid w:val="00D4433E"/>
    <w:rsid w:val="00D44748"/>
    <w:rsid w:val="00D44786"/>
    <w:rsid w:val="00D44B7C"/>
    <w:rsid w:val="00D44EDC"/>
    <w:rsid w:val="00D4519E"/>
    <w:rsid w:val="00D45793"/>
    <w:rsid w:val="00D47D01"/>
    <w:rsid w:val="00D47D19"/>
    <w:rsid w:val="00D50CDA"/>
    <w:rsid w:val="00D51BC9"/>
    <w:rsid w:val="00D51C4B"/>
    <w:rsid w:val="00D52C0B"/>
    <w:rsid w:val="00D53A95"/>
    <w:rsid w:val="00D545E9"/>
    <w:rsid w:val="00D54ED0"/>
    <w:rsid w:val="00D5514C"/>
    <w:rsid w:val="00D5514D"/>
    <w:rsid w:val="00D55BBB"/>
    <w:rsid w:val="00D57E7F"/>
    <w:rsid w:val="00D60445"/>
    <w:rsid w:val="00D61EC0"/>
    <w:rsid w:val="00D626EC"/>
    <w:rsid w:val="00D6431F"/>
    <w:rsid w:val="00D64A5F"/>
    <w:rsid w:val="00D669AA"/>
    <w:rsid w:val="00D671ED"/>
    <w:rsid w:val="00D67B1F"/>
    <w:rsid w:val="00D67DA5"/>
    <w:rsid w:val="00D708E5"/>
    <w:rsid w:val="00D71177"/>
    <w:rsid w:val="00D711C2"/>
    <w:rsid w:val="00D72736"/>
    <w:rsid w:val="00D72A7B"/>
    <w:rsid w:val="00D72C42"/>
    <w:rsid w:val="00D73B38"/>
    <w:rsid w:val="00D740AB"/>
    <w:rsid w:val="00D74840"/>
    <w:rsid w:val="00D74FE7"/>
    <w:rsid w:val="00D75445"/>
    <w:rsid w:val="00D75C8D"/>
    <w:rsid w:val="00D76F8D"/>
    <w:rsid w:val="00D77333"/>
    <w:rsid w:val="00D77377"/>
    <w:rsid w:val="00D774B3"/>
    <w:rsid w:val="00D80A1F"/>
    <w:rsid w:val="00D80C77"/>
    <w:rsid w:val="00D81261"/>
    <w:rsid w:val="00D825E4"/>
    <w:rsid w:val="00D82B06"/>
    <w:rsid w:val="00D83BE9"/>
    <w:rsid w:val="00D841A9"/>
    <w:rsid w:val="00D845C5"/>
    <w:rsid w:val="00D84796"/>
    <w:rsid w:val="00D85123"/>
    <w:rsid w:val="00D854BC"/>
    <w:rsid w:val="00D85785"/>
    <w:rsid w:val="00D87923"/>
    <w:rsid w:val="00D914B4"/>
    <w:rsid w:val="00D92248"/>
    <w:rsid w:val="00D92E76"/>
    <w:rsid w:val="00D93038"/>
    <w:rsid w:val="00D9416D"/>
    <w:rsid w:val="00D942BF"/>
    <w:rsid w:val="00D945A5"/>
    <w:rsid w:val="00D947DF"/>
    <w:rsid w:val="00D9667C"/>
    <w:rsid w:val="00D96E7E"/>
    <w:rsid w:val="00D97840"/>
    <w:rsid w:val="00DA0293"/>
    <w:rsid w:val="00DA05E3"/>
    <w:rsid w:val="00DA1074"/>
    <w:rsid w:val="00DA153C"/>
    <w:rsid w:val="00DA27E0"/>
    <w:rsid w:val="00DA2DFE"/>
    <w:rsid w:val="00DA3B65"/>
    <w:rsid w:val="00DA458D"/>
    <w:rsid w:val="00DA496C"/>
    <w:rsid w:val="00DA4BCC"/>
    <w:rsid w:val="00DA510D"/>
    <w:rsid w:val="00DA5688"/>
    <w:rsid w:val="00DA5F73"/>
    <w:rsid w:val="00DA6130"/>
    <w:rsid w:val="00DA69E0"/>
    <w:rsid w:val="00DAA1AE"/>
    <w:rsid w:val="00DB008A"/>
    <w:rsid w:val="00DB1765"/>
    <w:rsid w:val="00DB2AD6"/>
    <w:rsid w:val="00DB3202"/>
    <w:rsid w:val="00DB337A"/>
    <w:rsid w:val="00DB3C3A"/>
    <w:rsid w:val="00DB3E4B"/>
    <w:rsid w:val="00DB452D"/>
    <w:rsid w:val="00DB582A"/>
    <w:rsid w:val="00DB69E3"/>
    <w:rsid w:val="00DB700B"/>
    <w:rsid w:val="00DB7274"/>
    <w:rsid w:val="00DC05DC"/>
    <w:rsid w:val="00DC1FA1"/>
    <w:rsid w:val="00DC221B"/>
    <w:rsid w:val="00DC262D"/>
    <w:rsid w:val="00DC38BE"/>
    <w:rsid w:val="00DC457F"/>
    <w:rsid w:val="00DC48B6"/>
    <w:rsid w:val="00DC4C1C"/>
    <w:rsid w:val="00DC5148"/>
    <w:rsid w:val="00DC7BF2"/>
    <w:rsid w:val="00DD01D4"/>
    <w:rsid w:val="00DD0812"/>
    <w:rsid w:val="00DD1D37"/>
    <w:rsid w:val="00DD206C"/>
    <w:rsid w:val="00DD2CCD"/>
    <w:rsid w:val="00DD35A5"/>
    <w:rsid w:val="00DD451B"/>
    <w:rsid w:val="00DD4719"/>
    <w:rsid w:val="00DD4DEA"/>
    <w:rsid w:val="00DD590D"/>
    <w:rsid w:val="00DD5CA5"/>
    <w:rsid w:val="00DD705D"/>
    <w:rsid w:val="00DD7299"/>
    <w:rsid w:val="00DD740E"/>
    <w:rsid w:val="00DD7AC1"/>
    <w:rsid w:val="00DD7F6D"/>
    <w:rsid w:val="00DE0063"/>
    <w:rsid w:val="00DE12E5"/>
    <w:rsid w:val="00DE21FA"/>
    <w:rsid w:val="00DE2948"/>
    <w:rsid w:val="00DE2B27"/>
    <w:rsid w:val="00DE2E81"/>
    <w:rsid w:val="00DE3372"/>
    <w:rsid w:val="00DE3BB2"/>
    <w:rsid w:val="00DE5A49"/>
    <w:rsid w:val="00DE63AD"/>
    <w:rsid w:val="00DF0652"/>
    <w:rsid w:val="00DF0737"/>
    <w:rsid w:val="00DF1192"/>
    <w:rsid w:val="00DF15F8"/>
    <w:rsid w:val="00DF1749"/>
    <w:rsid w:val="00DF17AB"/>
    <w:rsid w:val="00DF1E49"/>
    <w:rsid w:val="00DF2D2C"/>
    <w:rsid w:val="00DF2F05"/>
    <w:rsid w:val="00DF3B03"/>
    <w:rsid w:val="00DF3C18"/>
    <w:rsid w:val="00DF50F3"/>
    <w:rsid w:val="00DF5AF9"/>
    <w:rsid w:val="00DF68BE"/>
    <w:rsid w:val="00DF712A"/>
    <w:rsid w:val="00DF7BE4"/>
    <w:rsid w:val="00E0095A"/>
    <w:rsid w:val="00E020C1"/>
    <w:rsid w:val="00E05795"/>
    <w:rsid w:val="00E05C03"/>
    <w:rsid w:val="00E07360"/>
    <w:rsid w:val="00E074C8"/>
    <w:rsid w:val="00E101C7"/>
    <w:rsid w:val="00E10288"/>
    <w:rsid w:val="00E107F2"/>
    <w:rsid w:val="00E120B5"/>
    <w:rsid w:val="00E12C24"/>
    <w:rsid w:val="00E134A3"/>
    <w:rsid w:val="00E136DE"/>
    <w:rsid w:val="00E1396B"/>
    <w:rsid w:val="00E14C41"/>
    <w:rsid w:val="00E155ED"/>
    <w:rsid w:val="00E168DC"/>
    <w:rsid w:val="00E16E1C"/>
    <w:rsid w:val="00E17077"/>
    <w:rsid w:val="00E1726D"/>
    <w:rsid w:val="00E209D6"/>
    <w:rsid w:val="00E22264"/>
    <w:rsid w:val="00E22359"/>
    <w:rsid w:val="00E22577"/>
    <w:rsid w:val="00E2596B"/>
    <w:rsid w:val="00E25DF4"/>
    <w:rsid w:val="00E27BDD"/>
    <w:rsid w:val="00E28C81"/>
    <w:rsid w:val="00E31F3F"/>
    <w:rsid w:val="00E3221B"/>
    <w:rsid w:val="00E326EB"/>
    <w:rsid w:val="00E3326C"/>
    <w:rsid w:val="00E33CAD"/>
    <w:rsid w:val="00E34556"/>
    <w:rsid w:val="00E34698"/>
    <w:rsid w:val="00E3485D"/>
    <w:rsid w:val="00E35A41"/>
    <w:rsid w:val="00E36047"/>
    <w:rsid w:val="00E3671A"/>
    <w:rsid w:val="00E369E0"/>
    <w:rsid w:val="00E370A8"/>
    <w:rsid w:val="00E37C1C"/>
    <w:rsid w:val="00E37D37"/>
    <w:rsid w:val="00E40BD6"/>
    <w:rsid w:val="00E40DAC"/>
    <w:rsid w:val="00E40EE3"/>
    <w:rsid w:val="00E417E4"/>
    <w:rsid w:val="00E42145"/>
    <w:rsid w:val="00E427A8"/>
    <w:rsid w:val="00E42A2F"/>
    <w:rsid w:val="00E42DAC"/>
    <w:rsid w:val="00E42DAD"/>
    <w:rsid w:val="00E42F48"/>
    <w:rsid w:val="00E4322E"/>
    <w:rsid w:val="00E43650"/>
    <w:rsid w:val="00E443B3"/>
    <w:rsid w:val="00E448EB"/>
    <w:rsid w:val="00E45A9B"/>
    <w:rsid w:val="00E45CDC"/>
    <w:rsid w:val="00E468B6"/>
    <w:rsid w:val="00E46E5F"/>
    <w:rsid w:val="00E47AA6"/>
    <w:rsid w:val="00E47AC4"/>
    <w:rsid w:val="00E47D5B"/>
    <w:rsid w:val="00E51CD0"/>
    <w:rsid w:val="00E52444"/>
    <w:rsid w:val="00E5412B"/>
    <w:rsid w:val="00E54D28"/>
    <w:rsid w:val="00E550E7"/>
    <w:rsid w:val="00E555CA"/>
    <w:rsid w:val="00E559A2"/>
    <w:rsid w:val="00E561AC"/>
    <w:rsid w:val="00E561C1"/>
    <w:rsid w:val="00E5769C"/>
    <w:rsid w:val="00E579C3"/>
    <w:rsid w:val="00E57C1C"/>
    <w:rsid w:val="00E602FB"/>
    <w:rsid w:val="00E6034B"/>
    <w:rsid w:val="00E60D15"/>
    <w:rsid w:val="00E629FF"/>
    <w:rsid w:val="00E63BC6"/>
    <w:rsid w:val="00E63BC9"/>
    <w:rsid w:val="00E6465A"/>
    <w:rsid w:val="00E6575E"/>
    <w:rsid w:val="00E657F3"/>
    <w:rsid w:val="00E65D58"/>
    <w:rsid w:val="00E6619B"/>
    <w:rsid w:val="00E7109D"/>
    <w:rsid w:val="00E714C5"/>
    <w:rsid w:val="00E72A38"/>
    <w:rsid w:val="00E7302C"/>
    <w:rsid w:val="00E73321"/>
    <w:rsid w:val="00E75281"/>
    <w:rsid w:val="00E75C25"/>
    <w:rsid w:val="00E8133F"/>
    <w:rsid w:val="00E823F9"/>
    <w:rsid w:val="00E828ED"/>
    <w:rsid w:val="00E8318B"/>
    <w:rsid w:val="00E831DF"/>
    <w:rsid w:val="00E8347A"/>
    <w:rsid w:val="00E846F5"/>
    <w:rsid w:val="00E84A3F"/>
    <w:rsid w:val="00E867E5"/>
    <w:rsid w:val="00E86AC3"/>
    <w:rsid w:val="00E90B64"/>
    <w:rsid w:val="00E91761"/>
    <w:rsid w:val="00E92103"/>
    <w:rsid w:val="00E9212E"/>
    <w:rsid w:val="00E92365"/>
    <w:rsid w:val="00E928C1"/>
    <w:rsid w:val="00E92C70"/>
    <w:rsid w:val="00E93305"/>
    <w:rsid w:val="00E945A8"/>
    <w:rsid w:val="00E94754"/>
    <w:rsid w:val="00E94B15"/>
    <w:rsid w:val="00E96D7F"/>
    <w:rsid w:val="00E9708A"/>
    <w:rsid w:val="00E97BA1"/>
    <w:rsid w:val="00EA0291"/>
    <w:rsid w:val="00EA0683"/>
    <w:rsid w:val="00EA0B18"/>
    <w:rsid w:val="00EA163C"/>
    <w:rsid w:val="00EA1CE4"/>
    <w:rsid w:val="00EA22F3"/>
    <w:rsid w:val="00EA24E1"/>
    <w:rsid w:val="00EA300F"/>
    <w:rsid w:val="00EA3E62"/>
    <w:rsid w:val="00EA4528"/>
    <w:rsid w:val="00EA61B4"/>
    <w:rsid w:val="00EA6898"/>
    <w:rsid w:val="00EA69AC"/>
    <w:rsid w:val="00EA6BEF"/>
    <w:rsid w:val="00EA6C36"/>
    <w:rsid w:val="00EA6E67"/>
    <w:rsid w:val="00EA6E69"/>
    <w:rsid w:val="00EB0B96"/>
    <w:rsid w:val="00EB0D81"/>
    <w:rsid w:val="00EB2FBB"/>
    <w:rsid w:val="00EB3988"/>
    <w:rsid w:val="00EB3A5C"/>
    <w:rsid w:val="00EB40A1"/>
    <w:rsid w:val="00EB44CE"/>
    <w:rsid w:val="00EB6F59"/>
    <w:rsid w:val="00EC1522"/>
    <w:rsid w:val="00EC27E1"/>
    <w:rsid w:val="00EC3112"/>
    <w:rsid w:val="00EC3D87"/>
    <w:rsid w:val="00EC4265"/>
    <w:rsid w:val="00EC46E9"/>
    <w:rsid w:val="00EC4C19"/>
    <w:rsid w:val="00EC525A"/>
    <w:rsid w:val="00EC56F3"/>
    <w:rsid w:val="00EC5C66"/>
    <w:rsid w:val="00EC5DFF"/>
    <w:rsid w:val="00EC6624"/>
    <w:rsid w:val="00EC7BE6"/>
    <w:rsid w:val="00ED08E2"/>
    <w:rsid w:val="00ED15D1"/>
    <w:rsid w:val="00ED2084"/>
    <w:rsid w:val="00ED2C1B"/>
    <w:rsid w:val="00ED5E57"/>
    <w:rsid w:val="00EE084A"/>
    <w:rsid w:val="00EE1136"/>
    <w:rsid w:val="00EE1919"/>
    <w:rsid w:val="00EE1BD8"/>
    <w:rsid w:val="00EE1C0C"/>
    <w:rsid w:val="00EE1D7D"/>
    <w:rsid w:val="00EE229A"/>
    <w:rsid w:val="00EE2366"/>
    <w:rsid w:val="00EE34AA"/>
    <w:rsid w:val="00EE36D9"/>
    <w:rsid w:val="00EE4629"/>
    <w:rsid w:val="00EE46ED"/>
    <w:rsid w:val="00EE48B6"/>
    <w:rsid w:val="00EE662E"/>
    <w:rsid w:val="00EE6F30"/>
    <w:rsid w:val="00EE7339"/>
    <w:rsid w:val="00EF11C7"/>
    <w:rsid w:val="00EF12FA"/>
    <w:rsid w:val="00EF1B52"/>
    <w:rsid w:val="00EF25AE"/>
    <w:rsid w:val="00EF5263"/>
    <w:rsid w:val="00EF5690"/>
    <w:rsid w:val="00EF634B"/>
    <w:rsid w:val="00EF7029"/>
    <w:rsid w:val="00F00BAE"/>
    <w:rsid w:val="00F00E4A"/>
    <w:rsid w:val="00F00ED0"/>
    <w:rsid w:val="00F015C8"/>
    <w:rsid w:val="00F018AF"/>
    <w:rsid w:val="00F024F7"/>
    <w:rsid w:val="00F06432"/>
    <w:rsid w:val="00F06639"/>
    <w:rsid w:val="00F06B30"/>
    <w:rsid w:val="00F06BE5"/>
    <w:rsid w:val="00F103B2"/>
    <w:rsid w:val="00F12A44"/>
    <w:rsid w:val="00F12ED1"/>
    <w:rsid w:val="00F14A84"/>
    <w:rsid w:val="00F15B38"/>
    <w:rsid w:val="00F1638D"/>
    <w:rsid w:val="00F16650"/>
    <w:rsid w:val="00F175F4"/>
    <w:rsid w:val="00F17930"/>
    <w:rsid w:val="00F2042C"/>
    <w:rsid w:val="00F20919"/>
    <w:rsid w:val="00F20DFD"/>
    <w:rsid w:val="00F21FE4"/>
    <w:rsid w:val="00F221ED"/>
    <w:rsid w:val="00F22A02"/>
    <w:rsid w:val="00F23187"/>
    <w:rsid w:val="00F23778"/>
    <w:rsid w:val="00F23783"/>
    <w:rsid w:val="00F250B1"/>
    <w:rsid w:val="00F25428"/>
    <w:rsid w:val="00F25610"/>
    <w:rsid w:val="00F25815"/>
    <w:rsid w:val="00F26834"/>
    <w:rsid w:val="00F3147A"/>
    <w:rsid w:val="00F317D5"/>
    <w:rsid w:val="00F3274C"/>
    <w:rsid w:val="00F33232"/>
    <w:rsid w:val="00F3460C"/>
    <w:rsid w:val="00F35ED3"/>
    <w:rsid w:val="00F364D7"/>
    <w:rsid w:val="00F37B33"/>
    <w:rsid w:val="00F37F28"/>
    <w:rsid w:val="00F40D60"/>
    <w:rsid w:val="00F41F1E"/>
    <w:rsid w:val="00F421E2"/>
    <w:rsid w:val="00F422FC"/>
    <w:rsid w:val="00F428C6"/>
    <w:rsid w:val="00F43F9D"/>
    <w:rsid w:val="00F44341"/>
    <w:rsid w:val="00F46325"/>
    <w:rsid w:val="00F46746"/>
    <w:rsid w:val="00F50221"/>
    <w:rsid w:val="00F50465"/>
    <w:rsid w:val="00F50892"/>
    <w:rsid w:val="00F50989"/>
    <w:rsid w:val="00F50DAB"/>
    <w:rsid w:val="00F51D02"/>
    <w:rsid w:val="00F53120"/>
    <w:rsid w:val="00F53812"/>
    <w:rsid w:val="00F53BBE"/>
    <w:rsid w:val="00F54982"/>
    <w:rsid w:val="00F56422"/>
    <w:rsid w:val="00F603DC"/>
    <w:rsid w:val="00F603E9"/>
    <w:rsid w:val="00F612EF"/>
    <w:rsid w:val="00F6139D"/>
    <w:rsid w:val="00F62519"/>
    <w:rsid w:val="00F62A71"/>
    <w:rsid w:val="00F634A6"/>
    <w:rsid w:val="00F63F2E"/>
    <w:rsid w:val="00F6507A"/>
    <w:rsid w:val="00F66068"/>
    <w:rsid w:val="00F660EF"/>
    <w:rsid w:val="00F66AB7"/>
    <w:rsid w:val="00F674C1"/>
    <w:rsid w:val="00F678D4"/>
    <w:rsid w:val="00F700F2"/>
    <w:rsid w:val="00F7047F"/>
    <w:rsid w:val="00F70518"/>
    <w:rsid w:val="00F70FA9"/>
    <w:rsid w:val="00F70FE1"/>
    <w:rsid w:val="00F718E4"/>
    <w:rsid w:val="00F7292B"/>
    <w:rsid w:val="00F72BAA"/>
    <w:rsid w:val="00F72C91"/>
    <w:rsid w:val="00F73668"/>
    <w:rsid w:val="00F75F3F"/>
    <w:rsid w:val="00F76C2E"/>
    <w:rsid w:val="00F76D0D"/>
    <w:rsid w:val="00F77E3B"/>
    <w:rsid w:val="00F809F9"/>
    <w:rsid w:val="00F81D78"/>
    <w:rsid w:val="00F81EE5"/>
    <w:rsid w:val="00F82860"/>
    <w:rsid w:val="00F82D10"/>
    <w:rsid w:val="00F830EC"/>
    <w:rsid w:val="00F8486A"/>
    <w:rsid w:val="00F848A9"/>
    <w:rsid w:val="00F857F6"/>
    <w:rsid w:val="00F85D57"/>
    <w:rsid w:val="00F913BF"/>
    <w:rsid w:val="00F918B6"/>
    <w:rsid w:val="00F91972"/>
    <w:rsid w:val="00F91CBD"/>
    <w:rsid w:val="00F9204D"/>
    <w:rsid w:val="00F920F5"/>
    <w:rsid w:val="00F941B9"/>
    <w:rsid w:val="00F94296"/>
    <w:rsid w:val="00F94D5A"/>
    <w:rsid w:val="00F9665D"/>
    <w:rsid w:val="00F96E1A"/>
    <w:rsid w:val="00F96F0E"/>
    <w:rsid w:val="00F96FCC"/>
    <w:rsid w:val="00F97138"/>
    <w:rsid w:val="00F9718E"/>
    <w:rsid w:val="00F97702"/>
    <w:rsid w:val="00F97840"/>
    <w:rsid w:val="00F97FDC"/>
    <w:rsid w:val="00FA0C4F"/>
    <w:rsid w:val="00FA251C"/>
    <w:rsid w:val="00FA343C"/>
    <w:rsid w:val="00FA349A"/>
    <w:rsid w:val="00FA3814"/>
    <w:rsid w:val="00FA3D5E"/>
    <w:rsid w:val="00FA49EE"/>
    <w:rsid w:val="00FA5ABC"/>
    <w:rsid w:val="00FA5BBE"/>
    <w:rsid w:val="00FA6620"/>
    <w:rsid w:val="00FA6A2E"/>
    <w:rsid w:val="00FB02F2"/>
    <w:rsid w:val="00FB0919"/>
    <w:rsid w:val="00FB0CB2"/>
    <w:rsid w:val="00FB22A4"/>
    <w:rsid w:val="00FB37CA"/>
    <w:rsid w:val="00FB3A6A"/>
    <w:rsid w:val="00FB3EF9"/>
    <w:rsid w:val="00FB43ED"/>
    <w:rsid w:val="00FB519C"/>
    <w:rsid w:val="00FB5E11"/>
    <w:rsid w:val="00FB6159"/>
    <w:rsid w:val="00FB756E"/>
    <w:rsid w:val="00FC09D9"/>
    <w:rsid w:val="00FC0A2C"/>
    <w:rsid w:val="00FC0B09"/>
    <w:rsid w:val="00FC0FF7"/>
    <w:rsid w:val="00FC2149"/>
    <w:rsid w:val="00FC2EDF"/>
    <w:rsid w:val="00FC30A3"/>
    <w:rsid w:val="00FC3431"/>
    <w:rsid w:val="00FC3816"/>
    <w:rsid w:val="00FC397A"/>
    <w:rsid w:val="00FC4AD3"/>
    <w:rsid w:val="00FC4AF0"/>
    <w:rsid w:val="00FC4F1E"/>
    <w:rsid w:val="00FC6CE1"/>
    <w:rsid w:val="00FD0BE5"/>
    <w:rsid w:val="00FD1202"/>
    <w:rsid w:val="00FD1831"/>
    <w:rsid w:val="00FD1E48"/>
    <w:rsid w:val="00FD1E54"/>
    <w:rsid w:val="00FD23A7"/>
    <w:rsid w:val="00FD29CC"/>
    <w:rsid w:val="00FD2B4D"/>
    <w:rsid w:val="00FD32DA"/>
    <w:rsid w:val="00FD4C63"/>
    <w:rsid w:val="00FD5EF8"/>
    <w:rsid w:val="00FD65AE"/>
    <w:rsid w:val="00FD677D"/>
    <w:rsid w:val="00FD77D7"/>
    <w:rsid w:val="00FE07D8"/>
    <w:rsid w:val="00FE0B07"/>
    <w:rsid w:val="00FE0D6F"/>
    <w:rsid w:val="00FE2EDF"/>
    <w:rsid w:val="00FE44A7"/>
    <w:rsid w:val="00FE4D32"/>
    <w:rsid w:val="00FE51D4"/>
    <w:rsid w:val="00FE681F"/>
    <w:rsid w:val="00FE738C"/>
    <w:rsid w:val="00FF298F"/>
    <w:rsid w:val="00FF321F"/>
    <w:rsid w:val="00FF3955"/>
    <w:rsid w:val="00FF457D"/>
    <w:rsid w:val="00FF45F0"/>
    <w:rsid w:val="00FF507E"/>
    <w:rsid w:val="00FF5FE1"/>
    <w:rsid w:val="00FF6EAF"/>
    <w:rsid w:val="00FF729F"/>
    <w:rsid w:val="00FF75CA"/>
    <w:rsid w:val="014BBA83"/>
    <w:rsid w:val="016C60D1"/>
    <w:rsid w:val="01A0F4EA"/>
    <w:rsid w:val="01BB8366"/>
    <w:rsid w:val="01E815AF"/>
    <w:rsid w:val="0204431C"/>
    <w:rsid w:val="024642C2"/>
    <w:rsid w:val="02942D0E"/>
    <w:rsid w:val="0299BF5B"/>
    <w:rsid w:val="029A32D5"/>
    <w:rsid w:val="029CDEA4"/>
    <w:rsid w:val="03011287"/>
    <w:rsid w:val="030450C2"/>
    <w:rsid w:val="0308C50C"/>
    <w:rsid w:val="031BA8F6"/>
    <w:rsid w:val="0322E3B5"/>
    <w:rsid w:val="032546B7"/>
    <w:rsid w:val="034798D2"/>
    <w:rsid w:val="0359698E"/>
    <w:rsid w:val="03632D54"/>
    <w:rsid w:val="03864569"/>
    <w:rsid w:val="03926751"/>
    <w:rsid w:val="03A6869B"/>
    <w:rsid w:val="03B5E5D7"/>
    <w:rsid w:val="03B67BB4"/>
    <w:rsid w:val="03B97D17"/>
    <w:rsid w:val="03CEBBD9"/>
    <w:rsid w:val="03CF1BD1"/>
    <w:rsid w:val="03E2E45C"/>
    <w:rsid w:val="03FB828D"/>
    <w:rsid w:val="03FF827D"/>
    <w:rsid w:val="04028586"/>
    <w:rsid w:val="0419CED4"/>
    <w:rsid w:val="04241A1B"/>
    <w:rsid w:val="04315AF5"/>
    <w:rsid w:val="04461267"/>
    <w:rsid w:val="0448052B"/>
    <w:rsid w:val="045F7519"/>
    <w:rsid w:val="0486D0E2"/>
    <w:rsid w:val="04A1892D"/>
    <w:rsid w:val="04C012F2"/>
    <w:rsid w:val="04C699F8"/>
    <w:rsid w:val="04CA18F0"/>
    <w:rsid w:val="04DD8AE5"/>
    <w:rsid w:val="04F2BA45"/>
    <w:rsid w:val="04F3B8E5"/>
    <w:rsid w:val="05054F4C"/>
    <w:rsid w:val="05076A0A"/>
    <w:rsid w:val="0508CDCE"/>
    <w:rsid w:val="0517FBD8"/>
    <w:rsid w:val="0535D9FC"/>
    <w:rsid w:val="054F17E2"/>
    <w:rsid w:val="0575F06F"/>
    <w:rsid w:val="059132AE"/>
    <w:rsid w:val="05B27DDD"/>
    <w:rsid w:val="05D4400D"/>
    <w:rsid w:val="05F2017A"/>
    <w:rsid w:val="06034097"/>
    <w:rsid w:val="06158FE6"/>
    <w:rsid w:val="06167956"/>
    <w:rsid w:val="061FBA16"/>
    <w:rsid w:val="06220AAC"/>
    <w:rsid w:val="06576658"/>
    <w:rsid w:val="068AE680"/>
    <w:rsid w:val="06AD6DC5"/>
    <w:rsid w:val="06B034B9"/>
    <w:rsid w:val="06B4FDD1"/>
    <w:rsid w:val="06C4C824"/>
    <w:rsid w:val="06D78D0C"/>
    <w:rsid w:val="06E6AF36"/>
    <w:rsid w:val="06EE7C7D"/>
    <w:rsid w:val="0706D605"/>
    <w:rsid w:val="07385DD6"/>
    <w:rsid w:val="075994E6"/>
    <w:rsid w:val="075CFBE7"/>
    <w:rsid w:val="076B6645"/>
    <w:rsid w:val="07C4C66A"/>
    <w:rsid w:val="07DD3B5C"/>
    <w:rsid w:val="0803B933"/>
    <w:rsid w:val="080EA49F"/>
    <w:rsid w:val="08106B11"/>
    <w:rsid w:val="08225DF3"/>
    <w:rsid w:val="0838CDFF"/>
    <w:rsid w:val="0849387E"/>
    <w:rsid w:val="084EA670"/>
    <w:rsid w:val="085ABA64"/>
    <w:rsid w:val="085B5E23"/>
    <w:rsid w:val="08881473"/>
    <w:rsid w:val="08A76BA5"/>
    <w:rsid w:val="08D1D872"/>
    <w:rsid w:val="08D9AB2D"/>
    <w:rsid w:val="08E65704"/>
    <w:rsid w:val="0900EAE4"/>
    <w:rsid w:val="091A52D5"/>
    <w:rsid w:val="091F7B6D"/>
    <w:rsid w:val="09532729"/>
    <w:rsid w:val="095DE423"/>
    <w:rsid w:val="096757F3"/>
    <w:rsid w:val="096CBE0B"/>
    <w:rsid w:val="09840798"/>
    <w:rsid w:val="09981311"/>
    <w:rsid w:val="09A8D9A8"/>
    <w:rsid w:val="09A9960F"/>
    <w:rsid w:val="09B7BC8F"/>
    <w:rsid w:val="09C2B53A"/>
    <w:rsid w:val="09C693B5"/>
    <w:rsid w:val="0A7F1141"/>
    <w:rsid w:val="0A85BA5D"/>
    <w:rsid w:val="0AB75DE1"/>
    <w:rsid w:val="0AB9A58B"/>
    <w:rsid w:val="0ACF60D3"/>
    <w:rsid w:val="0ADD486B"/>
    <w:rsid w:val="0AE92572"/>
    <w:rsid w:val="0AFCE115"/>
    <w:rsid w:val="0B2F8E64"/>
    <w:rsid w:val="0B6001D7"/>
    <w:rsid w:val="0B7131DE"/>
    <w:rsid w:val="0B719081"/>
    <w:rsid w:val="0B96BBF2"/>
    <w:rsid w:val="0B99F8A7"/>
    <w:rsid w:val="0BA89E94"/>
    <w:rsid w:val="0BACFD80"/>
    <w:rsid w:val="0BAF5B2F"/>
    <w:rsid w:val="0BB83046"/>
    <w:rsid w:val="0BCA9CFD"/>
    <w:rsid w:val="0C1AC682"/>
    <w:rsid w:val="0C39B001"/>
    <w:rsid w:val="0C407EDE"/>
    <w:rsid w:val="0C54F5BB"/>
    <w:rsid w:val="0C6933F0"/>
    <w:rsid w:val="0C6E5298"/>
    <w:rsid w:val="0CA06535"/>
    <w:rsid w:val="0CB5CFC3"/>
    <w:rsid w:val="0CB885A4"/>
    <w:rsid w:val="0CD23DFF"/>
    <w:rsid w:val="0CFFCA87"/>
    <w:rsid w:val="0D26E84F"/>
    <w:rsid w:val="0D2B4A55"/>
    <w:rsid w:val="0D2C7BD3"/>
    <w:rsid w:val="0D3A68A0"/>
    <w:rsid w:val="0D50797C"/>
    <w:rsid w:val="0DD09D5D"/>
    <w:rsid w:val="0DD468E2"/>
    <w:rsid w:val="0DF36866"/>
    <w:rsid w:val="0DF8346F"/>
    <w:rsid w:val="0E2D6D48"/>
    <w:rsid w:val="0E316A1C"/>
    <w:rsid w:val="0E406042"/>
    <w:rsid w:val="0E42CB2C"/>
    <w:rsid w:val="0E60A853"/>
    <w:rsid w:val="0E87BA3B"/>
    <w:rsid w:val="0E8FD337"/>
    <w:rsid w:val="0E959871"/>
    <w:rsid w:val="0F095E07"/>
    <w:rsid w:val="0F1CA1D3"/>
    <w:rsid w:val="0F564FC5"/>
    <w:rsid w:val="0F72FB85"/>
    <w:rsid w:val="0F99EBFD"/>
    <w:rsid w:val="0FB03140"/>
    <w:rsid w:val="0FBE75F2"/>
    <w:rsid w:val="0FC32561"/>
    <w:rsid w:val="0FCA7756"/>
    <w:rsid w:val="0FD2687F"/>
    <w:rsid w:val="0FE1C5AF"/>
    <w:rsid w:val="0FE8FF5B"/>
    <w:rsid w:val="0FF131E3"/>
    <w:rsid w:val="0FFAE6F6"/>
    <w:rsid w:val="100D7C5B"/>
    <w:rsid w:val="1016F1E1"/>
    <w:rsid w:val="10346550"/>
    <w:rsid w:val="1035A289"/>
    <w:rsid w:val="104CE42A"/>
    <w:rsid w:val="1050A640"/>
    <w:rsid w:val="1051DFE0"/>
    <w:rsid w:val="106D6676"/>
    <w:rsid w:val="1072C1C6"/>
    <w:rsid w:val="10820B06"/>
    <w:rsid w:val="1096F3E2"/>
    <w:rsid w:val="109A5CBB"/>
    <w:rsid w:val="10B88281"/>
    <w:rsid w:val="10C6EC52"/>
    <w:rsid w:val="10EC9866"/>
    <w:rsid w:val="1129725D"/>
    <w:rsid w:val="112E37DA"/>
    <w:rsid w:val="1186C9AC"/>
    <w:rsid w:val="120B8873"/>
    <w:rsid w:val="124E7B4F"/>
    <w:rsid w:val="125B7D69"/>
    <w:rsid w:val="127F8B68"/>
    <w:rsid w:val="1291C753"/>
    <w:rsid w:val="13210A11"/>
    <w:rsid w:val="13259D97"/>
    <w:rsid w:val="133B2B8B"/>
    <w:rsid w:val="133ECF92"/>
    <w:rsid w:val="134B84C9"/>
    <w:rsid w:val="13692A67"/>
    <w:rsid w:val="138BFC1A"/>
    <w:rsid w:val="138EA6F2"/>
    <w:rsid w:val="1394E481"/>
    <w:rsid w:val="13A7B53B"/>
    <w:rsid w:val="13B66496"/>
    <w:rsid w:val="13E455F8"/>
    <w:rsid w:val="1445BB1C"/>
    <w:rsid w:val="1456D703"/>
    <w:rsid w:val="14656AA4"/>
    <w:rsid w:val="1490A734"/>
    <w:rsid w:val="14B0D4EC"/>
    <w:rsid w:val="14E3047C"/>
    <w:rsid w:val="1502A829"/>
    <w:rsid w:val="1504F434"/>
    <w:rsid w:val="1515B0A8"/>
    <w:rsid w:val="1516D610"/>
    <w:rsid w:val="1526185B"/>
    <w:rsid w:val="15288B5D"/>
    <w:rsid w:val="152C3D7C"/>
    <w:rsid w:val="15448F7B"/>
    <w:rsid w:val="1552C462"/>
    <w:rsid w:val="15667A68"/>
    <w:rsid w:val="15684333"/>
    <w:rsid w:val="15746E85"/>
    <w:rsid w:val="157C49A7"/>
    <w:rsid w:val="1597A392"/>
    <w:rsid w:val="15CF5D22"/>
    <w:rsid w:val="15E0080A"/>
    <w:rsid w:val="15E8A52D"/>
    <w:rsid w:val="15F274F0"/>
    <w:rsid w:val="160577D5"/>
    <w:rsid w:val="160D1199"/>
    <w:rsid w:val="161F5135"/>
    <w:rsid w:val="163BFF06"/>
    <w:rsid w:val="164B7776"/>
    <w:rsid w:val="1653A5FD"/>
    <w:rsid w:val="165EDFE2"/>
    <w:rsid w:val="166EDC6E"/>
    <w:rsid w:val="167BC86C"/>
    <w:rsid w:val="167BDED1"/>
    <w:rsid w:val="168703F7"/>
    <w:rsid w:val="16896E5E"/>
    <w:rsid w:val="168A662F"/>
    <w:rsid w:val="16AEAC46"/>
    <w:rsid w:val="16B87966"/>
    <w:rsid w:val="16BBA282"/>
    <w:rsid w:val="16D77677"/>
    <w:rsid w:val="170B3E25"/>
    <w:rsid w:val="1717C3DD"/>
    <w:rsid w:val="1723E001"/>
    <w:rsid w:val="172DD1C2"/>
    <w:rsid w:val="1759FC6F"/>
    <w:rsid w:val="1772E87F"/>
    <w:rsid w:val="178F8CCE"/>
    <w:rsid w:val="179818BE"/>
    <w:rsid w:val="179CFAA2"/>
    <w:rsid w:val="179E135F"/>
    <w:rsid w:val="17A7616B"/>
    <w:rsid w:val="17B46206"/>
    <w:rsid w:val="17C9A1D2"/>
    <w:rsid w:val="18319F2C"/>
    <w:rsid w:val="183AEC84"/>
    <w:rsid w:val="184530F8"/>
    <w:rsid w:val="1877EB88"/>
    <w:rsid w:val="18C582A8"/>
    <w:rsid w:val="18E40A05"/>
    <w:rsid w:val="18E5EEBA"/>
    <w:rsid w:val="18F36973"/>
    <w:rsid w:val="1920CCA2"/>
    <w:rsid w:val="192E4CEF"/>
    <w:rsid w:val="19394BFB"/>
    <w:rsid w:val="194AAB11"/>
    <w:rsid w:val="19927B0F"/>
    <w:rsid w:val="1992A81F"/>
    <w:rsid w:val="19B0C24C"/>
    <w:rsid w:val="19B21D1A"/>
    <w:rsid w:val="19D400DF"/>
    <w:rsid w:val="19FA20CA"/>
    <w:rsid w:val="1A0BCC06"/>
    <w:rsid w:val="1A1F0741"/>
    <w:rsid w:val="1A4DDA86"/>
    <w:rsid w:val="1A504D3A"/>
    <w:rsid w:val="1A565C8D"/>
    <w:rsid w:val="1A6A6871"/>
    <w:rsid w:val="1A7664FF"/>
    <w:rsid w:val="1A7ECCDD"/>
    <w:rsid w:val="1AA14395"/>
    <w:rsid w:val="1AD3B0E2"/>
    <w:rsid w:val="1AE7107C"/>
    <w:rsid w:val="1AE9EBA7"/>
    <w:rsid w:val="1AEA7C6E"/>
    <w:rsid w:val="1B03992E"/>
    <w:rsid w:val="1B2747A5"/>
    <w:rsid w:val="1B5A4D4F"/>
    <w:rsid w:val="1B7F5785"/>
    <w:rsid w:val="1B9A75B0"/>
    <w:rsid w:val="1BACF324"/>
    <w:rsid w:val="1BB7962C"/>
    <w:rsid w:val="1BB89921"/>
    <w:rsid w:val="1C1B8EF5"/>
    <w:rsid w:val="1C51BDD2"/>
    <w:rsid w:val="1C6701E1"/>
    <w:rsid w:val="1C7BA187"/>
    <w:rsid w:val="1C8BA06F"/>
    <w:rsid w:val="1CA2D3E1"/>
    <w:rsid w:val="1CB31A2A"/>
    <w:rsid w:val="1CDB3856"/>
    <w:rsid w:val="1CEB2737"/>
    <w:rsid w:val="1CF7ADEE"/>
    <w:rsid w:val="1D03C4D9"/>
    <w:rsid w:val="1D124E3A"/>
    <w:rsid w:val="1D2039AE"/>
    <w:rsid w:val="1D3583AD"/>
    <w:rsid w:val="1D4514B7"/>
    <w:rsid w:val="1D4692E7"/>
    <w:rsid w:val="1D58ED26"/>
    <w:rsid w:val="1D75C28C"/>
    <w:rsid w:val="1D893B3C"/>
    <w:rsid w:val="1D924B09"/>
    <w:rsid w:val="1DB593DA"/>
    <w:rsid w:val="1DC3C69E"/>
    <w:rsid w:val="1DF56457"/>
    <w:rsid w:val="1E1773F5"/>
    <w:rsid w:val="1E238CB7"/>
    <w:rsid w:val="1E36EDD8"/>
    <w:rsid w:val="1E3C5D37"/>
    <w:rsid w:val="1E3FB3AD"/>
    <w:rsid w:val="1E46506D"/>
    <w:rsid w:val="1E4A7E6D"/>
    <w:rsid w:val="1E685511"/>
    <w:rsid w:val="1E95C955"/>
    <w:rsid w:val="1E99C40E"/>
    <w:rsid w:val="1EA44FA7"/>
    <w:rsid w:val="1EAB5F06"/>
    <w:rsid w:val="1EB5EB03"/>
    <w:rsid w:val="1EC392EA"/>
    <w:rsid w:val="1ED28996"/>
    <w:rsid w:val="1EDF7824"/>
    <w:rsid w:val="1EEF22F9"/>
    <w:rsid w:val="1EF054EA"/>
    <w:rsid w:val="1F1D34F8"/>
    <w:rsid w:val="1F1DC057"/>
    <w:rsid w:val="1F1EDE9F"/>
    <w:rsid w:val="1F36DBD9"/>
    <w:rsid w:val="1F5015D1"/>
    <w:rsid w:val="1F7511C4"/>
    <w:rsid w:val="1F7AC7B6"/>
    <w:rsid w:val="1F89015A"/>
    <w:rsid w:val="1F9384AE"/>
    <w:rsid w:val="1FA27391"/>
    <w:rsid w:val="1FA2A144"/>
    <w:rsid w:val="1FA3E4EB"/>
    <w:rsid w:val="1FD06877"/>
    <w:rsid w:val="1FED3F26"/>
    <w:rsid w:val="200D36D6"/>
    <w:rsid w:val="202336FF"/>
    <w:rsid w:val="202B755F"/>
    <w:rsid w:val="20867D1A"/>
    <w:rsid w:val="20A7B1EF"/>
    <w:rsid w:val="20AB00FA"/>
    <w:rsid w:val="20C20273"/>
    <w:rsid w:val="20D7F1E5"/>
    <w:rsid w:val="20DA02CF"/>
    <w:rsid w:val="20EBEE71"/>
    <w:rsid w:val="20F9F235"/>
    <w:rsid w:val="2106E963"/>
    <w:rsid w:val="2109D56F"/>
    <w:rsid w:val="2116DF75"/>
    <w:rsid w:val="211C8652"/>
    <w:rsid w:val="211DB4A6"/>
    <w:rsid w:val="211EB367"/>
    <w:rsid w:val="212CCC94"/>
    <w:rsid w:val="2159C032"/>
    <w:rsid w:val="215E7821"/>
    <w:rsid w:val="2161B659"/>
    <w:rsid w:val="2165D56C"/>
    <w:rsid w:val="21AC0D4A"/>
    <w:rsid w:val="21AEBDDE"/>
    <w:rsid w:val="21B0E444"/>
    <w:rsid w:val="21E29D71"/>
    <w:rsid w:val="21F4CAAE"/>
    <w:rsid w:val="21FD1428"/>
    <w:rsid w:val="221929B3"/>
    <w:rsid w:val="221CCC85"/>
    <w:rsid w:val="2238B5A5"/>
    <w:rsid w:val="224DFDFD"/>
    <w:rsid w:val="226ED4DE"/>
    <w:rsid w:val="2274308A"/>
    <w:rsid w:val="22990893"/>
    <w:rsid w:val="22A5CEE5"/>
    <w:rsid w:val="22A5D2F8"/>
    <w:rsid w:val="22A84119"/>
    <w:rsid w:val="22B03D4B"/>
    <w:rsid w:val="22B830DB"/>
    <w:rsid w:val="22C03D54"/>
    <w:rsid w:val="22D68D56"/>
    <w:rsid w:val="22E85ACE"/>
    <w:rsid w:val="22EC23A5"/>
    <w:rsid w:val="22EFAD84"/>
    <w:rsid w:val="22F8FDE4"/>
    <w:rsid w:val="232AA602"/>
    <w:rsid w:val="232DE44F"/>
    <w:rsid w:val="2347E5F0"/>
    <w:rsid w:val="23516A5B"/>
    <w:rsid w:val="23662F78"/>
    <w:rsid w:val="236DFBCE"/>
    <w:rsid w:val="23807216"/>
    <w:rsid w:val="23DF4065"/>
    <w:rsid w:val="23E1A92F"/>
    <w:rsid w:val="23E54E2D"/>
    <w:rsid w:val="23F30286"/>
    <w:rsid w:val="2412E915"/>
    <w:rsid w:val="241B5F4B"/>
    <w:rsid w:val="244099E9"/>
    <w:rsid w:val="2448C2B0"/>
    <w:rsid w:val="246799B5"/>
    <w:rsid w:val="24868F88"/>
    <w:rsid w:val="248E01DF"/>
    <w:rsid w:val="24A4BDD4"/>
    <w:rsid w:val="24B30B4E"/>
    <w:rsid w:val="24B54153"/>
    <w:rsid w:val="24E54095"/>
    <w:rsid w:val="24E81485"/>
    <w:rsid w:val="24E88E0B"/>
    <w:rsid w:val="24FA19B7"/>
    <w:rsid w:val="2522FC93"/>
    <w:rsid w:val="254D1AD2"/>
    <w:rsid w:val="25520273"/>
    <w:rsid w:val="256EB437"/>
    <w:rsid w:val="25B24B77"/>
    <w:rsid w:val="25B34A12"/>
    <w:rsid w:val="25BA4986"/>
    <w:rsid w:val="25CA6C25"/>
    <w:rsid w:val="25E68962"/>
    <w:rsid w:val="25EC150C"/>
    <w:rsid w:val="25EFBBA3"/>
    <w:rsid w:val="26122157"/>
    <w:rsid w:val="2623B584"/>
    <w:rsid w:val="2649A426"/>
    <w:rsid w:val="2663D356"/>
    <w:rsid w:val="267763D8"/>
    <w:rsid w:val="26D45328"/>
    <w:rsid w:val="26D64774"/>
    <w:rsid w:val="26E5AF80"/>
    <w:rsid w:val="271A7B3B"/>
    <w:rsid w:val="2732F6FF"/>
    <w:rsid w:val="274C15CD"/>
    <w:rsid w:val="274F5E3F"/>
    <w:rsid w:val="27797858"/>
    <w:rsid w:val="2780E47F"/>
    <w:rsid w:val="278496AB"/>
    <w:rsid w:val="2794ED8B"/>
    <w:rsid w:val="279B2FE4"/>
    <w:rsid w:val="27A0A869"/>
    <w:rsid w:val="27A15481"/>
    <w:rsid w:val="27B808DD"/>
    <w:rsid w:val="27CBE096"/>
    <w:rsid w:val="27D53B14"/>
    <w:rsid w:val="27F6002D"/>
    <w:rsid w:val="27F759A7"/>
    <w:rsid w:val="285D364F"/>
    <w:rsid w:val="2873B277"/>
    <w:rsid w:val="287C1821"/>
    <w:rsid w:val="289671EB"/>
    <w:rsid w:val="28AF9D1D"/>
    <w:rsid w:val="28C252B0"/>
    <w:rsid w:val="28DC996D"/>
    <w:rsid w:val="28F0E3F3"/>
    <w:rsid w:val="28F28E28"/>
    <w:rsid w:val="28FF2F5D"/>
    <w:rsid w:val="292B7062"/>
    <w:rsid w:val="293ABC84"/>
    <w:rsid w:val="293D1B12"/>
    <w:rsid w:val="294DDBAA"/>
    <w:rsid w:val="29558637"/>
    <w:rsid w:val="29656865"/>
    <w:rsid w:val="299ADE3C"/>
    <w:rsid w:val="29C294CD"/>
    <w:rsid w:val="2A12DF94"/>
    <w:rsid w:val="2A314553"/>
    <w:rsid w:val="2A59E626"/>
    <w:rsid w:val="2A659330"/>
    <w:rsid w:val="2A71B033"/>
    <w:rsid w:val="2A73F9C8"/>
    <w:rsid w:val="2A7A1717"/>
    <w:rsid w:val="2A896A01"/>
    <w:rsid w:val="2A93E7E4"/>
    <w:rsid w:val="2A97AB38"/>
    <w:rsid w:val="2AB87DE4"/>
    <w:rsid w:val="2AB8C1B4"/>
    <w:rsid w:val="2ACE135A"/>
    <w:rsid w:val="2AD4B93D"/>
    <w:rsid w:val="2B1B6C6E"/>
    <w:rsid w:val="2B334556"/>
    <w:rsid w:val="2B40D398"/>
    <w:rsid w:val="2B45C215"/>
    <w:rsid w:val="2B481CDB"/>
    <w:rsid w:val="2B4C131C"/>
    <w:rsid w:val="2B9B92C7"/>
    <w:rsid w:val="2B9D4C40"/>
    <w:rsid w:val="2BA47BA8"/>
    <w:rsid w:val="2BB81C5F"/>
    <w:rsid w:val="2BBF545E"/>
    <w:rsid w:val="2BC10070"/>
    <w:rsid w:val="2BD9EF1F"/>
    <w:rsid w:val="2BE7C805"/>
    <w:rsid w:val="2BF4B968"/>
    <w:rsid w:val="2C33663C"/>
    <w:rsid w:val="2C3B6259"/>
    <w:rsid w:val="2CACF77C"/>
    <w:rsid w:val="2CB03D22"/>
    <w:rsid w:val="2CB3A1C2"/>
    <w:rsid w:val="2CC1DD4A"/>
    <w:rsid w:val="2CC77C44"/>
    <w:rsid w:val="2CCF7B77"/>
    <w:rsid w:val="2D09EFBB"/>
    <w:rsid w:val="2D230CB0"/>
    <w:rsid w:val="2D551AA6"/>
    <w:rsid w:val="2D6910DB"/>
    <w:rsid w:val="2D6E538C"/>
    <w:rsid w:val="2D7730B1"/>
    <w:rsid w:val="2D87C2BE"/>
    <w:rsid w:val="2DBCA919"/>
    <w:rsid w:val="2DC94E25"/>
    <w:rsid w:val="2DD3C671"/>
    <w:rsid w:val="2DEDF4BF"/>
    <w:rsid w:val="2E1559E6"/>
    <w:rsid w:val="2E16B5A8"/>
    <w:rsid w:val="2E16BF9C"/>
    <w:rsid w:val="2E288EBF"/>
    <w:rsid w:val="2E482CD1"/>
    <w:rsid w:val="2E5021BE"/>
    <w:rsid w:val="2E5CC33C"/>
    <w:rsid w:val="2E669468"/>
    <w:rsid w:val="2E685D48"/>
    <w:rsid w:val="2E8F858C"/>
    <w:rsid w:val="2E8FB899"/>
    <w:rsid w:val="2EAF3808"/>
    <w:rsid w:val="2EECC19E"/>
    <w:rsid w:val="2EEE9AF4"/>
    <w:rsid w:val="2F6A239B"/>
    <w:rsid w:val="2F9A8DE4"/>
    <w:rsid w:val="2FCE08F7"/>
    <w:rsid w:val="2FD0E84F"/>
    <w:rsid w:val="3007DCDB"/>
    <w:rsid w:val="300810E8"/>
    <w:rsid w:val="300A4DDB"/>
    <w:rsid w:val="304E8B34"/>
    <w:rsid w:val="306F538F"/>
    <w:rsid w:val="3091BE38"/>
    <w:rsid w:val="309870D8"/>
    <w:rsid w:val="30B0619E"/>
    <w:rsid w:val="30D99EFA"/>
    <w:rsid w:val="31037CC6"/>
    <w:rsid w:val="31053BB6"/>
    <w:rsid w:val="311297C5"/>
    <w:rsid w:val="313950AF"/>
    <w:rsid w:val="313BBB87"/>
    <w:rsid w:val="314F034D"/>
    <w:rsid w:val="316CDAF9"/>
    <w:rsid w:val="316DE408"/>
    <w:rsid w:val="3179CC3A"/>
    <w:rsid w:val="318E9AF8"/>
    <w:rsid w:val="318F7267"/>
    <w:rsid w:val="31B0582C"/>
    <w:rsid w:val="31C7C988"/>
    <w:rsid w:val="31E6D3D2"/>
    <w:rsid w:val="31EEFC83"/>
    <w:rsid w:val="31F5FBEA"/>
    <w:rsid w:val="32077B1C"/>
    <w:rsid w:val="3208D7DA"/>
    <w:rsid w:val="3220E19A"/>
    <w:rsid w:val="323A3D36"/>
    <w:rsid w:val="3248D7E3"/>
    <w:rsid w:val="325F620B"/>
    <w:rsid w:val="3261EE63"/>
    <w:rsid w:val="327CF20A"/>
    <w:rsid w:val="32806630"/>
    <w:rsid w:val="32C087EB"/>
    <w:rsid w:val="32EEEDCF"/>
    <w:rsid w:val="32EF50E1"/>
    <w:rsid w:val="32F1114D"/>
    <w:rsid w:val="33231A24"/>
    <w:rsid w:val="33436B04"/>
    <w:rsid w:val="3345B860"/>
    <w:rsid w:val="336CBB35"/>
    <w:rsid w:val="3395C330"/>
    <w:rsid w:val="33A55E53"/>
    <w:rsid w:val="33B1FBD2"/>
    <w:rsid w:val="33BF1C30"/>
    <w:rsid w:val="33CB67F4"/>
    <w:rsid w:val="33DC46D3"/>
    <w:rsid w:val="3419F16A"/>
    <w:rsid w:val="341ED2FB"/>
    <w:rsid w:val="342E0823"/>
    <w:rsid w:val="346213EA"/>
    <w:rsid w:val="346F768D"/>
    <w:rsid w:val="3477DCCF"/>
    <w:rsid w:val="34803A64"/>
    <w:rsid w:val="348F6D0B"/>
    <w:rsid w:val="349783AE"/>
    <w:rsid w:val="34C1BFD8"/>
    <w:rsid w:val="34D97DF7"/>
    <w:rsid w:val="35200EB9"/>
    <w:rsid w:val="352C8594"/>
    <w:rsid w:val="355A09C2"/>
    <w:rsid w:val="359D8AC4"/>
    <w:rsid w:val="35B080CC"/>
    <w:rsid w:val="35B5FE84"/>
    <w:rsid w:val="35C6FA29"/>
    <w:rsid w:val="35CEFF48"/>
    <w:rsid w:val="36276704"/>
    <w:rsid w:val="365A293A"/>
    <w:rsid w:val="366180CA"/>
    <w:rsid w:val="3666620F"/>
    <w:rsid w:val="367694D0"/>
    <w:rsid w:val="367D5B74"/>
    <w:rsid w:val="367DA626"/>
    <w:rsid w:val="36830C86"/>
    <w:rsid w:val="368CC1C7"/>
    <w:rsid w:val="369E6516"/>
    <w:rsid w:val="36B33913"/>
    <w:rsid w:val="36B558DF"/>
    <w:rsid w:val="36C51273"/>
    <w:rsid w:val="36D3F68D"/>
    <w:rsid w:val="36EE5D8F"/>
    <w:rsid w:val="36F85136"/>
    <w:rsid w:val="37024610"/>
    <w:rsid w:val="3705D63C"/>
    <w:rsid w:val="370F4060"/>
    <w:rsid w:val="371FB915"/>
    <w:rsid w:val="372B89C9"/>
    <w:rsid w:val="3743D27D"/>
    <w:rsid w:val="3745FFB8"/>
    <w:rsid w:val="375B74ED"/>
    <w:rsid w:val="37710814"/>
    <w:rsid w:val="37A6365B"/>
    <w:rsid w:val="37C77AB4"/>
    <w:rsid w:val="37D5E478"/>
    <w:rsid w:val="38185594"/>
    <w:rsid w:val="3819DCD5"/>
    <w:rsid w:val="3823A8BC"/>
    <w:rsid w:val="382EB5BB"/>
    <w:rsid w:val="38424100"/>
    <w:rsid w:val="3847C2C8"/>
    <w:rsid w:val="38498D1D"/>
    <w:rsid w:val="38530F55"/>
    <w:rsid w:val="38652AAE"/>
    <w:rsid w:val="3882923D"/>
    <w:rsid w:val="38CF7DFE"/>
    <w:rsid w:val="38DAB4D0"/>
    <w:rsid w:val="38F7E100"/>
    <w:rsid w:val="38FFC449"/>
    <w:rsid w:val="3900C461"/>
    <w:rsid w:val="39073C00"/>
    <w:rsid w:val="3909AD9E"/>
    <w:rsid w:val="39189DEA"/>
    <w:rsid w:val="39190EB3"/>
    <w:rsid w:val="392AE23C"/>
    <w:rsid w:val="3930E2A4"/>
    <w:rsid w:val="3934CF2D"/>
    <w:rsid w:val="393C28D5"/>
    <w:rsid w:val="3955ECCD"/>
    <w:rsid w:val="399C564D"/>
    <w:rsid w:val="399C95BE"/>
    <w:rsid w:val="39AA9566"/>
    <w:rsid w:val="39C1C7D7"/>
    <w:rsid w:val="39D5DCF1"/>
    <w:rsid w:val="39DF9FA2"/>
    <w:rsid w:val="39EE7987"/>
    <w:rsid w:val="3A07E4CB"/>
    <w:rsid w:val="3A2583C2"/>
    <w:rsid w:val="3A2C0B79"/>
    <w:rsid w:val="3A3A9899"/>
    <w:rsid w:val="3A895A16"/>
    <w:rsid w:val="3AAEE2EF"/>
    <w:rsid w:val="3AC2A61A"/>
    <w:rsid w:val="3B148EAA"/>
    <w:rsid w:val="3B40F2C5"/>
    <w:rsid w:val="3B43721C"/>
    <w:rsid w:val="3B5399B9"/>
    <w:rsid w:val="3B7EE47A"/>
    <w:rsid w:val="3B827125"/>
    <w:rsid w:val="3B9B213D"/>
    <w:rsid w:val="3BA3644B"/>
    <w:rsid w:val="3BA66825"/>
    <w:rsid w:val="3BAEC11E"/>
    <w:rsid w:val="3BB9EDA0"/>
    <w:rsid w:val="3BBA88B7"/>
    <w:rsid w:val="3BCF51D6"/>
    <w:rsid w:val="3BCFB78C"/>
    <w:rsid w:val="3BEB8E20"/>
    <w:rsid w:val="3C13BC06"/>
    <w:rsid w:val="3C327E2E"/>
    <w:rsid w:val="3C88799A"/>
    <w:rsid w:val="3C9D8FA2"/>
    <w:rsid w:val="3CADC20A"/>
    <w:rsid w:val="3CE4F2BA"/>
    <w:rsid w:val="3CE9AF0B"/>
    <w:rsid w:val="3CF749E7"/>
    <w:rsid w:val="3D168AD5"/>
    <w:rsid w:val="3D29ECF3"/>
    <w:rsid w:val="3D383CB5"/>
    <w:rsid w:val="3D753F20"/>
    <w:rsid w:val="3D76126D"/>
    <w:rsid w:val="3DA869C5"/>
    <w:rsid w:val="3DBAE133"/>
    <w:rsid w:val="3DD43F30"/>
    <w:rsid w:val="3DF04519"/>
    <w:rsid w:val="3DF31129"/>
    <w:rsid w:val="3DFB8B2F"/>
    <w:rsid w:val="3E073009"/>
    <w:rsid w:val="3E0BE345"/>
    <w:rsid w:val="3E0D58E4"/>
    <w:rsid w:val="3E372333"/>
    <w:rsid w:val="3E492A51"/>
    <w:rsid w:val="3E74D067"/>
    <w:rsid w:val="3E824D7B"/>
    <w:rsid w:val="3E862A61"/>
    <w:rsid w:val="3E9024D9"/>
    <w:rsid w:val="3E907425"/>
    <w:rsid w:val="3EA84E5C"/>
    <w:rsid w:val="3EF02248"/>
    <w:rsid w:val="3EF88DD6"/>
    <w:rsid w:val="3F055F9B"/>
    <w:rsid w:val="3F0579D2"/>
    <w:rsid w:val="3F0D1B1F"/>
    <w:rsid w:val="3F12F84E"/>
    <w:rsid w:val="3F14247E"/>
    <w:rsid w:val="3F89DE7F"/>
    <w:rsid w:val="3FA50768"/>
    <w:rsid w:val="3FDA8BF2"/>
    <w:rsid w:val="3FDDD2D0"/>
    <w:rsid w:val="3FFE27F2"/>
    <w:rsid w:val="4042F0A9"/>
    <w:rsid w:val="4047A243"/>
    <w:rsid w:val="404DA401"/>
    <w:rsid w:val="406851FC"/>
    <w:rsid w:val="408E935B"/>
    <w:rsid w:val="40B4E546"/>
    <w:rsid w:val="40D502C4"/>
    <w:rsid w:val="40F0DF24"/>
    <w:rsid w:val="41001CBA"/>
    <w:rsid w:val="4106BCA8"/>
    <w:rsid w:val="411579F2"/>
    <w:rsid w:val="41169617"/>
    <w:rsid w:val="412218A9"/>
    <w:rsid w:val="412775F6"/>
    <w:rsid w:val="413965C7"/>
    <w:rsid w:val="415B9264"/>
    <w:rsid w:val="41B24DF3"/>
    <w:rsid w:val="41CFA0D1"/>
    <w:rsid w:val="41D0CCED"/>
    <w:rsid w:val="41D9963C"/>
    <w:rsid w:val="421628EC"/>
    <w:rsid w:val="421C0DC2"/>
    <w:rsid w:val="4230B43A"/>
    <w:rsid w:val="423C753E"/>
    <w:rsid w:val="423EF980"/>
    <w:rsid w:val="4240ECA8"/>
    <w:rsid w:val="4247BDC0"/>
    <w:rsid w:val="425010DD"/>
    <w:rsid w:val="4252A2F9"/>
    <w:rsid w:val="42673B8B"/>
    <w:rsid w:val="426772BD"/>
    <w:rsid w:val="428AEE41"/>
    <w:rsid w:val="42A6C3CD"/>
    <w:rsid w:val="42AAEE0A"/>
    <w:rsid w:val="42F5E71B"/>
    <w:rsid w:val="4304EFAF"/>
    <w:rsid w:val="4315C3E1"/>
    <w:rsid w:val="4334A6CD"/>
    <w:rsid w:val="433B4EB8"/>
    <w:rsid w:val="435004BB"/>
    <w:rsid w:val="436EC897"/>
    <w:rsid w:val="43817AF7"/>
    <w:rsid w:val="439B54AB"/>
    <w:rsid w:val="43A0C17D"/>
    <w:rsid w:val="43A1BB64"/>
    <w:rsid w:val="43AA914D"/>
    <w:rsid w:val="43B4BFA5"/>
    <w:rsid w:val="441C3E27"/>
    <w:rsid w:val="44434D22"/>
    <w:rsid w:val="444DEF81"/>
    <w:rsid w:val="4474A3A3"/>
    <w:rsid w:val="449023F9"/>
    <w:rsid w:val="449AE355"/>
    <w:rsid w:val="449B2F71"/>
    <w:rsid w:val="44AC5673"/>
    <w:rsid w:val="44D9DE92"/>
    <w:rsid w:val="45211E23"/>
    <w:rsid w:val="4521BC88"/>
    <w:rsid w:val="454E6314"/>
    <w:rsid w:val="456EAB0B"/>
    <w:rsid w:val="45719C9A"/>
    <w:rsid w:val="457DA379"/>
    <w:rsid w:val="45AB8F59"/>
    <w:rsid w:val="45C8B717"/>
    <w:rsid w:val="45D858C8"/>
    <w:rsid w:val="45DA108B"/>
    <w:rsid w:val="45E0257E"/>
    <w:rsid w:val="45E4C925"/>
    <w:rsid w:val="45F5775E"/>
    <w:rsid w:val="46146355"/>
    <w:rsid w:val="461DB171"/>
    <w:rsid w:val="463729B8"/>
    <w:rsid w:val="463F4016"/>
    <w:rsid w:val="463FE96F"/>
    <w:rsid w:val="464C96BD"/>
    <w:rsid w:val="467BD90E"/>
    <w:rsid w:val="46843CC5"/>
    <w:rsid w:val="46C0EF8B"/>
    <w:rsid w:val="46C10CD0"/>
    <w:rsid w:val="46CA9B77"/>
    <w:rsid w:val="46D3BCA8"/>
    <w:rsid w:val="46D74BE6"/>
    <w:rsid w:val="46D77EA8"/>
    <w:rsid w:val="46EB493E"/>
    <w:rsid w:val="471D8989"/>
    <w:rsid w:val="476E6BDE"/>
    <w:rsid w:val="48170888"/>
    <w:rsid w:val="48268A7C"/>
    <w:rsid w:val="4849DCB7"/>
    <w:rsid w:val="488ABB2D"/>
    <w:rsid w:val="489F8429"/>
    <w:rsid w:val="48C33294"/>
    <w:rsid w:val="48D3E15B"/>
    <w:rsid w:val="48EE30D4"/>
    <w:rsid w:val="48FC7E68"/>
    <w:rsid w:val="49010045"/>
    <w:rsid w:val="491055BB"/>
    <w:rsid w:val="4969347D"/>
    <w:rsid w:val="49824ACC"/>
    <w:rsid w:val="49952EBD"/>
    <w:rsid w:val="49BD09C4"/>
    <w:rsid w:val="49CC0BD0"/>
    <w:rsid w:val="49E8A794"/>
    <w:rsid w:val="49EB1EC0"/>
    <w:rsid w:val="49EE4611"/>
    <w:rsid w:val="4A18ED91"/>
    <w:rsid w:val="4A227E58"/>
    <w:rsid w:val="4A292E2A"/>
    <w:rsid w:val="4A2B4AFA"/>
    <w:rsid w:val="4A3A8001"/>
    <w:rsid w:val="4A456A69"/>
    <w:rsid w:val="4A8125AD"/>
    <w:rsid w:val="4A85DD4D"/>
    <w:rsid w:val="4AA64A5F"/>
    <w:rsid w:val="4ABE3F6D"/>
    <w:rsid w:val="4ABF8242"/>
    <w:rsid w:val="4AC18327"/>
    <w:rsid w:val="4B07DC7F"/>
    <w:rsid w:val="4B47054F"/>
    <w:rsid w:val="4B7F334F"/>
    <w:rsid w:val="4B8EFD5F"/>
    <w:rsid w:val="4B9FDE0C"/>
    <w:rsid w:val="4BA3AD85"/>
    <w:rsid w:val="4BB7EA30"/>
    <w:rsid w:val="4BCBD563"/>
    <w:rsid w:val="4BD95422"/>
    <w:rsid w:val="4C201137"/>
    <w:rsid w:val="4C455B13"/>
    <w:rsid w:val="4C4F6C27"/>
    <w:rsid w:val="4C667922"/>
    <w:rsid w:val="4C780033"/>
    <w:rsid w:val="4C7938A9"/>
    <w:rsid w:val="4CC474FC"/>
    <w:rsid w:val="4CC88808"/>
    <w:rsid w:val="4CE96641"/>
    <w:rsid w:val="4CFC36BB"/>
    <w:rsid w:val="4D33BEBF"/>
    <w:rsid w:val="4D3EF834"/>
    <w:rsid w:val="4D5A9C8B"/>
    <w:rsid w:val="4D62B2F6"/>
    <w:rsid w:val="4D84935D"/>
    <w:rsid w:val="4D92B330"/>
    <w:rsid w:val="4DADA269"/>
    <w:rsid w:val="4DB9DA23"/>
    <w:rsid w:val="4DC245BB"/>
    <w:rsid w:val="4DCF35CF"/>
    <w:rsid w:val="4DFBE978"/>
    <w:rsid w:val="4E20FE65"/>
    <w:rsid w:val="4E2E6DF0"/>
    <w:rsid w:val="4E382611"/>
    <w:rsid w:val="4E765176"/>
    <w:rsid w:val="4E94D781"/>
    <w:rsid w:val="4EB361DB"/>
    <w:rsid w:val="4EC94532"/>
    <w:rsid w:val="4EF65517"/>
    <w:rsid w:val="4F0FC624"/>
    <w:rsid w:val="4F1579BB"/>
    <w:rsid w:val="4F2CBD25"/>
    <w:rsid w:val="4F51DC69"/>
    <w:rsid w:val="4F9B2ECD"/>
    <w:rsid w:val="4FDB78CE"/>
    <w:rsid w:val="4FF29001"/>
    <w:rsid w:val="4FF4E52F"/>
    <w:rsid w:val="5006BB9A"/>
    <w:rsid w:val="50241A55"/>
    <w:rsid w:val="5044F03B"/>
    <w:rsid w:val="506DF5AC"/>
    <w:rsid w:val="50700CA4"/>
    <w:rsid w:val="508426F5"/>
    <w:rsid w:val="50B43915"/>
    <w:rsid w:val="50BCAD7C"/>
    <w:rsid w:val="50BE6B6E"/>
    <w:rsid w:val="50E48D4E"/>
    <w:rsid w:val="50E5AE95"/>
    <w:rsid w:val="5109560A"/>
    <w:rsid w:val="510B788F"/>
    <w:rsid w:val="511E3299"/>
    <w:rsid w:val="5138791F"/>
    <w:rsid w:val="513B1EF8"/>
    <w:rsid w:val="5142216D"/>
    <w:rsid w:val="51515EA8"/>
    <w:rsid w:val="51639024"/>
    <w:rsid w:val="51910A84"/>
    <w:rsid w:val="51AFB542"/>
    <w:rsid w:val="51B449A6"/>
    <w:rsid w:val="51C4ED78"/>
    <w:rsid w:val="51D6AAAE"/>
    <w:rsid w:val="51E06BE5"/>
    <w:rsid w:val="51F7A702"/>
    <w:rsid w:val="51F7A842"/>
    <w:rsid w:val="51FB01C1"/>
    <w:rsid w:val="52075F88"/>
    <w:rsid w:val="521CE5BF"/>
    <w:rsid w:val="523592E8"/>
    <w:rsid w:val="526F37C0"/>
    <w:rsid w:val="527783B5"/>
    <w:rsid w:val="5283533E"/>
    <w:rsid w:val="52A4CB87"/>
    <w:rsid w:val="52F4A042"/>
    <w:rsid w:val="531AA20A"/>
    <w:rsid w:val="53316769"/>
    <w:rsid w:val="533B19BD"/>
    <w:rsid w:val="534F02F8"/>
    <w:rsid w:val="535135EE"/>
    <w:rsid w:val="53832120"/>
    <w:rsid w:val="53B7DB94"/>
    <w:rsid w:val="53C1974D"/>
    <w:rsid w:val="53F65199"/>
    <w:rsid w:val="541C7F49"/>
    <w:rsid w:val="54206F11"/>
    <w:rsid w:val="54478C01"/>
    <w:rsid w:val="545EBF78"/>
    <w:rsid w:val="548903AB"/>
    <w:rsid w:val="5494871B"/>
    <w:rsid w:val="549990FC"/>
    <w:rsid w:val="549BFC51"/>
    <w:rsid w:val="54D5EEE9"/>
    <w:rsid w:val="54DED8D6"/>
    <w:rsid w:val="54F58521"/>
    <w:rsid w:val="551127E3"/>
    <w:rsid w:val="551338CF"/>
    <w:rsid w:val="552A9DC1"/>
    <w:rsid w:val="55317EAD"/>
    <w:rsid w:val="55322C7A"/>
    <w:rsid w:val="554A181D"/>
    <w:rsid w:val="55A1D6AF"/>
    <w:rsid w:val="55CB3A08"/>
    <w:rsid w:val="55DDAC1B"/>
    <w:rsid w:val="55E38F60"/>
    <w:rsid w:val="560D0BBB"/>
    <w:rsid w:val="563DB40D"/>
    <w:rsid w:val="5650C27F"/>
    <w:rsid w:val="565B8E47"/>
    <w:rsid w:val="566C93C2"/>
    <w:rsid w:val="566F43B2"/>
    <w:rsid w:val="56997A40"/>
    <w:rsid w:val="56A098AD"/>
    <w:rsid w:val="56AE4C8A"/>
    <w:rsid w:val="56AF8EDE"/>
    <w:rsid w:val="56BF4F1C"/>
    <w:rsid w:val="56DAF734"/>
    <w:rsid w:val="56DB475E"/>
    <w:rsid w:val="56EB0FB2"/>
    <w:rsid w:val="56F024BC"/>
    <w:rsid w:val="5719723E"/>
    <w:rsid w:val="57297055"/>
    <w:rsid w:val="573173B0"/>
    <w:rsid w:val="5752F4A2"/>
    <w:rsid w:val="5799D6A9"/>
    <w:rsid w:val="579E8BF6"/>
    <w:rsid w:val="579EA904"/>
    <w:rsid w:val="57A76602"/>
    <w:rsid w:val="57DF1FC2"/>
    <w:rsid w:val="57F8F8F8"/>
    <w:rsid w:val="581D8004"/>
    <w:rsid w:val="582A413A"/>
    <w:rsid w:val="5847AB7F"/>
    <w:rsid w:val="585F9210"/>
    <w:rsid w:val="5866048F"/>
    <w:rsid w:val="5873F3DA"/>
    <w:rsid w:val="588547B1"/>
    <w:rsid w:val="58A7AC88"/>
    <w:rsid w:val="58C09080"/>
    <w:rsid w:val="58C79FCD"/>
    <w:rsid w:val="58D80F57"/>
    <w:rsid w:val="58F5CEEC"/>
    <w:rsid w:val="590AB19F"/>
    <w:rsid w:val="5926A833"/>
    <w:rsid w:val="59616B6F"/>
    <w:rsid w:val="596C9303"/>
    <w:rsid w:val="597719BA"/>
    <w:rsid w:val="5999BF9C"/>
    <w:rsid w:val="59ACE7BD"/>
    <w:rsid w:val="59AE6B8D"/>
    <w:rsid w:val="59AF3D80"/>
    <w:rsid w:val="59B86761"/>
    <w:rsid w:val="59C30D62"/>
    <w:rsid w:val="5A2C7954"/>
    <w:rsid w:val="5A307704"/>
    <w:rsid w:val="5A69D56F"/>
    <w:rsid w:val="5A6A8FA1"/>
    <w:rsid w:val="5A8F51F8"/>
    <w:rsid w:val="5A95B97B"/>
    <w:rsid w:val="5A9962AE"/>
    <w:rsid w:val="5A9C2A15"/>
    <w:rsid w:val="5AC5181D"/>
    <w:rsid w:val="5AC674CA"/>
    <w:rsid w:val="5AC8992A"/>
    <w:rsid w:val="5B070CFD"/>
    <w:rsid w:val="5B35BB27"/>
    <w:rsid w:val="5B42F85B"/>
    <w:rsid w:val="5B52955B"/>
    <w:rsid w:val="5B656BD0"/>
    <w:rsid w:val="5B8711B6"/>
    <w:rsid w:val="5B897EBA"/>
    <w:rsid w:val="5BA3D52F"/>
    <w:rsid w:val="5BCFDCC8"/>
    <w:rsid w:val="5BD3FBA6"/>
    <w:rsid w:val="5BF75D65"/>
    <w:rsid w:val="5BFAD926"/>
    <w:rsid w:val="5BFF0E31"/>
    <w:rsid w:val="5C18C585"/>
    <w:rsid w:val="5C43646E"/>
    <w:rsid w:val="5C4931FA"/>
    <w:rsid w:val="5C56300B"/>
    <w:rsid w:val="5C843EBD"/>
    <w:rsid w:val="5C8441E2"/>
    <w:rsid w:val="5CB71D16"/>
    <w:rsid w:val="5CB94786"/>
    <w:rsid w:val="5CCFD535"/>
    <w:rsid w:val="5CF7793F"/>
    <w:rsid w:val="5D2DB8AF"/>
    <w:rsid w:val="5D7F3EE1"/>
    <w:rsid w:val="5D8C4B57"/>
    <w:rsid w:val="5D8D4218"/>
    <w:rsid w:val="5D9EA51C"/>
    <w:rsid w:val="5DB01483"/>
    <w:rsid w:val="5DB100EF"/>
    <w:rsid w:val="5DC05584"/>
    <w:rsid w:val="5DD8048F"/>
    <w:rsid w:val="5DDBA2B7"/>
    <w:rsid w:val="5DF40CD7"/>
    <w:rsid w:val="5E287B94"/>
    <w:rsid w:val="5E49DB9E"/>
    <w:rsid w:val="5E67CB3D"/>
    <w:rsid w:val="5E8A543A"/>
    <w:rsid w:val="5EAEF7B0"/>
    <w:rsid w:val="5ED5A35E"/>
    <w:rsid w:val="5EF1D51C"/>
    <w:rsid w:val="5F02294E"/>
    <w:rsid w:val="5F2BD706"/>
    <w:rsid w:val="5F2CA625"/>
    <w:rsid w:val="5F3EB7D1"/>
    <w:rsid w:val="5F841AA3"/>
    <w:rsid w:val="5FB68C92"/>
    <w:rsid w:val="5FBFB300"/>
    <w:rsid w:val="5FCB81AF"/>
    <w:rsid w:val="5FE0497C"/>
    <w:rsid w:val="5FF1B843"/>
    <w:rsid w:val="5FF9038F"/>
    <w:rsid w:val="6000F0CB"/>
    <w:rsid w:val="60167E30"/>
    <w:rsid w:val="60229ABE"/>
    <w:rsid w:val="60728781"/>
    <w:rsid w:val="607F2333"/>
    <w:rsid w:val="608B52A1"/>
    <w:rsid w:val="60BB59D1"/>
    <w:rsid w:val="60D9C97C"/>
    <w:rsid w:val="60EFA72F"/>
    <w:rsid w:val="60F70BC5"/>
    <w:rsid w:val="6110E199"/>
    <w:rsid w:val="6120ED63"/>
    <w:rsid w:val="61214F73"/>
    <w:rsid w:val="612E18CD"/>
    <w:rsid w:val="61511FD4"/>
    <w:rsid w:val="616F0B7E"/>
    <w:rsid w:val="61834388"/>
    <w:rsid w:val="6185F2AC"/>
    <w:rsid w:val="6198F9FA"/>
    <w:rsid w:val="619A4C60"/>
    <w:rsid w:val="619CB4DB"/>
    <w:rsid w:val="61E8CF42"/>
    <w:rsid w:val="61EEDAAA"/>
    <w:rsid w:val="6208E3C9"/>
    <w:rsid w:val="620B1AF6"/>
    <w:rsid w:val="621D8EE1"/>
    <w:rsid w:val="62361D52"/>
    <w:rsid w:val="625A6363"/>
    <w:rsid w:val="6260AF04"/>
    <w:rsid w:val="627CF288"/>
    <w:rsid w:val="62939FEF"/>
    <w:rsid w:val="6296D7BD"/>
    <w:rsid w:val="62BEBF4E"/>
    <w:rsid w:val="62D40BE8"/>
    <w:rsid w:val="62F5DF4B"/>
    <w:rsid w:val="62F8096E"/>
    <w:rsid w:val="6332979C"/>
    <w:rsid w:val="63500E75"/>
    <w:rsid w:val="638C3A4E"/>
    <w:rsid w:val="6397AA16"/>
    <w:rsid w:val="63A9D4DA"/>
    <w:rsid w:val="63B96840"/>
    <w:rsid w:val="63EF55F3"/>
    <w:rsid w:val="63FDEBE1"/>
    <w:rsid w:val="64397A29"/>
    <w:rsid w:val="644654A7"/>
    <w:rsid w:val="644CE9B2"/>
    <w:rsid w:val="6452E76A"/>
    <w:rsid w:val="6453DB0C"/>
    <w:rsid w:val="646795C2"/>
    <w:rsid w:val="64808FAD"/>
    <w:rsid w:val="64A070A0"/>
    <w:rsid w:val="64B30498"/>
    <w:rsid w:val="64D8DA14"/>
    <w:rsid w:val="64E0B08A"/>
    <w:rsid w:val="64F3EDFD"/>
    <w:rsid w:val="6529B991"/>
    <w:rsid w:val="655B2400"/>
    <w:rsid w:val="6577BD9F"/>
    <w:rsid w:val="657A2F99"/>
    <w:rsid w:val="659D44C1"/>
    <w:rsid w:val="65D39403"/>
    <w:rsid w:val="65E44DAE"/>
    <w:rsid w:val="65E649F0"/>
    <w:rsid w:val="65FC82B4"/>
    <w:rsid w:val="660F6414"/>
    <w:rsid w:val="664113C8"/>
    <w:rsid w:val="6642C2BF"/>
    <w:rsid w:val="6672130D"/>
    <w:rsid w:val="6683C735"/>
    <w:rsid w:val="66D10854"/>
    <w:rsid w:val="66DECD8F"/>
    <w:rsid w:val="66F7D5CE"/>
    <w:rsid w:val="6701EE89"/>
    <w:rsid w:val="670E1A2A"/>
    <w:rsid w:val="670F8B1F"/>
    <w:rsid w:val="6754AE39"/>
    <w:rsid w:val="675AACEE"/>
    <w:rsid w:val="67675CE6"/>
    <w:rsid w:val="6779291C"/>
    <w:rsid w:val="6790840C"/>
    <w:rsid w:val="67AD9ED3"/>
    <w:rsid w:val="67C72090"/>
    <w:rsid w:val="67D7C6AF"/>
    <w:rsid w:val="67D83D04"/>
    <w:rsid w:val="67F184E1"/>
    <w:rsid w:val="67F1F6D8"/>
    <w:rsid w:val="680FB6E4"/>
    <w:rsid w:val="683275D3"/>
    <w:rsid w:val="6843A02F"/>
    <w:rsid w:val="684CACBC"/>
    <w:rsid w:val="68639B94"/>
    <w:rsid w:val="68828A32"/>
    <w:rsid w:val="68869A48"/>
    <w:rsid w:val="689579F3"/>
    <w:rsid w:val="689FAC03"/>
    <w:rsid w:val="68E5A14E"/>
    <w:rsid w:val="68FAD3F9"/>
    <w:rsid w:val="690A2054"/>
    <w:rsid w:val="690F097F"/>
    <w:rsid w:val="69175013"/>
    <w:rsid w:val="6921567E"/>
    <w:rsid w:val="694024E3"/>
    <w:rsid w:val="69795C8B"/>
    <w:rsid w:val="698EC927"/>
    <w:rsid w:val="69AF1ED3"/>
    <w:rsid w:val="69EDDB60"/>
    <w:rsid w:val="6A0FC2CE"/>
    <w:rsid w:val="6A2AB3EC"/>
    <w:rsid w:val="6A3710AF"/>
    <w:rsid w:val="6A4D117E"/>
    <w:rsid w:val="6A56D070"/>
    <w:rsid w:val="6A6EC68D"/>
    <w:rsid w:val="6A7BF832"/>
    <w:rsid w:val="6A7FE1F2"/>
    <w:rsid w:val="6AA5FB84"/>
    <w:rsid w:val="6AABA9FF"/>
    <w:rsid w:val="6ABA2672"/>
    <w:rsid w:val="6AD82C35"/>
    <w:rsid w:val="6AE96F74"/>
    <w:rsid w:val="6AF6DF79"/>
    <w:rsid w:val="6B02E8FA"/>
    <w:rsid w:val="6B4A255E"/>
    <w:rsid w:val="6B4C6866"/>
    <w:rsid w:val="6B50F91A"/>
    <w:rsid w:val="6B754899"/>
    <w:rsid w:val="6B7B8126"/>
    <w:rsid w:val="6B7C36E8"/>
    <w:rsid w:val="6BB1814C"/>
    <w:rsid w:val="6BD1B1F6"/>
    <w:rsid w:val="6BDA7DA8"/>
    <w:rsid w:val="6C024246"/>
    <w:rsid w:val="6C06711C"/>
    <w:rsid w:val="6C11D76B"/>
    <w:rsid w:val="6C1D19F8"/>
    <w:rsid w:val="6C61DFC7"/>
    <w:rsid w:val="6C6CD32B"/>
    <w:rsid w:val="6CA277D5"/>
    <w:rsid w:val="6CAFE920"/>
    <w:rsid w:val="6CB9E919"/>
    <w:rsid w:val="6CCCD816"/>
    <w:rsid w:val="6D28A983"/>
    <w:rsid w:val="6D318576"/>
    <w:rsid w:val="6D5C4C14"/>
    <w:rsid w:val="6D7FE344"/>
    <w:rsid w:val="6DA34027"/>
    <w:rsid w:val="6DB75CE0"/>
    <w:rsid w:val="6DC42C0D"/>
    <w:rsid w:val="6DC7647A"/>
    <w:rsid w:val="6DD08C95"/>
    <w:rsid w:val="6DFA1172"/>
    <w:rsid w:val="6DFFBFD1"/>
    <w:rsid w:val="6E054161"/>
    <w:rsid w:val="6E095A1A"/>
    <w:rsid w:val="6E167128"/>
    <w:rsid w:val="6E2428D2"/>
    <w:rsid w:val="6E41700C"/>
    <w:rsid w:val="6E4433F2"/>
    <w:rsid w:val="6E510D47"/>
    <w:rsid w:val="6E53C7B0"/>
    <w:rsid w:val="6E6427F9"/>
    <w:rsid w:val="6E88E1C9"/>
    <w:rsid w:val="6E946543"/>
    <w:rsid w:val="6EA689A1"/>
    <w:rsid w:val="6EAC8242"/>
    <w:rsid w:val="6EB14850"/>
    <w:rsid w:val="6EBD5E0F"/>
    <w:rsid w:val="6ED832B2"/>
    <w:rsid w:val="6F244BEE"/>
    <w:rsid w:val="6F31BBFC"/>
    <w:rsid w:val="6F3DBA9A"/>
    <w:rsid w:val="6F41A7FD"/>
    <w:rsid w:val="6F4A56C9"/>
    <w:rsid w:val="6F75BCB5"/>
    <w:rsid w:val="6F7896A5"/>
    <w:rsid w:val="6F806FD2"/>
    <w:rsid w:val="6F8DA21A"/>
    <w:rsid w:val="6F949576"/>
    <w:rsid w:val="6FC0DBD7"/>
    <w:rsid w:val="6FD5F97A"/>
    <w:rsid w:val="6FDC470D"/>
    <w:rsid w:val="6FF2295B"/>
    <w:rsid w:val="6FF855B0"/>
    <w:rsid w:val="700AD8DA"/>
    <w:rsid w:val="70176F02"/>
    <w:rsid w:val="7023B2C3"/>
    <w:rsid w:val="702F9AFA"/>
    <w:rsid w:val="7060B1FE"/>
    <w:rsid w:val="7073E3C2"/>
    <w:rsid w:val="707683E6"/>
    <w:rsid w:val="70786229"/>
    <w:rsid w:val="7095CA32"/>
    <w:rsid w:val="70C1C7DE"/>
    <w:rsid w:val="70C32EBE"/>
    <w:rsid w:val="70D5062D"/>
    <w:rsid w:val="70F5CC85"/>
    <w:rsid w:val="70F729E1"/>
    <w:rsid w:val="7104D065"/>
    <w:rsid w:val="710E5EE3"/>
    <w:rsid w:val="7122CEE0"/>
    <w:rsid w:val="712733AE"/>
    <w:rsid w:val="714BE1C6"/>
    <w:rsid w:val="7188A76D"/>
    <w:rsid w:val="71AAD66E"/>
    <w:rsid w:val="71B52076"/>
    <w:rsid w:val="71B977C2"/>
    <w:rsid w:val="71C2BC98"/>
    <w:rsid w:val="71C6C061"/>
    <w:rsid w:val="71CDB6D7"/>
    <w:rsid w:val="71CFF9AF"/>
    <w:rsid w:val="71D8A973"/>
    <w:rsid w:val="71E089E6"/>
    <w:rsid w:val="71EF34BA"/>
    <w:rsid w:val="71F03542"/>
    <w:rsid w:val="71F8D979"/>
    <w:rsid w:val="720AC9FC"/>
    <w:rsid w:val="721540BD"/>
    <w:rsid w:val="722FE719"/>
    <w:rsid w:val="7237D34C"/>
    <w:rsid w:val="723B311F"/>
    <w:rsid w:val="72434C62"/>
    <w:rsid w:val="72522A06"/>
    <w:rsid w:val="7252C479"/>
    <w:rsid w:val="72794093"/>
    <w:rsid w:val="727F3C5F"/>
    <w:rsid w:val="7299B002"/>
    <w:rsid w:val="72B423BB"/>
    <w:rsid w:val="72C68ED4"/>
    <w:rsid w:val="72D32026"/>
    <w:rsid w:val="72D386A8"/>
    <w:rsid w:val="72DD2918"/>
    <w:rsid w:val="72FC2487"/>
    <w:rsid w:val="73054097"/>
    <w:rsid w:val="7309EDDA"/>
    <w:rsid w:val="731C94EF"/>
    <w:rsid w:val="7327AD9C"/>
    <w:rsid w:val="732F3B1E"/>
    <w:rsid w:val="73457630"/>
    <w:rsid w:val="73463EBA"/>
    <w:rsid w:val="734E7940"/>
    <w:rsid w:val="734FBEFB"/>
    <w:rsid w:val="739EA86D"/>
    <w:rsid w:val="73A45734"/>
    <w:rsid w:val="73A49271"/>
    <w:rsid w:val="73A6FA79"/>
    <w:rsid w:val="73B82DDC"/>
    <w:rsid w:val="73BFF62E"/>
    <w:rsid w:val="73E8985D"/>
    <w:rsid w:val="74012375"/>
    <w:rsid w:val="74054883"/>
    <w:rsid w:val="74118AC3"/>
    <w:rsid w:val="74193C7E"/>
    <w:rsid w:val="743B4A65"/>
    <w:rsid w:val="7448B417"/>
    <w:rsid w:val="745D58A4"/>
    <w:rsid w:val="7463471F"/>
    <w:rsid w:val="747B3267"/>
    <w:rsid w:val="748EDE5E"/>
    <w:rsid w:val="7492E941"/>
    <w:rsid w:val="74B3D3DC"/>
    <w:rsid w:val="74C2B9DF"/>
    <w:rsid w:val="74C93125"/>
    <w:rsid w:val="74D5B206"/>
    <w:rsid w:val="74EF2A5C"/>
    <w:rsid w:val="74F2BEFD"/>
    <w:rsid w:val="74FED7E3"/>
    <w:rsid w:val="750CA4A3"/>
    <w:rsid w:val="758CA8C5"/>
    <w:rsid w:val="75A84C30"/>
    <w:rsid w:val="75A97A36"/>
    <w:rsid w:val="75B17483"/>
    <w:rsid w:val="75BAA608"/>
    <w:rsid w:val="75BD3A8F"/>
    <w:rsid w:val="75C2BF6F"/>
    <w:rsid w:val="75C2D174"/>
    <w:rsid w:val="75CA0349"/>
    <w:rsid w:val="75E81429"/>
    <w:rsid w:val="76092491"/>
    <w:rsid w:val="761420CE"/>
    <w:rsid w:val="761F35D6"/>
    <w:rsid w:val="76215A2F"/>
    <w:rsid w:val="7635799C"/>
    <w:rsid w:val="76456DF9"/>
    <w:rsid w:val="764929A8"/>
    <w:rsid w:val="76889F14"/>
    <w:rsid w:val="7689D007"/>
    <w:rsid w:val="76F4BC5E"/>
    <w:rsid w:val="77001DC1"/>
    <w:rsid w:val="770CA131"/>
    <w:rsid w:val="77195615"/>
    <w:rsid w:val="7743563D"/>
    <w:rsid w:val="77499300"/>
    <w:rsid w:val="7764BE6E"/>
    <w:rsid w:val="776E651F"/>
    <w:rsid w:val="77780643"/>
    <w:rsid w:val="779FCCFB"/>
    <w:rsid w:val="77B6AF05"/>
    <w:rsid w:val="77E18662"/>
    <w:rsid w:val="77E5EFE6"/>
    <w:rsid w:val="77ED5B47"/>
    <w:rsid w:val="781C4823"/>
    <w:rsid w:val="78277709"/>
    <w:rsid w:val="7838FBB5"/>
    <w:rsid w:val="785185A2"/>
    <w:rsid w:val="7851C2FE"/>
    <w:rsid w:val="7852F5EE"/>
    <w:rsid w:val="785CA98B"/>
    <w:rsid w:val="78678935"/>
    <w:rsid w:val="786D7FF8"/>
    <w:rsid w:val="786ECC7E"/>
    <w:rsid w:val="7878E15E"/>
    <w:rsid w:val="78906CA9"/>
    <w:rsid w:val="7892EAB8"/>
    <w:rsid w:val="78A6CA26"/>
    <w:rsid w:val="78AC4501"/>
    <w:rsid w:val="78AE32F1"/>
    <w:rsid w:val="78D37DD8"/>
    <w:rsid w:val="78D4605A"/>
    <w:rsid w:val="78E9D65C"/>
    <w:rsid w:val="7913037F"/>
    <w:rsid w:val="7917A900"/>
    <w:rsid w:val="792AEF82"/>
    <w:rsid w:val="792D3E5D"/>
    <w:rsid w:val="7979E479"/>
    <w:rsid w:val="797EFDF3"/>
    <w:rsid w:val="79875B1E"/>
    <w:rsid w:val="798B26E9"/>
    <w:rsid w:val="79946485"/>
    <w:rsid w:val="799EFE96"/>
    <w:rsid w:val="79C8EC25"/>
    <w:rsid w:val="79EE4FA3"/>
    <w:rsid w:val="79FF6A23"/>
    <w:rsid w:val="7A1756A1"/>
    <w:rsid w:val="7A3CED9E"/>
    <w:rsid w:val="7A4DD69C"/>
    <w:rsid w:val="7A57F3D7"/>
    <w:rsid w:val="7A5BC543"/>
    <w:rsid w:val="7A78C31E"/>
    <w:rsid w:val="7A7C615D"/>
    <w:rsid w:val="7A878B6D"/>
    <w:rsid w:val="7AB3CD64"/>
    <w:rsid w:val="7ABD77B7"/>
    <w:rsid w:val="7AC1D605"/>
    <w:rsid w:val="7ACBEADE"/>
    <w:rsid w:val="7AEA7B8C"/>
    <w:rsid w:val="7B0CF9B0"/>
    <w:rsid w:val="7B0EC991"/>
    <w:rsid w:val="7B242586"/>
    <w:rsid w:val="7B273765"/>
    <w:rsid w:val="7B481F79"/>
    <w:rsid w:val="7B851312"/>
    <w:rsid w:val="7BB6FB58"/>
    <w:rsid w:val="7BC10DA7"/>
    <w:rsid w:val="7BCB566B"/>
    <w:rsid w:val="7BDB438D"/>
    <w:rsid w:val="7BE40763"/>
    <w:rsid w:val="7C080B3C"/>
    <w:rsid w:val="7C12B0DC"/>
    <w:rsid w:val="7C1FB43D"/>
    <w:rsid w:val="7C27A86E"/>
    <w:rsid w:val="7C2C04A8"/>
    <w:rsid w:val="7C4F8574"/>
    <w:rsid w:val="7C5DC26D"/>
    <w:rsid w:val="7C63E5BA"/>
    <w:rsid w:val="7C70B11D"/>
    <w:rsid w:val="7C853431"/>
    <w:rsid w:val="7C93D2A6"/>
    <w:rsid w:val="7CAFDE32"/>
    <w:rsid w:val="7CB51076"/>
    <w:rsid w:val="7CF92A18"/>
    <w:rsid w:val="7D0FAAB6"/>
    <w:rsid w:val="7D12D8AB"/>
    <w:rsid w:val="7D214655"/>
    <w:rsid w:val="7D3A1F59"/>
    <w:rsid w:val="7D40A664"/>
    <w:rsid w:val="7D43AA20"/>
    <w:rsid w:val="7D4441CE"/>
    <w:rsid w:val="7D5660F8"/>
    <w:rsid w:val="7D778CF1"/>
    <w:rsid w:val="7D910238"/>
    <w:rsid w:val="7D99191E"/>
    <w:rsid w:val="7DAAD2F3"/>
    <w:rsid w:val="7DB5CB75"/>
    <w:rsid w:val="7DBCFB7C"/>
    <w:rsid w:val="7DD49591"/>
    <w:rsid w:val="7DE45814"/>
    <w:rsid w:val="7DED6C56"/>
    <w:rsid w:val="7E160AF2"/>
    <w:rsid w:val="7E3C6460"/>
    <w:rsid w:val="7E62BC1E"/>
    <w:rsid w:val="7E6A73BD"/>
    <w:rsid w:val="7E80FDC5"/>
    <w:rsid w:val="7E87D76D"/>
    <w:rsid w:val="7E8EDDED"/>
    <w:rsid w:val="7ED6234B"/>
    <w:rsid w:val="7EF4D118"/>
    <w:rsid w:val="7F04A58A"/>
    <w:rsid w:val="7F0830AE"/>
    <w:rsid w:val="7F24EEB8"/>
    <w:rsid w:val="7F26D367"/>
    <w:rsid w:val="7F26EA3A"/>
    <w:rsid w:val="7F2A1914"/>
    <w:rsid w:val="7F417436"/>
    <w:rsid w:val="7F496165"/>
    <w:rsid w:val="7F4B858F"/>
    <w:rsid w:val="7F62A489"/>
    <w:rsid w:val="7F6376C3"/>
    <w:rsid w:val="7F6E165C"/>
    <w:rsid w:val="7F75FB23"/>
    <w:rsid w:val="7F78BE1E"/>
    <w:rsid w:val="7F8AD6F1"/>
    <w:rsid w:val="7FA70208"/>
    <w:rsid w:val="7FB7943F"/>
    <w:rsid w:val="7FE5342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87CA0562-8C7E-40FB-B260-76BAB5EC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29DB"/>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 w:type="table" w:styleId="Tabelraster">
    <w:name w:val="Table Grid"/>
    <w:basedOn w:val="Standaardtabel"/>
    <w:rsid w:val="002B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4E7B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2548">
      <w:bodyDiv w:val="1"/>
      <w:marLeft w:val="0"/>
      <w:marRight w:val="0"/>
      <w:marTop w:val="0"/>
      <w:marBottom w:val="0"/>
      <w:divBdr>
        <w:top w:val="none" w:sz="0" w:space="0" w:color="auto"/>
        <w:left w:val="none" w:sz="0" w:space="0" w:color="auto"/>
        <w:bottom w:val="none" w:sz="0" w:space="0" w:color="auto"/>
        <w:right w:val="none" w:sz="0" w:space="0" w:color="auto"/>
      </w:divBdr>
      <w:divsChild>
        <w:div w:id="1117337354">
          <w:marLeft w:val="0"/>
          <w:marRight w:val="0"/>
          <w:marTop w:val="0"/>
          <w:marBottom w:val="0"/>
          <w:divBdr>
            <w:top w:val="none" w:sz="0" w:space="0" w:color="auto"/>
            <w:left w:val="none" w:sz="0" w:space="0" w:color="auto"/>
            <w:bottom w:val="none" w:sz="0" w:space="0" w:color="auto"/>
            <w:right w:val="none" w:sz="0" w:space="0" w:color="auto"/>
          </w:divBdr>
        </w:div>
      </w:divsChild>
    </w:div>
    <w:div w:id="109446337">
      <w:bodyDiv w:val="1"/>
      <w:marLeft w:val="0"/>
      <w:marRight w:val="0"/>
      <w:marTop w:val="0"/>
      <w:marBottom w:val="0"/>
      <w:divBdr>
        <w:top w:val="none" w:sz="0" w:space="0" w:color="auto"/>
        <w:left w:val="none" w:sz="0" w:space="0" w:color="auto"/>
        <w:bottom w:val="none" w:sz="0" w:space="0" w:color="auto"/>
        <w:right w:val="none" w:sz="0" w:space="0" w:color="auto"/>
      </w:divBdr>
    </w:div>
    <w:div w:id="153879174">
      <w:bodyDiv w:val="1"/>
      <w:marLeft w:val="0"/>
      <w:marRight w:val="0"/>
      <w:marTop w:val="0"/>
      <w:marBottom w:val="0"/>
      <w:divBdr>
        <w:top w:val="none" w:sz="0" w:space="0" w:color="auto"/>
        <w:left w:val="none" w:sz="0" w:space="0" w:color="auto"/>
        <w:bottom w:val="none" w:sz="0" w:space="0" w:color="auto"/>
        <w:right w:val="none" w:sz="0" w:space="0" w:color="auto"/>
      </w:divBdr>
    </w:div>
    <w:div w:id="214660479">
      <w:bodyDiv w:val="1"/>
      <w:marLeft w:val="0"/>
      <w:marRight w:val="0"/>
      <w:marTop w:val="0"/>
      <w:marBottom w:val="0"/>
      <w:divBdr>
        <w:top w:val="none" w:sz="0" w:space="0" w:color="auto"/>
        <w:left w:val="none" w:sz="0" w:space="0" w:color="auto"/>
        <w:bottom w:val="none" w:sz="0" w:space="0" w:color="auto"/>
        <w:right w:val="none" w:sz="0" w:space="0" w:color="auto"/>
      </w:divBdr>
      <w:divsChild>
        <w:div w:id="113985184">
          <w:marLeft w:val="0"/>
          <w:marRight w:val="0"/>
          <w:marTop w:val="0"/>
          <w:marBottom w:val="0"/>
          <w:divBdr>
            <w:top w:val="none" w:sz="0" w:space="0" w:color="auto"/>
            <w:left w:val="none" w:sz="0" w:space="0" w:color="auto"/>
            <w:bottom w:val="none" w:sz="0" w:space="0" w:color="auto"/>
            <w:right w:val="none" w:sz="0" w:space="0" w:color="auto"/>
          </w:divBdr>
        </w:div>
      </w:divsChild>
    </w:div>
    <w:div w:id="217086671">
      <w:bodyDiv w:val="1"/>
      <w:marLeft w:val="0"/>
      <w:marRight w:val="0"/>
      <w:marTop w:val="0"/>
      <w:marBottom w:val="0"/>
      <w:divBdr>
        <w:top w:val="none" w:sz="0" w:space="0" w:color="auto"/>
        <w:left w:val="none" w:sz="0" w:space="0" w:color="auto"/>
        <w:bottom w:val="none" w:sz="0" w:space="0" w:color="auto"/>
        <w:right w:val="none" w:sz="0" w:space="0" w:color="auto"/>
      </w:divBdr>
    </w:div>
    <w:div w:id="261375986">
      <w:bodyDiv w:val="1"/>
      <w:marLeft w:val="0"/>
      <w:marRight w:val="0"/>
      <w:marTop w:val="0"/>
      <w:marBottom w:val="0"/>
      <w:divBdr>
        <w:top w:val="none" w:sz="0" w:space="0" w:color="auto"/>
        <w:left w:val="none" w:sz="0" w:space="0" w:color="auto"/>
        <w:bottom w:val="none" w:sz="0" w:space="0" w:color="auto"/>
        <w:right w:val="none" w:sz="0" w:space="0" w:color="auto"/>
      </w:divBdr>
    </w:div>
    <w:div w:id="330566146">
      <w:bodyDiv w:val="1"/>
      <w:marLeft w:val="0"/>
      <w:marRight w:val="0"/>
      <w:marTop w:val="0"/>
      <w:marBottom w:val="0"/>
      <w:divBdr>
        <w:top w:val="none" w:sz="0" w:space="0" w:color="auto"/>
        <w:left w:val="none" w:sz="0" w:space="0" w:color="auto"/>
        <w:bottom w:val="none" w:sz="0" w:space="0" w:color="auto"/>
        <w:right w:val="none" w:sz="0" w:space="0" w:color="auto"/>
      </w:divBdr>
    </w:div>
    <w:div w:id="356128349">
      <w:bodyDiv w:val="1"/>
      <w:marLeft w:val="0"/>
      <w:marRight w:val="0"/>
      <w:marTop w:val="0"/>
      <w:marBottom w:val="0"/>
      <w:divBdr>
        <w:top w:val="none" w:sz="0" w:space="0" w:color="auto"/>
        <w:left w:val="none" w:sz="0" w:space="0" w:color="auto"/>
        <w:bottom w:val="none" w:sz="0" w:space="0" w:color="auto"/>
        <w:right w:val="none" w:sz="0" w:space="0" w:color="auto"/>
      </w:divBdr>
    </w:div>
    <w:div w:id="471563012">
      <w:bodyDiv w:val="1"/>
      <w:marLeft w:val="0"/>
      <w:marRight w:val="0"/>
      <w:marTop w:val="0"/>
      <w:marBottom w:val="0"/>
      <w:divBdr>
        <w:top w:val="none" w:sz="0" w:space="0" w:color="auto"/>
        <w:left w:val="none" w:sz="0" w:space="0" w:color="auto"/>
        <w:bottom w:val="none" w:sz="0" w:space="0" w:color="auto"/>
        <w:right w:val="none" w:sz="0" w:space="0" w:color="auto"/>
      </w:divBdr>
    </w:div>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681201154">
      <w:bodyDiv w:val="1"/>
      <w:marLeft w:val="0"/>
      <w:marRight w:val="0"/>
      <w:marTop w:val="0"/>
      <w:marBottom w:val="0"/>
      <w:divBdr>
        <w:top w:val="none" w:sz="0" w:space="0" w:color="auto"/>
        <w:left w:val="none" w:sz="0" w:space="0" w:color="auto"/>
        <w:bottom w:val="none" w:sz="0" w:space="0" w:color="auto"/>
        <w:right w:val="none" w:sz="0" w:space="0" w:color="auto"/>
      </w:divBdr>
      <w:divsChild>
        <w:div w:id="181169167">
          <w:marLeft w:val="0"/>
          <w:marRight w:val="0"/>
          <w:marTop w:val="0"/>
          <w:marBottom w:val="0"/>
          <w:divBdr>
            <w:top w:val="none" w:sz="0" w:space="0" w:color="auto"/>
            <w:left w:val="none" w:sz="0" w:space="0" w:color="auto"/>
            <w:bottom w:val="none" w:sz="0" w:space="0" w:color="auto"/>
            <w:right w:val="none" w:sz="0" w:space="0" w:color="auto"/>
          </w:divBdr>
        </w:div>
        <w:div w:id="1819345610">
          <w:marLeft w:val="0"/>
          <w:marRight w:val="0"/>
          <w:marTop w:val="0"/>
          <w:marBottom w:val="0"/>
          <w:divBdr>
            <w:top w:val="none" w:sz="0" w:space="0" w:color="auto"/>
            <w:left w:val="none" w:sz="0" w:space="0" w:color="auto"/>
            <w:bottom w:val="none" w:sz="0" w:space="0" w:color="auto"/>
            <w:right w:val="none" w:sz="0" w:space="0" w:color="auto"/>
          </w:divBdr>
          <w:divsChild>
            <w:div w:id="87509264">
              <w:marLeft w:val="0"/>
              <w:marRight w:val="0"/>
              <w:marTop w:val="0"/>
              <w:marBottom w:val="0"/>
              <w:divBdr>
                <w:top w:val="none" w:sz="0" w:space="0" w:color="auto"/>
                <w:left w:val="none" w:sz="0" w:space="0" w:color="auto"/>
                <w:bottom w:val="none" w:sz="0" w:space="0" w:color="auto"/>
                <w:right w:val="none" w:sz="0" w:space="0" w:color="auto"/>
              </w:divBdr>
            </w:div>
            <w:div w:id="128937341">
              <w:marLeft w:val="0"/>
              <w:marRight w:val="0"/>
              <w:marTop w:val="0"/>
              <w:marBottom w:val="0"/>
              <w:divBdr>
                <w:top w:val="none" w:sz="0" w:space="0" w:color="auto"/>
                <w:left w:val="none" w:sz="0" w:space="0" w:color="auto"/>
                <w:bottom w:val="none" w:sz="0" w:space="0" w:color="auto"/>
                <w:right w:val="none" w:sz="0" w:space="0" w:color="auto"/>
              </w:divBdr>
            </w:div>
            <w:div w:id="225343785">
              <w:marLeft w:val="0"/>
              <w:marRight w:val="0"/>
              <w:marTop w:val="0"/>
              <w:marBottom w:val="0"/>
              <w:divBdr>
                <w:top w:val="none" w:sz="0" w:space="0" w:color="auto"/>
                <w:left w:val="none" w:sz="0" w:space="0" w:color="auto"/>
                <w:bottom w:val="none" w:sz="0" w:space="0" w:color="auto"/>
                <w:right w:val="none" w:sz="0" w:space="0" w:color="auto"/>
              </w:divBdr>
            </w:div>
            <w:div w:id="297689206">
              <w:marLeft w:val="0"/>
              <w:marRight w:val="0"/>
              <w:marTop w:val="0"/>
              <w:marBottom w:val="0"/>
              <w:divBdr>
                <w:top w:val="none" w:sz="0" w:space="0" w:color="auto"/>
                <w:left w:val="none" w:sz="0" w:space="0" w:color="auto"/>
                <w:bottom w:val="none" w:sz="0" w:space="0" w:color="auto"/>
                <w:right w:val="none" w:sz="0" w:space="0" w:color="auto"/>
              </w:divBdr>
            </w:div>
            <w:div w:id="318656708">
              <w:marLeft w:val="0"/>
              <w:marRight w:val="0"/>
              <w:marTop w:val="0"/>
              <w:marBottom w:val="0"/>
              <w:divBdr>
                <w:top w:val="none" w:sz="0" w:space="0" w:color="auto"/>
                <w:left w:val="none" w:sz="0" w:space="0" w:color="auto"/>
                <w:bottom w:val="none" w:sz="0" w:space="0" w:color="auto"/>
                <w:right w:val="none" w:sz="0" w:space="0" w:color="auto"/>
              </w:divBdr>
            </w:div>
            <w:div w:id="453669758">
              <w:marLeft w:val="0"/>
              <w:marRight w:val="0"/>
              <w:marTop w:val="0"/>
              <w:marBottom w:val="0"/>
              <w:divBdr>
                <w:top w:val="none" w:sz="0" w:space="0" w:color="auto"/>
                <w:left w:val="none" w:sz="0" w:space="0" w:color="auto"/>
                <w:bottom w:val="none" w:sz="0" w:space="0" w:color="auto"/>
                <w:right w:val="none" w:sz="0" w:space="0" w:color="auto"/>
              </w:divBdr>
            </w:div>
            <w:div w:id="618755962">
              <w:marLeft w:val="0"/>
              <w:marRight w:val="0"/>
              <w:marTop w:val="0"/>
              <w:marBottom w:val="0"/>
              <w:divBdr>
                <w:top w:val="none" w:sz="0" w:space="0" w:color="auto"/>
                <w:left w:val="none" w:sz="0" w:space="0" w:color="auto"/>
                <w:bottom w:val="none" w:sz="0" w:space="0" w:color="auto"/>
                <w:right w:val="none" w:sz="0" w:space="0" w:color="auto"/>
              </w:divBdr>
            </w:div>
            <w:div w:id="667102212">
              <w:marLeft w:val="0"/>
              <w:marRight w:val="0"/>
              <w:marTop w:val="0"/>
              <w:marBottom w:val="0"/>
              <w:divBdr>
                <w:top w:val="none" w:sz="0" w:space="0" w:color="auto"/>
                <w:left w:val="none" w:sz="0" w:space="0" w:color="auto"/>
                <w:bottom w:val="none" w:sz="0" w:space="0" w:color="auto"/>
                <w:right w:val="none" w:sz="0" w:space="0" w:color="auto"/>
              </w:divBdr>
            </w:div>
            <w:div w:id="895092807">
              <w:marLeft w:val="0"/>
              <w:marRight w:val="0"/>
              <w:marTop w:val="0"/>
              <w:marBottom w:val="0"/>
              <w:divBdr>
                <w:top w:val="none" w:sz="0" w:space="0" w:color="auto"/>
                <w:left w:val="none" w:sz="0" w:space="0" w:color="auto"/>
                <w:bottom w:val="none" w:sz="0" w:space="0" w:color="auto"/>
                <w:right w:val="none" w:sz="0" w:space="0" w:color="auto"/>
              </w:divBdr>
            </w:div>
            <w:div w:id="976957461">
              <w:marLeft w:val="0"/>
              <w:marRight w:val="0"/>
              <w:marTop w:val="0"/>
              <w:marBottom w:val="0"/>
              <w:divBdr>
                <w:top w:val="none" w:sz="0" w:space="0" w:color="auto"/>
                <w:left w:val="none" w:sz="0" w:space="0" w:color="auto"/>
                <w:bottom w:val="none" w:sz="0" w:space="0" w:color="auto"/>
                <w:right w:val="none" w:sz="0" w:space="0" w:color="auto"/>
              </w:divBdr>
            </w:div>
            <w:div w:id="1029450053">
              <w:marLeft w:val="0"/>
              <w:marRight w:val="0"/>
              <w:marTop w:val="0"/>
              <w:marBottom w:val="0"/>
              <w:divBdr>
                <w:top w:val="none" w:sz="0" w:space="0" w:color="auto"/>
                <w:left w:val="none" w:sz="0" w:space="0" w:color="auto"/>
                <w:bottom w:val="none" w:sz="0" w:space="0" w:color="auto"/>
                <w:right w:val="none" w:sz="0" w:space="0" w:color="auto"/>
              </w:divBdr>
            </w:div>
            <w:div w:id="1148086082">
              <w:marLeft w:val="0"/>
              <w:marRight w:val="0"/>
              <w:marTop w:val="0"/>
              <w:marBottom w:val="0"/>
              <w:divBdr>
                <w:top w:val="none" w:sz="0" w:space="0" w:color="auto"/>
                <w:left w:val="none" w:sz="0" w:space="0" w:color="auto"/>
                <w:bottom w:val="none" w:sz="0" w:space="0" w:color="auto"/>
                <w:right w:val="none" w:sz="0" w:space="0" w:color="auto"/>
              </w:divBdr>
            </w:div>
            <w:div w:id="1204833168">
              <w:marLeft w:val="0"/>
              <w:marRight w:val="0"/>
              <w:marTop w:val="0"/>
              <w:marBottom w:val="0"/>
              <w:divBdr>
                <w:top w:val="none" w:sz="0" w:space="0" w:color="auto"/>
                <w:left w:val="none" w:sz="0" w:space="0" w:color="auto"/>
                <w:bottom w:val="none" w:sz="0" w:space="0" w:color="auto"/>
                <w:right w:val="none" w:sz="0" w:space="0" w:color="auto"/>
              </w:divBdr>
            </w:div>
            <w:div w:id="1213348391">
              <w:marLeft w:val="0"/>
              <w:marRight w:val="0"/>
              <w:marTop w:val="0"/>
              <w:marBottom w:val="0"/>
              <w:divBdr>
                <w:top w:val="none" w:sz="0" w:space="0" w:color="auto"/>
                <w:left w:val="none" w:sz="0" w:space="0" w:color="auto"/>
                <w:bottom w:val="none" w:sz="0" w:space="0" w:color="auto"/>
                <w:right w:val="none" w:sz="0" w:space="0" w:color="auto"/>
              </w:divBdr>
            </w:div>
            <w:div w:id="1344824029">
              <w:marLeft w:val="0"/>
              <w:marRight w:val="0"/>
              <w:marTop w:val="0"/>
              <w:marBottom w:val="0"/>
              <w:divBdr>
                <w:top w:val="none" w:sz="0" w:space="0" w:color="auto"/>
                <w:left w:val="none" w:sz="0" w:space="0" w:color="auto"/>
                <w:bottom w:val="none" w:sz="0" w:space="0" w:color="auto"/>
                <w:right w:val="none" w:sz="0" w:space="0" w:color="auto"/>
              </w:divBdr>
            </w:div>
            <w:div w:id="1484615791">
              <w:marLeft w:val="0"/>
              <w:marRight w:val="0"/>
              <w:marTop w:val="0"/>
              <w:marBottom w:val="0"/>
              <w:divBdr>
                <w:top w:val="none" w:sz="0" w:space="0" w:color="auto"/>
                <w:left w:val="none" w:sz="0" w:space="0" w:color="auto"/>
                <w:bottom w:val="none" w:sz="0" w:space="0" w:color="auto"/>
                <w:right w:val="none" w:sz="0" w:space="0" w:color="auto"/>
              </w:divBdr>
            </w:div>
            <w:div w:id="1914390518">
              <w:marLeft w:val="0"/>
              <w:marRight w:val="0"/>
              <w:marTop w:val="0"/>
              <w:marBottom w:val="0"/>
              <w:divBdr>
                <w:top w:val="none" w:sz="0" w:space="0" w:color="auto"/>
                <w:left w:val="none" w:sz="0" w:space="0" w:color="auto"/>
                <w:bottom w:val="none" w:sz="0" w:space="0" w:color="auto"/>
                <w:right w:val="none" w:sz="0" w:space="0" w:color="auto"/>
              </w:divBdr>
            </w:div>
            <w:div w:id="20859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7436">
      <w:bodyDiv w:val="1"/>
      <w:marLeft w:val="0"/>
      <w:marRight w:val="0"/>
      <w:marTop w:val="0"/>
      <w:marBottom w:val="0"/>
      <w:divBdr>
        <w:top w:val="none" w:sz="0" w:space="0" w:color="auto"/>
        <w:left w:val="none" w:sz="0" w:space="0" w:color="auto"/>
        <w:bottom w:val="none" w:sz="0" w:space="0" w:color="auto"/>
        <w:right w:val="none" w:sz="0" w:space="0" w:color="auto"/>
      </w:divBdr>
    </w:div>
    <w:div w:id="909459549">
      <w:bodyDiv w:val="1"/>
      <w:marLeft w:val="0"/>
      <w:marRight w:val="0"/>
      <w:marTop w:val="0"/>
      <w:marBottom w:val="0"/>
      <w:divBdr>
        <w:top w:val="none" w:sz="0" w:space="0" w:color="auto"/>
        <w:left w:val="none" w:sz="0" w:space="0" w:color="auto"/>
        <w:bottom w:val="none" w:sz="0" w:space="0" w:color="auto"/>
        <w:right w:val="none" w:sz="0" w:space="0" w:color="auto"/>
      </w:divBdr>
    </w:div>
    <w:div w:id="933246516">
      <w:bodyDiv w:val="1"/>
      <w:marLeft w:val="0"/>
      <w:marRight w:val="0"/>
      <w:marTop w:val="0"/>
      <w:marBottom w:val="0"/>
      <w:divBdr>
        <w:top w:val="none" w:sz="0" w:space="0" w:color="auto"/>
        <w:left w:val="none" w:sz="0" w:space="0" w:color="auto"/>
        <w:bottom w:val="none" w:sz="0" w:space="0" w:color="auto"/>
        <w:right w:val="none" w:sz="0" w:space="0" w:color="auto"/>
      </w:divBdr>
      <w:divsChild>
        <w:div w:id="116149451">
          <w:marLeft w:val="0"/>
          <w:marRight w:val="0"/>
          <w:marTop w:val="0"/>
          <w:marBottom w:val="0"/>
          <w:divBdr>
            <w:top w:val="none" w:sz="0" w:space="0" w:color="auto"/>
            <w:left w:val="none" w:sz="0" w:space="0" w:color="auto"/>
            <w:bottom w:val="none" w:sz="0" w:space="0" w:color="auto"/>
            <w:right w:val="none" w:sz="0" w:space="0" w:color="auto"/>
          </w:divBdr>
        </w:div>
        <w:div w:id="833491062">
          <w:marLeft w:val="0"/>
          <w:marRight w:val="0"/>
          <w:marTop w:val="0"/>
          <w:marBottom w:val="0"/>
          <w:divBdr>
            <w:top w:val="none" w:sz="0" w:space="0" w:color="auto"/>
            <w:left w:val="none" w:sz="0" w:space="0" w:color="auto"/>
            <w:bottom w:val="none" w:sz="0" w:space="0" w:color="auto"/>
            <w:right w:val="none" w:sz="0" w:space="0" w:color="auto"/>
          </w:divBdr>
          <w:divsChild>
            <w:div w:id="102040026">
              <w:marLeft w:val="0"/>
              <w:marRight w:val="0"/>
              <w:marTop w:val="0"/>
              <w:marBottom w:val="0"/>
              <w:divBdr>
                <w:top w:val="none" w:sz="0" w:space="0" w:color="auto"/>
                <w:left w:val="none" w:sz="0" w:space="0" w:color="auto"/>
                <w:bottom w:val="none" w:sz="0" w:space="0" w:color="auto"/>
                <w:right w:val="none" w:sz="0" w:space="0" w:color="auto"/>
              </w:divBdr>
            </w:div>
            <w:div w:id="183911438">
              <w:marLeft w:val="0"/>
              <w:marRight w:val="0"/>
              <w:marTop w:val="0"/>
              <w:marBottom w:val="0"/>
              <w:divBdr>
                <w:top w:val="none" w:sz="0" w:space="0" w:color="auto"/>
                <w:left w:val="none" w:sz="0" w:space="0" w:color="auto"/>
                <w:bottom w:val="none" w:sz="0" w:space="0" w:color="auto"/>
                <w:right w:val="none" w:sz="0" w:space="0" w:color="auto"/>
              </w:divBdr>
            </w:div>
            <w:div w:id="445124073">
              <w:marLeft w:val="0"/>
              <w:marRight w:val="0"/>
              <w:marTop w:val="0"/>
              <w:marBottom w:val="0"/>
              <w:divBdr>
                <w:top w:val="none" w:sz="0" w:space="0" w:color="auto"/>
                <w:left w:val="none" w:sz="0" w:space="0" w:color="auto"/>
                <w:bottom w:val="none" w:sz="0" w:space="0" w:color="auto"/>
                <w:right w:val="none" w:sz="0" w:space="0" w:color="auto"/>
              </w:divBdr>
            </w:div>
            <w:div w:id="462233762">
              <w:marLeft w:val="0"/>
              <w:marRight w:val="0"/>
              <w:marTop w:val="0"/>
              <w:marBottom w:val="0"/>
              <w:divBdr>
                <w:top w:val="none" w:sz="0" w:space="0" w:color="auto"/>
                <w:left w:val="none" w:sz="0" w:space="0" w:color="auto"/>
                <w:bottom w:val="none" w:sz="0" w:space="0" w:color="auto"/>
                <w:right w:val="none" w:sz="0" w:space="0" w:color="auto"/>
              </w:divBdr>
            </w:div>
            <w:div w:id="673533400">
              <w:marLeft w:val="0"/>
              <w:marRight w:val="0"/>
              <w:marTop w:val="0"/>
              <w:marBottom w:val="0"/>
              <w:divBdr>
                <w:top w:val="none" w:sz="0" w:space="0" w:color="auto"/>
                <w:left w:val="none" w:sz="0" w:space="0" w:color="auto"/>
                <w:bottom w:val="none" w:sz="0" w:space="0" w:color="auto"/>
                <w:right w:val="none" w:sz="0" w:space="0" w:color="auto"/>
              </w:divBdr>
            </w:div>
            <w:div w:id="741871936">
              <w:marLeft w:val="0"/>
              <w:marRight w:val="0"/>
              <w:marTop w:val="0"/>
              <w:marBottom w:val="0"/>
              <w:divBdr>
                <w:top w:val="none" w:sz="0" w:space="0" w:color="auto"/>
                <w:left w:val="none" w:sz="0" w:space="0" w:color="auto"/>
                <w:bottom w:val="none" w:sz="0" w:space="0" w:color="auto"/>
                <w:right w:val="none" w:sz="0" w:space="0" w:color="auto"/>
              </w:divBdr>
            </w:div>
            <w:div w:id="754285226">
              <w:marLeft w:val="0"/>
              <w:marRight w:val="0"/>
              <w:marTop w:val="0"/>
              <w:marBottom w:val="0"/>
              <w:divBdr>
                <w:top w:val="none" w:sz="0" w:space="0" w:color="auto"/>
                <w:left w:val="none" w:sz="0" w:space="0" w:color="auto"/>
                <w:bottom w:val="none" w:sz="0" w:space="0" w:color="auto"/>
                <w:right w:val="none" w:sz="0" w:space="0" w:color="auto"/>
              </w:divBdr>
            </w:div>
            <w:div w:id="808480214">
              <w:marLeft w:val="0"/>
              <w:marRight w:val="0"/>
              <w:marTop w:val="0"/>
              <w:marBottom w:val="0"/>
              <w:divBdr>
                <w:top w:val="none" w:sz="0" w:space="0" w:color="auto"/>
                <w:left w:val="none" w:sz="0" w:space="0" w:color="auto"/>
                <w:bottom w:val="none" w:sz="0" w:space="0" w:color="auto"/>
                <w:right w:val="none" w:sz="0" w:space="0" w:color="auto"/>
              </w:divBdr>
            </w:div>
            <w:div w:id="909193081">
              <w:marLeft w:val="0"/>
              <w:marRight w:val="0"/>
              <w:marTop w:val="0"/>
              <w:marBottom w:val="0"/>
              <w:divBdr>
                <w:top w:val="none" w:sz="0" w:space="0" w:color="auto"/>
                <w:left w:val="none" w:sz="0" w:space="0" w:color="auto"/>
                <w:bottom w:val="none" w:sz="0" w:space="0" w:color="auto"/>
                <w:right w:val="none" w:sz="0" w:space="0" w:color="auto"/>
              </w:divBdr>
            </w:div>
            <w:div w:id="986275979">
              <w:marLeft w:val="0"/>
              <w:marRight w:val="0"/>
              <w:marTop w:val="0"/>
              <w:marBottom w:val="0"/>
              <w:divBdr>
                <w:top w:val="none" w:sz="0" w:space="0" w:color="auto"/>
                <w:left w:val="none" w:sz="0" w:space="0" w:color="auto"/>
                <w:bottom w:val="none" w:sz="0" w:space="0" w:color="auto"/>
                <w:right w:val="none" w:sz="0" w:space="0" w:color="auto"/>
              </w:divBdr>
            </w:div>
            <w:div w:id="1055549703">
              <w:marLeft w:val="0"/>
              <w:marRight w:val="0"/>
              <w:marTop w:val="0"/>
              <w:marBottom w:val="0"/>
              <w:divBdr>
                <w:top w:val="none" w:sz="0" w:space="0" w:color="auto"/>
                <w:left w:val="none" w:sz="0" w:space="0" w:color="auto"/>
                <w:bottom w:val="none" w:sz="0" w:space="0" w:color="auto"/>
                <w:right w:val="none" w:sz="0" w:space="0" w:color="auto"/>
              </w:divBdr>
            </w:div>
            <w:div w:id="1333335707">
              <w:marLeft w:val="0"/>
              <w:marRight w:val="0"/>
              <w:marTop w:val="0"/>
              <w:marBottom w:val="0"/>
              <w:divBdr>
                <w:top w:val="none" w:sz="0" w:space="0" w:color="auto"/>
                <w:left w:val="none" w:sz="0" w:space="0" w:color="auto"/>
                <w:bottom w:val="none" w:sz="0" w:space="0" w:color="auto"/>
                <w:right w:val="none" w:sz="0" w:space="0" w:color="auto"/>
              </w:divBdr>
            </w:div>
            <w:div w:id="1610159890">
              <w:marLeft w:val="0"/>
              <w:marRight w:val="0"/>
              <w:marTop w:val="0"/>
              <w:marBottom w:val="0"/>
              <w:divBdr>
                <w:top w:val="none" w:sz="0" w:space="0" w:color="auto"/>
                <w:left w:val="none" w:sz="0" w:space="0" w:color="auto"/>
                <w:bottom w:val="none" w:sz="0" w:space="0" w:color="auto"/>
                <w:right w:val="none" w:sz="0" w:space="0" w:color="auto"/>
              </w:divBdr>
            </w:div>
            <w:div w:id="1638335623">
              <w:marLeft w:val="0"/>
              <w:marRight w:val="0"/>
              <w:marTop w:val="0"/>
              <w:marBottom w:val="0"/>
              <w:divBdr>
                <w:top w:val="none" w:sz="0" w:space="0" w:color="auto"/>
                <w:left w:val="none" w:sz="0" w:space="0" w:color="auto"/>
                <w:bottom w:val="none" w:sz="0" w:space="0" w:color="auto"/>
                <w:right w:val="none" w:sz="0" w:space="0" w:color="auto"/>
              </w:divBdr>
            </w:div>
            <w:div w:id="1662998931">
              <w:marLeft w:val="0"/>
              <w:marRight w:val="0"/>
              <w:marTop w:val="0"/>
              <w:marBottom w:val="0"/>
              <w:divBdr>
                <w:top w:val="none" w:sz="0" w:space="0" w:color="auto"/>
                <w:left w:val="none" w:sz="0" w:space="0" w:color="auto"/>
                <w:bottom w:val="none" w:sz="0" w:space="0" w:color="auto"/>
                <w:right w:val="none" w:sz="0" w:space="0" w:color="auto"/>
              </w:divBdr>
            </w:div>
            <w:div w:id="1741832084">
              <w:marLeft w:val="0"/>
              <w:marRight w:val="0"/>
              <w:marTop w:val="0"/>
              <w:marBottom w:val="0"/>
              <w:divBdr>
                <w:top w:val="none" w:sz="0" w:space="0" w:color="auto"/>
                <w:left w:val="none" w:sz="0" w:space="0" w:color="auto"/>
                <w:bottom w:val="none" w:sz="0" w:space="0" w:color="auto"/>
                <w:right w:val="none" w:sz="0" w:space="0" w:color="auto"/>
              </w:divBdr>
            </w:div>
            <w:div w:id="1961377771">
              <w:marLeft w:val="0"/>
              <w:marRight w:val="0"/>
              <w:marTop w:val="0"/>
              <w:marBottom w:val="0"/>
              <w:divBdr>
                <w:top w:val="none" w:sz="0" w:space="0" w:color="auto"/>
                <w:left w:val="none" w:sz="0" w:space="0" w:color="auto"/>
                <w:bottom w:val="none" w:sz="0" w:space="0" w:color="auto"/>
                <w:right w:val="none" w:sz="0" w:space="0" w:color="auto"/>
              </w:divBdr>
            </w:div>
            <w:div w:id="20135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6092">
      <w:bodyDiv w:val="1"/>
      <w:marLeft w:val="0"/>
      <w:marRight w:val="0"/>
      <w:marTop w:val="0"/>
      <w:marBottom w:val="0"/>
      <w:divBdr>
        <w:top w:val="none" w:sz="0" w:space="0" w:color="auto"/>
        <w:left w:val="none" w:sz="0" w:space="0" w:color="auto"/>
        <w:bottom w:val="none" w:sz="0" w:space="0" w:color="auto"/>
        <w:right w:val="none" w:sz="0" w:space="0" w:color="auto"/>
      </w:divBdr>
      <w:divsChild>
        <w:div w:id="1621719734">
          <w:marLeft w:val="0"/>
          <w:marRight w:val="0"/>
          <w:marTop w:val="0"/>
          <w:marBottom w:val="0"/>
          <w:divBdr>
            <w:top w:val="none" w:sz="0" w:space="0" w:color="auto"/>
            <w:left w:val="none" w:sz="0" w:space="0" w:color="auto"/>
            <w:bottom w:val="none" w:sz="0" w:space="0" w:color="auto"/>
            <w:right w:val="none" w:sz="0" w:space="0" w:color="auto"/>
          </w:divBdr>
        </w:div>
      </w:divsChild>
    </w:div>
    <w:div w:id="1141458359">
      <w:bodyDiv w:val="1"/>
      <w:marLeft w:val="0"/>
      <w:marRight w:val="0"/>
      <w:marTop w:val="0"/>
      <w:marBottom w:val="0"/>
      <w:divBdr>
        <w:top w:val="none" w:sz="0" w:space="0" w:color="auto"/>
        <w:left w:val="none" w:sz="0" w:space="0" w:color="auto"/>
        <w:bottom w:val="none" w:sz="0" w:space="0" w:color="auto"/>
        <w:right w:val="none" w:sz="0" w:space="0" w:color="auto"/>
      </w:divBdr>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574700123">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1773473156">
      <w:bodyDiv w:val="1"/>
      <w:marLeft w:val="0"/>
      <w:marRight w:val="0"/>
      <w:marTop w:val="0"/>
      <w:marBottom w:val="0"/>
      <w:divBdr>
        <w:top w:val="none" w:sz="0" w:space="0" w:color="auto"/>
        <w:left w:val="none" w:sz="0" w:space="0" w:color="auto"/>
        <w:bottom w:val="none" w:sz="0" w:space="0" w:color="auto"/>
        <w:right w:val="none" w:sz="0" w:space="0" w:color="auto"/>
      </w:divBdr>
      <w:divsChild>
        <w:div w:id="1446196153">
          <w:marLeft w:val="0"/>
          <w:marRight w:val="0"/>
          <w:marTop w:val="0"/>
          <w:marBottom w:val="0"/>
          <w:divBdr>
            <w:top w:val="none" w:sz="0" w:space="0" w:color="auto"/>
            <w:left w:val="none" w:sz="0" w:space="0" w:color="auto"/>
            <w:bottom w:val="none" w:sz="0" w:space="0" w:color="auto"/>
            <w:right w:val="none" w:sz="0" w:space="0" w:color="auto"/>
          </w:divBdr>
        </w:div>
      </w:divsChild>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 w:id="213158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3" Type="http://schemas.openxmlformats.org/officeDocument/2006/relationships/hyperlink" Target="https://anbo-pcob.nl/nieuws/nieuwsberichten/voorstel-individueel-bezwaarrecht-behoeft-aanpassing/" TargetMode="External"/><Relationship Id="rId18" Type="http://schemas.openxmlformats.org/officeDocument/2006/relationships/hyperlink" Target="https://pensioenpro.nl/groothandelsfonds-geeft-deelnemers-individueel-instemmingsrecht/" TargetMode="External"/><Relationship Id="rId26" Type="http://schemas.openxmlformats.org/officeDocument/2006/relationships/hyperlink" Target="https://www.afm.nl/nl-nl/sector/pensioenuitvoerders/informeren-deelnemers/collectieve-waardeoverdracht" TargetMode="External"/><Relationship Id="rId39" Type="http://schemas.openxmlformats.org/officeDocument/2006/relationships/hyperlink" Target="https://www.tweedekamer.nl/kamerstukken/detail?id=2024D40165&amp;did=2024D40165" TargetMode="External"/><Relationship Id="rId21" Type="http://schemas.openxmlformats.org/officeDocument/2006/relationships/hyperlink" Target="https://www.afm.nl/nl-nl/sector/pensioenuitvoerders/informeren-deelnemers/collectieve-waardeoverdracht" TargetMode="External"/><Relationship Id="rId34" Type="http://schemas.openxmlformats.org/officeDocument/2006/relationships/hyperlink" Target="https://www.linkedin.com/posts/annelaning_wtp-referendum-invaren-activity-7290260791470043136-HGne" TargetMode="External"/><Relationship Id="rId42" Type="http://schemas.openxmlformats.org/officeDocument/2006/relationships/hyperlink" Target="https://www.raadvanstate.nl/adviezen/@127891/w12-21-0366-iii/" TargetMode="External"/><Relationship Id="rId7" Type="http://schemas.openxmlformats.org/officeDocument/2006/relationships/hyperlink" Target="https://www.pensioenbelangen.nl/nieuws/2381-brief-aan-tweede-kamer-der-staten-wet-toekomst-pensioenen-instemmingsrecht-bij-invaren" TargetMode="External"/><Relationship Id="rId2" Type="http://schemas.openxmlformats.org/officeDocument/2006/relationships/hyperlink" Target="https://open.overheid.nl/documenten/ronl-103d44c982dcf1a0cd1ab29f1ad7b48e5866e4a2/pdf" TargetMode="External"/><Relationship Id="rId16" Type="http://schemas.openxmlformats.org/officeDocument/2006/relationships/hyperlink" Target="https://www.dnb.nl/nieuws-voor-de-sector/toezicht-2024/transitienieuws-belangrijke-rol-fondsen-bij-keuze-om-niet-in-te-varen/" TargetMode="External"/><Relationship Id="rId20" Type="http://schemas.openxmlformats.org/officeDocument/2006/relationships/hyperlink" Target="https://www.afm.nl/~/profmedia/files/doelgroepen/pensioenuitvoerders/leidraad-informatieverstrekking-cwo.pdf?sc_lang=nl-nl&amp;hash=FA1563662669818B462F9C8496DAED95" TargetMode="External"/><Relationship Id="rId29" Type="http://schemas.openxmlformats.org/officeDocument/2006/relationships/hyperlink" Target="https://www.scp.nl/publicaties/publicaties/2024/09/03/burgerperspectieven-2024-bericht-2" TargetMode="External"/><Relationship Id="rId41" Type="http://schemas.openxmlformats.org/officeDocument/2006/relationships/hyperlink" Target="https://anbo-pcob.nl/nieuws/nieuwsberichten/voorstel-individueel-bezwaarrecht-behoeft-aanpassing/" TargetMode="External"/><Relationship Id="rId1" Type="http://schemas.openxmlformats.org/officeDocument/2006/relationships/hyperlink" Target="https://www.tweedekamer.nl/kamerstukken/detail?id=2024D40165&amp;did=2024D40165" TargetMode="External"/><Relationship Id="rId6" Type="http://schemas.openxmlformats.org/officeDocument/2006/relationships/hyperlink" Target="https://www.ftm.nl/artikelen/rechtspositie-van-mensen-stilaan-uitgehold-bij-overgang-naar-nieuwe-pensioenstelsel" TargetMode="External"/><Relationship Id="rId11" Type="http://schemas.openxmlformats.org/officeDocument/2006/relationships/hyperlink" Target="https://www.telegraaf.nl/watuzegt/282857524/nieuw-stelsel-te-risicovol" TargetMode="External"/><Relationship Id="rId24" Type="http://schemas.openxmlformats.org/officeDocument/2006/relationships/hyperlink" Target="https://www.cnv.nl/voeding/vlees-en-vis/nieuws/besluit-niet-invaren-pgb-pensioenen-plukon-naar-nieuw-pensioenstelsel-2025-02-11/" TargetMode="External"/><Relationship Id="rId32" Type="http://schemas.openxmlformats.org/officeDocument/2006/relationships/hyperlink" Target="https://www.rijksoverheid.nl/documenten/kamerstukken/2025/04/18/bijlage-advies-dnb-nader-gewijzigd-amendement-joseph-c-s" TargetMode="External"/><Relationship Id="rId37" Type="http://schemas.openxmlformats.org/officeDocument/2006/relationships/hyperlink" Target="https://anbo-pcob.nl/nieuws/nieuwsberichten/voorstel-individueel-bezwaarrecht-behoeft-aanpassing/" TargetMode="External"/><Relationship Id="rId40" Type="http://schemas.openxmlformats.org/officeDocument/2006/relationships/hyperlink" Target="https://open.overheid.nl/documenten/f64fea6e-c009-4f9f-8824-51f32d6452cc/file" TargetMode="External"/><Relationship Id="rId5" Type="http://schemas.openxmlformats.org/officeDocument/2006/relationships/hyperlink" Target="https://voorop.info/" TargetMode="External"/><Relationship Id="rId15" Type="http://schemas.openxmlformats.org/officeDocument/2006/relationships/hyperlink" Target="https://www.deltalloydpensioenfonds.nl/veelgestelde-vragen/veelgestelde-vragen-naar-aanleiding-van-de-online-bijeenkomst-op-14-oktober/" TargetMode="External"/><Relationship Id="rId23" Type="http://schemas.openxmlformats.org/officeDocument/2006/relationships/hyperlink" Target="https://pensioenpro.nl/voormalig-rbsers-kiezen-voor-flexibel-in-collectieve-kring/" TargetMode="External"/><Relationship Id="rId28" Type="http://schemas.openxmlformats.org/officeDocument/2006/relationships/hyperlink" Target="https://www.tweedekamer.nl/kamerstukken/detail?id=2024D40165&amp;did=2024D40165" TargetMode="External"/><Relationship Id="rId36" Type="http://schemas.openxmlformats.org/officeDocument/2006/relationships/hyperlink" Target="https://fd.nl/opinie/1543783/vast-of-variabel-geef-pensioenspaarders-die-keuze" TargetMode="External"/><Relationship Id="rId10" Type="http://schemas.openxmlformats.org/officeDocument/2006/relationships/hyperlink" Target="https://www.mejudice.nl/artikelen/detail/pensioenfondsdeelnemers-hebben-in-referendum-voorkeur-voor-het-ingroeien-van-pensioenrechten" TargetMode="External"/><Relationship Id="rId19" Type="http://schemas.openxmlformats.org/officeDocument/2006/relationships/hyperlink" Target="https://www.afm.nl/nl-nl/sector/pensioenuitvoerders/informeren-deelnemers/collectieve-waardeoverdracht" TargetMode="External"/><Relationship Id="rId31" Type="http://schemas.openxmlformats.org/officeDocument/2006/relationships/hyperlink" Target="https://www.rijksoverheid.nl/documenten/kamerstukken/2025/04/22/advies-afm-nader-gewijzigd-amendement-joseph-cs" TargetMode="External"/><Relationship Id="rId4" Type="http://schemas.openxmlformats.org/officeDocument/2006/relationships/hyperlink" Target="https://www.eerstekamer.nl/overig/20241108/hoorrecht_bij_het_stelselovergang_2/document" TargetMode="External"/><Relationship Id="rId9" Type="http://schemas.openxmlformats.org/officeDocument/2006/relationships/hyperlink" Target="https://www.nibud.nl/onderzoeksrapporten/rapport-pensioenpeiling-2024/" TargetMode="External"/><Relationship Id="rId14" Type="http://schemas.openxmlformats.org/officeDocument/2006/relationships/hyperlink" Target="https://www.dnb.nl/nieuws-voor-de-sector/toezicht-2023/transitienieuws-sectorbeeld-wtp-transitie-later-invaren-en-minder-gebruik-transitie-ftk/" TargetMode="External"/><Relationship Id="rId22" Type="http://schemas.openxmlformats.org/officeDocument/2006/relationships/hyperlink" Target="https://www.telegraaf.nl/financieel/1340102092/pensioenfondsen-beven-door-beursdrama-compensatie-bij-overgang-naar-nieuwe-stelsel-in-gevaar" TargetMode="External"/><Relationship Id="rId27" Type="http://schemas.openxmlformats.org/officeDocument/2006/relationships/hyperlink" Target="https://www.pensioenbelangen.nl/images/2023/20250122_Uit_255010_-_Brief_naar_Vaste_Cie_SZW_TK_-_Wet_toekomst_pensioenen_instemmingsrecht_bij_invaren.pdf" TargetMode="External"/><Relationship Id="rId30" Type="http://schemas.openxmlformats.org/officeDocument/2006/relationships/hyperlink" Target="https://www.rijksoverheid.nl/documenten/kamerstukken/2025/03/17/aanbiedingsbrief-zienswijzen-amendement-joseph-over-het-invoeren-van-een-goedkeuringsrecht-bij-interne-waardeoverdracht-van-pensioenen" TargetMode="External"/><Relationship Id="rId35" Type="http://schemas.openxmlformats.org/officeDocument/2006/relationships/hyperlink" Target="https://www.tweedekamer.nl/kamerstukken/detail?id=2024Z09990&amp;did=2024D23599" TargetMode="External"/><Relationship Id="rId8" Type="http://schemas.openxmlformats.org/officeDocument/2006/relationships/hyperlink" Target="https://anbo-pcob.nl/nieuws/nieuwsberichten/anbo-pcob-steunt-voorstel-voor-individueel-bezwaarrecht/" TargetMode="External"/><Relationship Id="rId3" Type="http://schemas.openxmlformats.org/officeDocument/2006/relationships/hyperlink" Target="https://www.tweedekamer.nl/kamerstukken/detail?id=2024D42883&amp;did=2024D42883" TargetMode="External"/><Relationship Id="rId12" Type="http://schemas.openxmlformats.org/officeDocument/2006/relationships/hyperlink" Target="https://www.pensioenbelangen.nl/nieuws/2381-brief-aan-tweede-kamer-der-staten-wet-toekomst-pensioenen-instemmingsrecht-bij-invaren" TargetMode="External"/><Relationship Id="rId17" Type="http://schemas.openxmlformats.org/officeDocument/2006/relationships/hyperlink" Target="https://www.dnb.nl/voor-de-sector/open-boek-toezicht/sectoren/pensioenfondsen/collectieve-waardeoverdracht/uitgangspunten-beoordeling-voornemen-tot-collectieve-waardeoverdracht-tussen-pensioenfondsen/" TargetMode="External"/><Relationship Id="rId25" Type="http://schemas.openxmlformats.org/officeDocument/2006/relationships/hyperlink" Target="https://www.dnb.nl/voor-de-sector/open-boek-toezicht/sectoren/pensioenfondsen/collectieve-waardeoverdracht/" TargetMode="External"/><Relationship Id="rId33" Type="http://schemas.openxmlformats.org/officeDocument/2006/relationships/hyperlink" Target="https://www.rijksoverheid.nl/documenten/kamerstukken/2025/05/09/kamerbrief-noodzakelijke-aanvullende-wetgeving-bij-amendement-joseph-cs" TargetMode="External"/><Relationship Id="rId38" Type="http://schemas.openxmlformats.org/officeDocument/2006/relationships/hyperlink" Target="https://cnvstorageprd.blob.core.windows.net/media/documents/Manifest_pensioenbeleid_voor_alle_generaties_p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7400</ap:Words>
  <ap:Characters>45130</ap:Characters>
  <ap:DocSecurity>0</ap:DocSecurity>
  <ap:Lines>376</ap:Lines>
  <ap:Paragraphs>104</ap:Paragraphs>
  <ap:ScaleCrop>false</ap:ScaleCrop>
  <ap:LinksUpToDate>false</ap:LinksUpToDate>
  <ap:CharactersWithSpaces>52426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2025-05-08T20:30:00.0000000Z</lastPrinted>
  <dcterms:created xsi:type="dcterms:W3CDTF">2025-05-13T09:14:00.0000000Z</dcterms:created>
  <dcterms:modified xsi:type="dcterms:W3CDTF">2025-05-13T09:14:00.0000000Z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