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6871" w:rsidR="00162609" w:rsidP="009958A8" w:rsidRDefault="0ABB47B1" w14:paraId="03C42AFB" w14:textId="6696E3C5">
      <w:pPr>
        <w:spacing w:after="0" w:line="276" w:lineRule="auto"/>
        <w:rPr>
          <w:rFonts w:eastAsiaTheme="minorEastAsia"/>
          <w:b/>
          <w:bCs/>
          <w:lang w:val="nl-NL"/>
        </w:rPr>
      </w:pPr>
      <w:r w:rsidRPr="00566871">
        <w:rPr>
          <w:rFonts w:eastAsiaTheme="minorEastAsia"/>
          <w:b/>
          <w:bCs/>
          <w:lang w:val="nl-NL"/>
        </w:rPr>
        <w:t xml:space="preserve">GEANNOTEERDE AGENDA RAAD BUITENLANDSE ZAKEN HANDEL VAN 15 MEI 2025 </w:t>
      </w:r>
    </w:p>
    <w:p w:rsidRPr="00566871" w:rsidR="00476AB9" w:rsidP="009958A8" w:rsidRDefault="00476AB9" w14:paraId="18128C0B" w14:textId="77777777">
      <w:pPr>
        <w:spacing w:after="0" w:line="276" w:lineRule="auto"/>
        <w:rPr>
          <w:rFonts w:eastAsiaTheme="minorEastAsia"/>
          <w:b/>
          <w:bCs/>
          <w:lang w:val="nl-NL"/>
        </w:rPr>
      </w:pPr>
    </w:p>
    <w:p w:rsidRPr="00566871" w:rsidR="00162609" w:rsidP="009958A8" w:rsidRDefault="0ABB47B1" w14:paraId="17B18147" w14:textId="0BDB03F4">
      <w:pPr>
        <w:spacing w:after="0" w:line="276" w:lineRule="auto"/>
        <w:rPr>
          <w:rFonts w:eastAsiaTheme="minorEastAsia"/>
          <w:b/>
          <w:bCs/>
          <w:lang w:val="nl-NL"/>
        </w:rPr>
      </w:pPr>
      <w:r w:rsidRPr="00566871">
        <w:rPr>
          <w:rFonts w:eastAsiaTheme="minorEastAsia"/>
          <w:b/>
          <w:bCs/>
          <w:lang w:val="nl-NL"/>
        </w:rPr>
        <w:t>Introductie</w:t>
      </w:r>
    </w:p>
    <w:p w:rsidRPr="00566871" w:rsidR="00CC6DE1" w:rsidP="009958A8" w:rsidRDefault="0ABB47B1" w14:paraId="1B48BFFA" w14:textId="25BD1B9A">
      <w:pPr>
        <w:spacing w:after="0" w:line="276" w:lineRule="auto"/>
        <w:rPr>
          <w:rFonts w:eastAsiaTheme="minorEastAsia"/>
          <w:lang w:val="nl-NL"/>
        </w:rPr>
      </w:pPr>
      <w:r w:rsidRPr="00566871">
        <w:rPr>
          <w:rFonts w:eastAsiaTheme="minorEastAsia"/>
          <w:lang w:val="nl-NL"/>
        </w:rPr>
        <w:t>Op donderdag 15 mei a.s. vindt, onder Pools voorzitterschap, de Raad Buitenlandse Zaken (RBZ) Handel plaats in Brussel. Tijdens de plenaire vergadering van de Raad zal worden gesproken over de handelsbetrekkingen tussen de Europese Unie (EU) en de Verenigde Staten (VS) en over economische veiligheid. Tijdens de lunch zal van gedachten worden gewisseld over de stand van zaken wat betreft de onderhandelingen met derde landen over (handels-)akkoorden.</w:t>
      </w:r>
    </w:p>
    <w:p w:rsidRPr="00566871" w:rsidR="00062C2B" w:rsidP="009958A8" w:rsidRDefault="0ABB47B1" w14:paraId="20949760" w14:textId="6648A57F">
      <w:pPr>
        <w:spacing w:after="0" w:line="276" w:lineRule="auto"/>
        <w:rPr>
          <w:rFonts w:eastAsiaTheme="minorEastAsia"/>
          <w:lang w:val="nl-NL"/>
        </w:rPr>
      </w:pPr>
      <w:r w:rsidRPr="00566871">
        <w:rPr>
          <w:rFonts w:eastAsiaTheme="minorEastAsia"/>
          <w:lang w:val="nl-NL"/>
        </w:rPr>
        <w:t>Na een annotatie van de verschillende onderwerpen op de agenda van de RBZ handel wordt onder het kopje overig hieronder ingegaan op een aantal aan de RBZ handel gerelateerde onderwerpen (stand van zaken beleidsbrief; implementatie CSDDD; uitvoering motie De Korte-Ceder).</w:t>
      </w:r>
    </w:p>
    <w:p w:rsidRPr="00566871" w:rsidR="00476AB9" w:rsidP="009958A8" w:rsidRDefault="00476AB9" w14:paraId="1C26B841" w14:textId="77777777">
      <w:pPr>
        <w:spacing w:after="0" w:line="276" w:lineRule="auto"/>
        <w:rPr>
          <w:rFonts w:eastAsiaTheme="minorEastAsia"/>
          <w:lang w:val="nl-NL"/>
        </w:rPr>
      </w:pPr>
    </w:p>
    <w:p w:rsidRPr="00566871" w:rsidR="00162609" w:rsidP="009958A8" w:rsidRDefault="0ABB47B1" w14:paraId="575B71DC" w14:textId="452FC0BF">
      <w:pPr>
        <w:spacing w:after="0" w:line="276" w:lineRule="auto"/>
        <w:rPr>
          <w:rFonts w:eastAsiaTheme="minorEastAsia"/>
          <w:lang w:val="nl-NL"/>
        </w:rPr>
      </w:pPr>
      <w:bookmarkStart w:name="_Hlk196921926" w:id="0"/>
      <w:r w:rsidRPr="00566871">
        <w:rPr>
          <w:rFonts w:eastAsiaTheme="minorEastAsia"/>
          <w:b/>
          <w:bCs/>
          <w:lang w:val="nl-NL"/>
        </w:rPr>
        <w:t>Handelsbetrekkingen met de VS</w:t>
      </w:r>
    </w:p>
    <w:p w:rsidRPr="00566871" w:rsidR="001D60B3" w:rsidP="009958A8" w:rsidRDefault="0ABB47B1" w14:paraId="53776BB4" w14:textId="5C0C25D7">
      <w:pPr>
        <w:spacing w:after="0" w:line="276" w:lineRule="auto"/>
        <w:rPr>
          <w:rFonts w:eastAsiaTheme="minorEastAsia"/>
          <w:lang w:val="nl-NL"/>
        </w:rPr>
      </w:pPr>
      <w:r w:rsidRPr="00566871">
        <w:rPr>
          <w:rFonts w:eastAsiaTheme="minorEastAsia"/>
          <w:lang w:val="nl-NL"/>
        </w:rPr>
        <w:t>De Raad zal spreken over de handelsbetrekkingen met de VS in de context van de oplopende handelsspanningen als gevolg van de Amerikaanse importheffingen. Op dit moment hanteert de VS als uitgangspunt voor (bijna) alle handelspartners een extra importheffing. Deze is momenteel voor de meeste handelspartners, waaronder de EU, 10 procent. De eerder aangekondigde nog hogere landen-specifieke importheffingen (voor de EU: 20</w:t>
      </w:r>
      <w:r w:rsidR="00DB7D8E">
        <w:rPr>
          <w:rFonts w:eastAsiaTheme="minorEastAsia"/>
          <w:lang w:val="nl-NL"/>
        </w:rPr>
        <w:t xml:space="preserve"> procent</w:t>
      </w:r>
      <w:r w:rsidRPr="00566871">
        <w:rPr>
          <w:rFonts w:eastAsiaTheme="minorEastAsia"/>
          <w:lang w:val="nl-NL"/>
        </w:rPr>
        <w:t xml:space="preserve">) zijn opgeschort tot half juli, behoudens voor China. </w:t>
      </w:r>
    </w:p>
    <w:p w:rsidRPr="00566871" w:rsidR="005A45B3" w:rsidP="009958A8" w:rsidRDefault="0ABB47B1" w14:paraId="074651DD" w14:textId="7808DAB0">
      <w:pPr>
        <w:spacing w:after="0" w:line="276" w:lineRule="auto"/>
        <w:rPr>
          <w:rFonts w:eastAsiaTheme="minorEastAsia"/>
          <w:lang w:val="nl-NL"/>
        </w:rPr>
      </w:pPr>
      <w:r w:rsidRPr="00566871">
        <w:rPr>
          <w:rFonts w:eastAsiaTheme="minorEastAsia"/>
          <w:lang w:val="nl-NL"/>
        </w:rPr>
        <w:t xml:space="preserve">Een aantal substantiële productcategorieën is uitgezonderd van de landen-specifieke </w:t>
      </w:r>
      <w:r w:rsidRPr="009958A8" w:rsidR="004420A2">
        <w:rPr>
          <w:rFonts w:eastAsiaTheme="minorEastAsia"/>
          <w:lang w:val="nl-NL"/>
        </w:rPr>
        <w:t>importheffingen</w:t>
      </w:r>
      <w:r w:rsidRPr="009958A8">
        <w:rPr>
          <w:rFonts w:eastAsiaTheme="minorEastAsia"/>
          <w:lang w:val="nl-NL"/>
        </w:rPr>
        <w:t>.</w:t>
      </w:r>
      <w:r w:rsidRPr="00566871">
        <w:rPr>
          <w:rFonts w:eastAsiaTheme="minorEastAsia"/>
          <w:lang w:val="nl-NL"/>
        </w:rPr>
        <w:t xml:space="preserve"> Het betreft onder andere auto’s, auto-onderdelen en metalen (waaronder staal) waarvoor een universeel </w:t>
      </w:r>
      <w:r w:rsidRPr="009958A8">
        <w:rPr>
          <w:rFonts w:eastAsiaTheme="minorEastAsia"/>
          <w:lang w:val="nl-NL"/>
        </w:rPr>
        <w:t>extra</w:t>
      </w:r>
      <w:r w:rsidRPr="009958A8" w:rsidR="007D6D9C">
        <w:rPr>
          <w:rFonts w:eastAsiaTheme="minorEastAsia"/>
          <w:lang w:val="nl-NL"/>
        </w:rPr>
        <w:t xml:space="preserve"> heffing</w:t>
      </w:r>
      <w:r w:rsidRPr="009958A8">
        <w:rPr>
          <w:rFonts w:eastAsiaTheme="minorEastAsia"/>
          <w:lang w:val="nl-NL"/>
        </w:rPr>
        <w:t xml:space="preserve"> van</w:t>
      </w:r>
      <w:r w:rsidRPr="00566871">
        <w:rPr>
          <w:rFonts w:eastAsiaTheme="minorEastAsia"/>
          <w:lang w:val="nl-NL"/>
        </w:rPr>
        <w:t xml:space="preserve"> 25</w:t>
      </w:r>
      <w:r w:rsidR="00DB7D8E">
        <w:rPr>
          <w:rFonts w:eastAsiaTheme="minorEastAsia"/>
          <w:lang w:val="nl-NL"/>
        </w:rPr>
        <w:t xml:space="preserve"> procent</w:t>
      </w:r>
      <w:r w:rsidRPr="00566871">
        <w:rPr>
          <w:rFonts w:eastAsiaTheme="minorEastAsia"/>
          <w:lang w:val="nl-NL"/>
        </w:rPr>
        <w:t xml:space="preserve"> geldt. Daarnaast worden er mogelijk al op korte termijn aanvullende heffingen aangekondigd op andere productcategorieën, waaronder farmaceutische goederen, halfgeleiders</w:t>
      </w:r>
      <w:r w:rsidRPr="00566871">
        <w:rPr>
          <w:rFonts w:eastAsiaTheme="minorEastAsia"/>
          <w:i/>
          <w:iCs/>
          <w:lang w:val="nl-NL"/>
        </w:rPr>
        <w:t xml:space="preserve"> </w:t>
      </w:r>
      <w:r w:rsidRPr="00566871">
        <w:rPr>
          <w:rFonts w:eastAsiaTheme="minorEastAsia"/>
          <w:lang w:val="nl-NL"/>
        </w:rPr>
        <w:t>en kritieke mineralen.</w:t>
      </w:r>
    </w:p>
    <w:p w:rsidRPr="00566871" w:rsidR="005A45B3" w:rsidP="009958A8" w:rsidRDefault="005A45B3" w14:paraId="563697C1" w14:textId="77777777">
      <w:pPr>
        <w:spacing w:after="0" w:line="276" w:lineRule="auto"/>
        <w:rPr>
          <w:rFonts w:eastAsiaTheme="minorEastAsia"/>
          <w:lang w:val="nl-NL"/>
        </w:rPr>
      </w:pPr>
    </w:p>
    <w:p w:rsidRPr="00566871" w:rsidR="00A31F23" w:rsidP="009958A8" w:rsidRDefault="00746690" w14:paraId="327DF094" w14:textId="3B8B832C">
      <w:pPr>
        <w:spacing w:after="0" w:line="276" w:lineRule="auto"/>
        <w:rPr>
          <w:rFonts w:eastAsiaTheme="minorEastAsia"/>
          <w:lang w:val="nl-NL"/>
        </w:rPr>
      </w:pPr>
      <w:r w:rsidRPr="00566871">
        <w:rPr>
          <w:rFonts w:eastAsiaTheme="minorEastAsia"/>
          <w:lang w:val="nl-NL"/>
        </w:rPr>
        <w:t>Deze heffingen en de onzekerheid die ermee gepaard gaat</w:t>
      </w:r>
      <w:r w:rsidRPr="00566871" w:rsidR="00584DDB">
        <w:rPr>
          <w:rFonts w:eastAsiaTheme="minorEastAsia"/>
          <w:lang w:val="nl-NL"/>
        </w:rPr>
        <w:t xml:space="preserve"> zijn</w:t>
      </w:r>
      <w:r w:rsidRPr="00566871">
        <w:rPr>
          <w:rFonts w:eastAsiaTheme="minorEastAsia"/>
          <w:lang w:val="nl-NL"/>
        </w:rPr>
        <w:t xml:space="preserve"> ongunstig voor de Nederlandse en de Europese economie</w:t>
      </w:r>
      <w:r w:rsidRPr="00566871" w:rsidR="006B2369">
        <w:rPr>
          <w:rFonts w:eastAsiaTheme="minorEastAsia"/>
          <w:lang w:val="nl-NL"/>
        </w:rPr>
        <w:t xml:space="preserve"> (zie ook hieronder onder kopje “overig” voor recente CPB-studie)</w:t>
      </w:r>
      <w:r w:rsidRPr="00566871">
        <w:rPr>
          <w:rFonts w:eastAsiaTheme="minorEastAsia"/>
          <w:lang w:val="nl-NL"/>
        </w:rPr>
        <w:t>.</w:t>
      </w:r>
      <w:r w:rsidRPr="00566871" w:rsidR="00353098">
        <w:rPr>
          <w:rFonts w:eastAsiaTheme="minorEastAsia"/>
          <w:lang w:val="nl-NL"/>
        </w:rPr>
        <w:t xml:space="preserve"> </w:t>
      </w:r>
      <w:r w:rsidRPr="00566871">
        <w:rPr>
          <w:rFonts w:eastAsiaTheme="minorEastAsia"/>
          <w:lang w:val="nl-NL"/>
        </w:rPr>
        <w:t>Nederland steunt dan ook de inzet van de Europese Commissie</w:t>
      </w:r>
      <w:r w:rsidRPr="00566871" w:rsidR="00584DDB">
        <w:rPr>
          <w:rFonts w:eastAsiaTheme="minorEastAsia"/>
          <w:lang w:val="nl-NL"/>
        </w:rPr>
        <w:t xml:space="preserve"> om de </w:t>
      </w:r>
      <w:r w:rsidRPr="00566871" w:rsidR="000B296F">
        <w:rPr>
          <w:rFonts w:eastAsiaTheme="minorEastAsia"/>
          <w:lang w:val="nl-NL"/>
        </w:rPr>
        <w:t xml:space="preserve">dialoog met de VS op </w:t>
      </w:r>
      <w:r w:rsidRPr="00566871" w:rsidR="00584DDB">
        <w:rPr>
          <w:rFonts w:eastAsiaTheme="minorEastAsia"/>
          <w:lang w:val="nl-NL"/>
        </w:rPr>
        <w:t xml:space="preserve">te </w:t>
      </w:r>
      <w:r w:rsidRPr="00566871" w:rsidR="006B2369">
        <w:rPr>
          <w:rFonts w:eastAsiaTheme="minorEastAsia"/>
          <w:lang w:val="nl-NL"/>
        </w:rPr>
        <w:t xml:space="preserve">blijven </w:t>
      </w:r>
      <w:r w:rsidRPr="00566871" w:rsidR="000B296F">
        <w:rPr>
          <w:rFonts w:eastAsiaTheme="minorEastAsia"/>
          <w:lang w:val="nl-NL"/>
        </w:rPr>
        <w:t xml:space="preserve">zoeken </w:t>
      </w:r>
      <w:r w:rsidRPr="00566871" w:rsidR="006B2369">
        <w:rPr>
          <w:rFonts w:eastAsiaTheme="minorEastAsia"/>
          <w:lang w:val="nl-NL"/>
        </w:rPr>
        <w:t xml:space="preserve">met als doel </w:t>
      </w:r>
      <w:r w:rsidRPr="00566871" w:rsidR="000B296F">
        <w:rPr>
          <w:rFonts w:eastAsiaTheme="minorEastAsia"/>
          <w:lang w:val="nl-NL"/>
        </w:rPr>
        <w:t xml:space="preserve">om </w:t>
      </w:r>
      <w:r w:rsidRPr="00566871" w:rsidR="00584DDB">
        <w:rPr>
          <w:rFonts w:eastAsiaTheme="minorEastAsia"/>
          <w:lang w:val="nl-NL"/>
        </w:rPr>
        <w:t xml:space="preserve">de </w:t>
      </w:r>
      <w:r w:rsidRPr="00566871" w:rsidR="006B2369">
        <w:rPr>
          <w:rFonts w:eastAsiaTheme="minorEastAsia"/>
          <w:lang w:val="nl-NL"/>
        </w:rPr>
        <w:t xml:space="preserve">Amerikaanse </w:t>
      </w:r>
      <w:r w:rsidRPr="009958A8" w:rsidR="004420A2">
        <w:rPr>
          <w:rFonts w:eastAsiaTheme="minorEastAsia"/>
          <w:lang w:val="nl-NL"/>
        </w:rPr>
        <w:t xml:space="preserve">importheffingen </w:t>
      </w:r>
      <w:r w:rsidRPr="009958A8" w:rsidR="00584DDB">
        <w:rPr>
          <w:rFonts w:eastAsiaTheme="minorEastAsia"/>
          <w:lang w:val="nl-NL"/>
        </w:rPr>
        <w:t>van tafel</w:t>
      </w:r>
      <w:r w:rsidRPr="00566871" w:rsidR="00584DDB">
        <w:rPr>
          <w:rFonts w:eastAsiaTheme="minorEastAsia"/>
          <w:lang w:val="nl-NL"/>
        </w:rPr>
        <w:t xml:space="preserve"> te krijgen. Wat betreft het kabinet zijn daarbij met name de volgende vier sporen van belang. Ten eerste moet gewerkt worden aan een positieve agenda met de VS, waarbij gekeken dient te worden welke kansen er zijn om samen te werken met de VS en bilaterale handel </w:t>
      </w:r>
      <w:r w:rsidRPr="00566871" w:rsidR="006B2369">
        <w:rPr>
          <w:rFonts w:eastAsiaTheme="minorEastAsia"/>
          <w:lang w:val="nl-NL"/>
        </w:rPr>
        <w:t xml:space="preserve">verder </w:t>
      </w:r>
      <w:r w:rsidRPr="00566871" w:rsidR="00584DDB">
        <w:rPr>
          <w:rFonts w:eastAsiaTheme="minorEastAsia"/>
          <w:lang w:val="nl-NL"/>
        </w:rPr>
        <w:t xml:space="preserve">te </w:t>
      </w:r>
      <w:r w:rsidRPr="00566871" w:rsidR="006B2369">
        <w:rPr>
          <w:rFonts w:eastAsiaTheme="minorEastAsia"/>
          <w:lang w:val="nl-NL"/>
        </w:rPr>
        <w:t>faciliter</w:t>
      </w:r>
      <w:r w:rsidRPr="00566871" w:rsidR="00584DDB">
        <w:rPr>
          <w:rFonts w:eastAsiaTheme="minorEastAsia"/>
          <w:lang w:val="nl-NL"/>
        </w:rPr>
        <w:t xml:space="preserve">en. </w:t>
      </w:r>
      <w:r w:rsidRPr="00566871" w:rsidR="000858DE">
        <w:rPr>
          <w:rFonts w:eastAsiaTheme="minorEastAsia"/>
          <w:lang w:val="nl-NL"/>
        </w:rPr>
        <w:t xml:space="preserve">Het kabinet </w:t>
      </w:r>
      <w:r w:rsidRPr="00566871" w:rsidR="00184DE2">
        <w:rPr>
          <w:rFonts w:eastAsiaTheme="minorEastAsia"/>
          <w:lang w:val="nl-NL"/>
        </w:rPr>
        <w:t xml:space="preserve">steunt het voorstel van de Commissie om een akkoord te sluiten met wederzijds </w:t>
      </w:r>
      <w:r w:rsidRPr="00566871" w:rsidR="00885072">
        <w:rPr>
          <w:rFonts w:eastAsiaTheme="minorEastAsia"/>
          <w:lang w:val="nl-NL"/>
        </w:rPr>
        <w:t>nul procent</w:t>
      </w:r>
      <w:r w:rsidRPr="00566871" w:rsidR="000858DE">
        <w:rPr>
          <w:rFonts w:eastAsiaTheme="minorEastAsia"/>
          <w:lang w:val="nl-NL"/>
        </w:rPr>
        <w:t>-</w:t>
      </w:r>
      <w:r w:rsidRPr="009958A8" w:rsidR="004420A2">
        <w:rPr>
          <w:rFonts w:eastAsiaTheme="minorEastAsia"/>
          <w:lang w:val="nl-NL"/>
        </w:rPr>
        <w:t xml:space="preserve">heffingen </w:t>
      </w:r>
      <w:r w:rsidRPr="009958A8" w:rsidR="00184DE2">
        <w:rPr>
          <w:rFonts w:eastAsiaTheme="minorEastAsia"/>
          <w:lang w:val="nl-NL"/>
        </w:rPr>
        <w:t>op</w:t>
      </w:r>
      <w:r w:rsidRPr="00566871" w:rsidR="00184DE2">
        <w:rPr>
          <w:rFonts w:eastAsiaTheme="minorEastAsia"/>
          <w:lang w:val="nl-NL"/>
        </w:rPr>
        <w:t xml:space="preserve"> industriële goederen</w:t>
      </w:r>
      <w:r w:rsidRPr="00566871" w:rsidR="006B2369">
        <w:rPr>
          <w:rFonts w:eastAsiaTheme="minorEastAsia"/>
          <w:lang w:val="nl-NL"/>
        </w:rPr>
        <w:t>. Daarmee wordt</w:t>
      </w:r>
      <w:r w:rsidRPr="00566871" w:rsidR="005A45B3">
        <w:rPr>
          <w:rFonts w:eastAsiaTheme="minorEastAsia"/>
          <w:lang w:val="nl-NL"/>
        </w:rPr>
        <w:t xml:space="preserve"> ook </w:t>
      </w:r>
      <w:r w:rsidRPr="00566871" w:rsidR="000858DE">
        <w:rPr>
          <w:rFonts w:eastAsiaTheme="minorEastAsia"/>
          <w:lang w:val="nl-NL"/>
        </w:rPr>
        <w:t>uitvoering gegeven aan de motie-Bamenga.</w:t>
      </w:r>
      <w:r w:rsidRPr="00566871" w:rsidR="000858DE">
        <w:rPr>
          <w:rStyle w:val="FootnoteReference"/>
          <w:rFonts w:eastAsiaTheme="minorEastAsia"/>
          <w:lang w:val="nl-NL"/>
        </w:rPr>
        <w:footnoteReference w:id="2"/>
      </w:r>
      <w:r w:rsidRPr="00566871" w:rsidR="00184DE2">
        <w:rPr>
          <w:rFonts w:eastAsiaTheme="minorEastAsia"/>
          <w:lang w:val="nl-NL"/>
        </w:rPr>
        <w:t xml:space="preserve"> Ten tweede dient ingezet te worden op een reactief spoor waarbij de EU bereid moet zijn tegenmaatregelen te nemen indien onderhandelingen met de VS niet tot een aanvaardbaar resultaat leiden. </w:t>
      </w:r>
      <w:r w:rsidRPr="00566871" w:rsidR="006B2369">
        <w:rPr>
          <w:rFonts w:eastAsiaTheme="minorEastAsia"/>
          <w:lang w:val="nl-NL"/>
        </w:rPr>
        <w:t xml:space="preserve">Deze tegenmaatregelen versterken bovendien de onderhandelingspositie van de EU in het eerste spoor. </w:t>
      </w:r>
      <w:r w:rsidRPr="00566871" w:rsidR="00184DE2">
        <w:rPr>
          <w:rFonts w:eastAsiaTheme="minorEastAsia"/>
          <w:lang w:val="nl-NL"/>
        </w:rPr>
        <w:t xml:space="preserve">Ten derde pleit het kabinet voor internationale samenwerking waarbij de EU als groot handelsblok een voortrekkersrol dient te spelen in het beschermen van de op regels gebaseerde internationale handelsorde. Deze inzet is ook belangrijk om de handelsstromen van de EU te </w:t>
      </w:r>
      <w:r w:rsidRPr="00566871" w:rsidR="0006156C">
        <w:rPr>
          <w:rFonts w:eastAsiaTheme="minorEastAsia"/>
          <w:lang w:val="nl-NL"/>
        </w:rPr>
        <w:t>diversifiëren</w:t>
      </w:r>
      <w:r w:rsidRPr="00566871" w:rsidR="00C4255C">
        <w:rPr>
          <w:rFonts w:eastAsiaTheme="minorEastAsia"/>
          <w:lang w:val="nl-NL"/>
        </w:rPr>
        <w:t>, waarbij ook nieuwe handelsakkoorden een belangrijke rol kunnen spelen</w:t>
      </w:r>
      <w:r w:rsidRPr="00566871" w:rsidR="00184DE2">
        <w:rPr>
          <w:rFonts w:eastAsiaTheme="minorEastAsia"/>
          <w:lang w:val="nl-NL"/>
        </w:rPr>
        <w:t>. Ten slotte pleit het kabinet in EU verband voor het versterken van</w:t>
      </w:r>
      <w:r w:rsidRPr="00566871" w:rsidR="00116983">
        <w:rPr>
          <w:rFonts w:eastAsiaTheme="minorEastAsia"/>
          <w:lang w:val="nl-NL"/>
        </w:rPr>
        <w:t xml:space="preserve"> het concurrentievermogen, waaronder via</w:t>
      </w:r>
      <w:r w:rsidR="0034353C">
        <w:rPr>
          <w:rFonts w:eastAsiaTheme="minorEastAsia"/>
          <w:lang w:val="nl-NL"/>
        </w:rPr>
        <w:t xml:space="preserve"> het</w:t>
      </w:r>
      <w:r w:rsidRPr="00566871" w:rsidR="00116983">
        <w:rPr>
          <w:rFonts w:eastAsiaTheme="minorEastAsia"/>
          <w:lang w:val="nl-NL"/>
        </w:rPr>
        <w:t xml:space="preserve"> versterken </w:t>
      </w:r>
      <w:r w:rsidRPr="009958A8" w:rsidR="00116983">
        <w:rPr>
          <w:rFonts w:eastAsiaTheme="minorEastAsia"/>
          <w:lang w:val="nl-NL"/>
        </w:rPr>
        <w:t>van</w:t>
      </w:r>
      <w:r w:rsidRPr="009958A8" w:rsidR="00184DE2">
        <w:rPr>
          <w:rFonts w:eastAsiaTheme="minorEastAsia"/>
          <w:lang w:val="nl-NL"/>
        </w:rPr>
        <w:t xml:space="preserve"> de EU interne markt</w:t>
      </w:r>
      <w:r w:rsidRPr="009958A8" w:rsidR="00116983">
        <w:rPr>
          <w:rFonts w:eastAsiaTheme="minorEastAsia"/>
          <w:lang w:val="nl-NL"/>
        </w:rPr>
        <w:t xml:space="preserve"> en kapitaalmarktunie</w:t>
      </w:r>
      <w:r w:rsidRPr="009958A8" w:rsidR="00184DE2">
        <w:rPr>
          <w:rFonts w:eastAsiaTheme="minorEastAsia"/>
          <w:lang w:val="nl-NL"/>
        </w:rPr>
        <w:t>, wat in de</w:t>
      </w:r>
      <w:r w:rsidRPr="009958A8" w:rsidR="006B2369">
        <w:rPr>
          <w:rFonts w:eastAsiaTheme="minorEastAsia"/>
          <w:lang w:val="nl-NL"/>
        </w:rPr>
        <w:t xml:space="preserve"> huidige</w:t>
      </w:r>
      <w:r w:rsidRPr="009958A8" w:rsidR="00184DE2">
        <w:rPr>
          <w:rFonts w:eastAsiaTheme="minorEastAsia"/>
          <w:lang w:val="nl-NL"/>
        </w:rPr>
        <w:t xml:space="preserve"> context des te urgenter is.</w:t>
      </w:r>
      <w:r w:rsidRPr="009958A8" w:rsidR="0034353C">
        <w:rPr>
          <w:rFonts w:eastAsiaTheme="minorEastAsia"/>
          <w:lang w:val="nl-NL"/>
        </w:rPr>
        <w:t xml:space="preserve"> Daarnaast </w:t>
      </w:r>
      <w:r w:rsidRPr="009958A8" w:rsidR="00962D12">
        <w:rPr>
          <w:rFonts w:eastAsiaTheme="minorEastAsia"/>
          <w:lang w:val="nl-NL"/>
        </w:rPr>
        <w:t>roept</w:t>
      </w:r>
      <w:r w:rsidRPr="009958A8" w:rsidR="0034353C">
        <w:rPr>
          <w:rFonts w:eastAsiaTheme="minorEastAsia"/>
          <w:lang w:val="nl-NL"/>
        </w:rPr>
        <w:t xml:space="preserve"> het kabinet op </w:t>
      </w:r>
      <w:r w:rsidRPr="009958A8" w:rsidR="00962D12">
        <w:rPr>
          <w:rFonts w:eastAsiaTheme="minorEastAsia"/>
          <w:lang w:val="nl-NL"/>
        </w:rPr>
        <w:t>om bestaande handelsbelemmeringen tussen</w:t>
      </w:r>
      <w:r w:rsidRPr="009958A8" w:rsidR="0034353C">
        <w:rPr>
          <w:rFonts w:eastAsiaTheme="minorEastAsia"/>
          <w:lang w:val="nl-NL"/>
        </w:rPr>
        <w:t xml:space="preserve"> EU</w:t>
      </w:r>
      <w:r w:rsidRPr="009958A8" w:rsidR="00962D12">
        <w:rPr>
          <w:rFonts w:eastAsiaTheme="minorEastAsia"/>
          <w:lang w:val="nl-NL"/>
        </w:rPr>
        <w:t xml:space="preserve">-landen </w:t>
      </w:r>
      <w:r w:rsidRPr="009958A8" w:rsidR="001A02E0">
        <w:rPr>
          <w:rFonts w:eastAsiaTheme="minorEastAsia"/>
          <w:lang w:val="nl-NL"/>
        </w:rPr>
        <w:t>te adresseren</w:t>
      </w:r>
      <w:r w:rsidRPr="009958A8" w:rsidR="00962D12">
        <w:rPr>
          <w:rFonts w:eastAsiaTheme="minorEastAsia"/>
          <w:lang w:val="nl-NL"/>
        </w:rPr>
        <w:t xml:space="preserve"> </w:t>
      </w:r>
      <w:r w:rsidRPr="009958A8" w:rsidR="00FA6128">
        <w:rPr>
          <w:rFonts w:eastAsiaTheme="minorEastAsia"/>
          <w:lang w:val="nl-NL"/>
        </w:rPr>
        <w:t>en daarmee</w:t>
      </w:r>
      <w:r w:rsidRPr="009958A8" w:rsidR="00962D12">
        <w:rPr>
          <w:rFonts w:eastAsiaTheme="minorEastAsia"/>
          <w:lang w:val="nl-NL"/>
        </w:rPr>
        <w:t xml:space="preserve"> </w:t>
      </w:r>
      <w:r w:rsidRPr="009958A8" w:rsidR="00FA6128">
        <w:rPr>
          <w:rFonts w:eastAsiaTheme="minorEastAsia"/>
          <w:lang w:val="nl-NL"/>
        </w:rPr>
        <w:t>de</w:t>
      </w:r>
      <w:r w:rsidRPr="009958A8" w:rsidR="00962D12">
        <w:rPr>
          <w:rFonts w:eastAsiaTheme="minorEastAsia"/>
          <w:lang w:val="nl-NL"/>
        </w:rPr>
        <w:t xml:space="preserve"> EU</w:t>
      </w:r>
      <w:r w:rsidRPr="009958A8" w:rsidR="0034353C">
        <w:rPr>
          <w:rFonts w:eastAsiaTheme="minorEastAsia"/>
          <w:lang w:val="nl-NL"/>
        </w:rPr>
        <w:t xml:space="preserve"> interne </w:t>
      </w:r>
      <w:r w:rsidRPr="009958A8" w:rsidR="00962D12">
        <w:rPr>
          <w:rFonts w:eastAsiaTheme="minorEastAsia"/>
          <w:lang w:val="nl-NL"/>
        </w:rPr>
        <w:t>markt te verdiepen, conform</w:t>
      </w:r>
      <w:r w:rsidRPr="009958A8" w:rsidR="0034353C">
        <w:rPr>
          <w:rFonts w:eastAsiaTheme="minorEastAsia"/>
          <w:lang w:val="nl-NL"/>
        </w:rPr>
        <w:t xml:space="preserve"> de rapporten van Letta</w:t>
      </w:r>
      <w:r w:rsidRPr="009958A8" w:rsidR="0034353C">
        <w:rPr>
          <w:rStyle w:val="FootnoteReference"/>
          <w:rFonts w:eastAsiaTheme="minorEastAsia"/>
          <w:lang w:val="nl-NL"/>
        </w:rPr>
        <w:footnoteReference w:id="3"/>
      </w:r>
      <w:r w:rsidRPr="009958A8" w:rsidR="0034353C">
        <w:rPr>
          <w:rFonts w:eastAsiaTheme="minorEastAsia"/>
          <w:lang w:val="nl-NL"/>
        </w:rPr>
        <w:t xml:space="preserve"> en Draghi</w:t>
      </w:r>
      <w:r w:rsidRPr="009958A8" w:rsidR="0034353C">
        <w:rPr>
          <w:rStyle w:val="FootnoteReference"/>
          <w:rFonts w:eastAsiaTheme="minorEastAsia"/>
          <w:lang w:val="nl-NL"/>
        </w:rPr>
        <w:footnoteReference w:id="4"/>
      </w:r>
      <w:r w:rsidRPr="009958A8" w:rsidR="0034353C">
        <w:rPr>
          <w:rFonts w:eastAsiaTheme="minorEastAsia"/>
          <w:lang w:val="nl-NL"/>
        </w:rPr>
        <w:t xml:space="preserve">. </w:t>
      </w:r>
      <w:r w:rsidRPr="00566871" w:rsidR="00184DE2">
        <w:rPr>
          <w:rFonts w:eastAsiaTheme="minorEastAsia"/>
          <w:lang w:val="nl-NL"/>
        </w:rPr>
        <w:t>Voor al deze elementen geldt dat EU eenheid cruciaal is voor een succesvolle aanpak.</w:t>
      </w:r>
      <w:bookmarkEnd w:id="0"/>
      <w:r w:rsidRPr="00566871" w:rsidR="00F95363">
        <w:rPr>
          <w:rFonts w:eastAsia="Calibri" w:cs="Calibri"/>
          <w:lang w:val="nl-NL"/>
        </w:rPr>
        <w:br/>
      </w:r>
    </w:p>
    <w:p w:rsidRPr="00566871" w:rsidR="00C72F8D" w:rsidP="009958A8" w:rsidRDefault="0ABB47B1" w14:paraId="58DDEC26" w14:textId="6BEC791A">
      <w:pPr>
        <w:spacing w:after="0" w:line="276" w:lineRule="auto"/>
        <w:rPr>
          <w:rFonts w:eastAsiaTheme="minorEastAsia"/>
          <w:b/>
          <w:bCs/>
          <w:color w:val="FF0000"/>
          <w:lang w:val="nl-NL"/>
        </w:rPr>
      </w:pPr>
      <w:r w:rsidRPr="00566871">
        <w:rPr>
          <w:rFonts w:eastAsiaTheme="minorEastAsia"/>
          <w:b/>
          <w:bCs/>
          <w:lang w:val="nl-NL"/>
        </w:rPr>
        <w:t xml:space="preserve">Economische veiligheid </w:t>
      </w:r>
    </w:p>
    <w:p w:rsidRPr="00566871" w:rsidR="00C72F8D" w:rsidP="009958A8" w:rsidRDefault="0ABB47B1" w14:paraId="2144D526" w14:textId="0F52D5CC">
      <w:pPr>
        <w:spacing w:after="0" w:line="276" w:lineRule="auto"/>
        <w:rPr>
          <w:rFonts w:eastAsiaTheme="minorEastAsia"/>
          <w:lang w:val="nl-NL"/>
        </w:rPr>
      </w:pPr>
      <w:r w:rsidRPr="00566871">
        <w:rPr>
          <w:rFonts w:eastAsiaTheme="minorEastAsia"/>
          <w:lang w:val="nl-NL"/>
        </w:rPr>
        <w:t xml:space="preserve">De Raad zal spreken over economische veiligheid. Naar verwachting zal de discussie zich richten op de implementatie van de Europese Economische Veiligheidsstrategie (EEV). Daarbij zal specifiek ingegaan worden op de ontwikkelingen op het gebied van </w:t>
      </w:r>
      <w:r w:rsidRPr="00566871">
        <w:rPr>
          <w:rFonts w:eastAsiaTheme="minorEastAsia"/>
          <w:i/>
          <w:iCs/>
          <w:lang w:val="nl-NL"/>
        </w:rPr>
        <w:t xml:space="preserve">Foreign Direct Investment </w:t>
      </w:r>
      <w:r w:rsidRPr="00566871">
        <w:rPr>
          <w:rFonts w:eastAsiaTheme="minorEastAsia"/>
          <w:lang w:val="nl-NL"/>
        </w:rPr>
        <w:t xml:space="preserve">(FDI) </w:t>
      </w:r>
      <w:r w:rsidRPr="00566871">
        <w:rPr>
          <w:rFonts w:eastAsiaTheme="minorEastAsia"/>
          <w:lang w:val="nl-NL"/>
        </w:rPr>
        <w:lastRenderedPageBreak/>
        <w:t>screening. Het kabinet is voorstander van meer Europese coördinatie op het terrein van economische veiligheid en zal verdere implementatie van de EEV dan ook verwelkomen. Dit draagt immers bij aan de effectiviteit van maatregelen en is belangrijk voor het gelijk speelveld in de EU. Daarbij merkt het kabinet wel op dat de implementatie gestoeld moet zijn op gedegen risicoanalyses en gericht en precies dient te zijn, zonder onnodige marktverstorende werking. Nederland zal in de Raad met name aandacht vragen voor de zogenaamde ‘</w:t>
      </w:r>
      <w:r w:rsidRPr="00566871">
        <w:rPr>
          <w:rFonts w:eastAsiaTheme="minorEastAsia"/>
          <w:i/>
          <w:iCs/>
          <w:lang w:val="nl-NL"/>
        </w:rPr>
        <w:t>partner’</w:t>
      </w:r>
      <w:r w:rsidRPr="00566871">
        <w:rPr>
          <w:rFonts w:eastAsiaTheme="minorEastAsia"/>
          <w:lang w:val="nl-NL"/>
        </w:rPr>
        <w:t xml:space="preserve"> en ‘</w:t>
      </w:r>
      <w:r w:rsidRPr="00566871">
        <w:rPr>
          <w:rFonts w:eastAsiaTheme="minorEastAsia"/>
          <w:i/>
          <w:iCs/>
          <w:lang w:val="nl-NL"/>
        </w:rPr>
        <w:t>promote’</w:t>
      </w:r>
      <w:r w:rsidRPr="00566871">
        <w:rPr>
          <w:rFonts w:eastAsiaTheme="minorEastAsia"/>
          <w:lang w:val="nl-NL"/>
        </w:rPr>
        <w:t xml:space="preserve"> pijlers van de EEV. Het verstevigen en optimaal benutten van bestaande handelsrelaties en het aanboren van nieuwe handelsrelaties (‘</w:t>
      </w:r>
      <w:r w:rsidRPr="00566871">
        <w:rPr>
          <w:rFonts w:eastAsiaTheme="minorEastAsia"/>
          <w:i/>
          <w:iCs/>
          <w:lang w:val="nl-NL"/>
        </w:rPr>
        <w:t>partner’</w:t>
      </w:r>
      <w:r w:rsidRPr="00566871">
        <w:rPr>
          <w:rFonts w:eastAsiaTheme="minorEastAsia"/>
          <w:lang w:val="nl-NL"/>
        </w:rPr>
        <w:t>) is in de huidige geopolitieke context immers belangrijk en kan een positief effect hebben op onze economische veiligheid. Ditzelfde geldt voor de ‘</w:t>
      </w:r>
      <w:r w:rsidRPr="00566871">
        <w:rPr>
          <w:rFonts w:eastAsiaTheme="minorEastAsia"/>
          <w:i/>
          <w:iCs/>
          <w:lang w:val="nl-NL"/>
        </w:rPr>
        <w:t>promote’</w:t>
      </w:r>
      <w:r w:rsidRPr="00566871">
        <w:rPr>
          <w:rFonts w:eastAsiaTheme="minorEastAsia"/>
          <w:lang w:val="nl-NL"/>
        </w:rPr>
        <w:t xml:space="preserve"> pijler, waarmee door middel van versterking van het concurrentievermogen van de EU gewerkt wordt aan de economische veiligheid. Hierbij zijn met name versterking van strategische sectoren en kritieke technologieën van belang. </w:t>
      </w:r>
    </w:p>
    <w:p w:rsidRPr="00566871" w:rsidR="000E7A90" w:rsidP="009958A8" w:rsidRDefault="000E7A90" w14:paraId="3AF38D46" w14:textId="7856BF25">
      <w:pPr>
        <w:spacing w:after="0" w:line="276" w:lineRule="auto"/>
        <w:rPr>
          <w:rFonts w:eastAsiaTheme="minorEastAsia"/>
          <w:lang w:val="nl-NL"/>
        </w:rPr>
      </w:pPr>
      <w:r w:rsidRPr="00566871">
        <w:rPr>
          <w:rFonts w:eastAsiaTheme="minorEastAsia"/>
          <w:lang w:val="nl-NL"/>
        </w:rPr>
        <w:t>Specifiek met betrekking tot FDI</w:t>
      </w:r>
      <w:r w:rsidRPr="00566871" w:rsidR="001262E3">
        <w:rPr>
          <w:rFonts w:eastAsiaTheme="minorEastAsia"/>
          <w:lang w:val="nl-NL"/>
        </w:rPr>
        <w:t>-</w:t>
      </w:r>
      <w:r w:rsidRPr="00566871">
        <w:rPr>
          <w:rFonts w:eastAsiaTheme="minorEastAsia"/>
          <w:lang w:val="nl-NL"/>
        </w:rPr>
        <w:t xml:space="preserve">screening </w:t>
      </w:r>
      <w:r w:rsidRPr="00566871" w:rsidR="0042634D">
        <w:rPr>
          <w:rFonts w:eastAsiaTheme="minorEastAsia"/>
          <w:lang w:val="nl-NL"/>
        </w:rPr>
        <w:t>zal Nederland in de Raad aangeven het belang hiervan te onderschrijven en ook verbeterde samenwerking en coördinatie in EU</w:t>
      </w:r>
      <w:r w:rsidRPr="00566871" w:rsidR="00954B47">
        <w:rPr>
          <w:rFonts w:eastAsiaTheme="minorEastAsia"/>
          <w:lang w:val="nl-NL"/>
        </w:rPr>
        <w:t>-</w:t>
      </w:r>
      <w:r w:rsidRPr="00566871" w:rsidR="0042634D">
        <w:rPr>
          <w:rFonts w:eastAsiaTheme="minorEastAsia"/>
          <w:lang w:val="nl-NL"/>
        </w:rPr>
        <w:t>verband op dit gebied te verwelkomen</w:t>
      </w:r>
      <w:r w:rsidRPr="00566871" w:rsidR="000B5066">
        <w:rPr>
          <w:rFonts w:eastAsiaTheme="minorEastAsia"/>
          <w:lang w:val="nl-NL"/>
        </w:rPr>
        <w:t xml:space="preserve"> conform de inzet voor de herziening van de FDI-screeningsverordening zoals geformuleerd in het BNC-fiche</w:t>
      </w:r>
      <w:r w:rsidRPr="00566871" w:rsidR="0074230E">
        <w:rPr>
          <w:rStyle w:val="FootnoteReference"/>
          <w:rFonts w:eastAsiaTheme="minorEastAsia"/>
          <w:lang w:val="nl-NL"/>
        </w:rPr>
        <w:footnoteReference w:id="5"/>
      </w:r>
      <w:r w:rsidRPr="00566871" w:rsidR="0042634D">
        <w:rPr>
          <w:rFonts w:eastAsiaTheme="minorEastAsia"/>
          <w:lang w:val="nl-NL"/>
        </w:rPr>
        <w:t>. Hoewel FDI</w:t>
      </w:r>
      <w:r w:rsidRPr="00566871" w:rsidR="001262E3">
        <w:rPr>
          <w:rFonts w:eastAsiaTheme="minorEastAsia"/>
          <w:lang w:val="nl-NL"/>
        </w:rPr>
        <w:t>-</w:t>
      </w:r>
      <w:r w:rsidRPr="00566871" w:rsidR="0042634D">
        <w:rPr>
          <w:rFonts w:eastAsiaTheme="minorEastAsia"/>
          <w:lang w:val="nl-NL"/>
        </w:rPr>
        <w:t>screening nationale veiligheid betreft en daarmee een nationale competentie is, heeft samenwerking in EU</w:t>
      </w:r>
      <w:r w:rsidRPr="00566871" w:rsidR="00954B47">
        <w:rPr>
          <w:rFonts w:eastAsiaTheme="minorEastAsia"/>
          <w:lang w:val="nl-NL"/>
        </w:rPr>
        <w:t>-</w:t>
      </w:r>
      <w:r w:rsidRPr="00566871" w:rsidR="0042634D">
        <w:rPr>
          <w:rFonts w:eastAsiaTheme="minorEastAsia"/>
          <w:lang w:val="nl-NL"/>
        </w:rPr>
        <w:t xml:space="preserve">verband meerwaarde, zoals geldt voor meer onderwerpen op het gebied van economische veiligheid. Wat het kabinet betreft is een </w:t>
      </w:r>
      <w:r w:rsidRPr="00566871" w:rsidR="00720CF5">
        <w:rPr>
          <w:rFonts w:eastAsiaTheme="minorEastAsia"/>
          <w:lang w:val="nl-NL"/>
        </w:rPr>
        <w:t>goede</w:t>
      </w:r>
      <w:r w:rsidRPr="00566871" w:rsidR="0042634D">
        <w:rPr>
          <w:rFonts w:eastAsiaTheme="minorEastAsia"/>
          <w:lang w:val="nl-NL"/>
        </w:rPr>
        <w:t xml:space="preserve"> balans tussen een effectieve aanpak enerzijds, en het beheersbaar houden van administratieve lasten en beperken van negatieve impact op het investeringsklimaat anderzijds, daarbij essentieel. Dit zal Nederland dan ook binnen de Raad benadrukken. </w:t>
      </w:r>
      <w:r w:rsidRPr="00566871" w:rsidR="00743F8B">
        <w:rPr>
          <w:rFonts w:eastAsia="Calibri" w:cs="Calibri"/>
          <w:szCs w:val="18"/>
          <w:lang w:val="nl-NL"/>
        </w:rPr>
        <w:br/>
      </w:r>
    </w:p>
    <w:p w:rsidRPr="00566871" w:rsidR="00C72F8D" w:rsidP="009958A8" w:rsidRDefault="0ABB47B1" w14:paraId="7BD1008D" w14:textId="71217CE1">
      <w:pPr>
        <w:spacing w:after="0" w:line="276" w:lineRule="auto"/>
        <w:rPr>
          <w:rFonts w:eastAsiaTheme="minorEastAsia"/>
          <w:b/>
          <w:bCs/>
          <w:color w:val="FF0000"/>
          <w:lang w:val="nl-NL"/>
        </w:rPr>
      </w:pPr>
      <w:r w:rsidRPr="00566871">
        <w:rPr>
          <w:rFonts w:eastAsiaTheme="minorEastAsia"/>
          <w:b/>
          <w:bCs/>
          <w:color w:val="000000" w:themeColor="text1"/>
          <w:lang w:val="nl-NL"/>
        </w:rPr>
        <w:t>Lunch: stand van zaken handelsakkoorden</w:t>
      </w:r>
    </w:p>
    <w:p w:rsidRPr="00566871" w:rsidR="00F613D7" w:rsidP="009958A8" w:rsidRDefault="0ABB47B1" w14:paraId="61B03C84" w14:textId="44787AD7">
      <w:pPr>
        <w:spacing w:after="0" w:line="276" w:lineRule="auto"/>
        <w:rPr>
          <w:rFonts w:eastAsiaTheme="minorEastAsia"/>
          <w:lang w:val="nl-NL"/>
        </w:rPr>
      </w:pPr>
      <w:r w:rsidRPr="00566871">
        <w:rPr>
          <w:rFonts w:eastAsiaTheme="minorEastAsia"/>
          <w:lang w:val="nl-NL"/>
        </w:rPr>
        <w:t>De Raad zal naar aanleiding van een toelichting van de Commissie stilstaan bij verschillende bilaterale handelsrelaties, inclusief aangekondigde, lopende en afgeronde onderhandelingen over handelsakkoorden. Naar verwachting betreft dit onder andere de onderhandelingen met Indonesië, de vier Mercosur-landen, Mexico, de Verenigde Arabische Emiraten en Australië. Een geactualiseerde versie van de voortgangsrapportage handelsakkoorden met een overzicht van de lopende onderhandelingen is bijgevoegd bij deze geannoteerde agenda.</w:t>
      </w:r>
    </w:p>
    <w:p w:rsidRPr="00566871" w:rsidR="005A45B3" w:rsidP="009958A8" w:rsidRDefault="005A45B3" w14:paraId="74E936FD" w14:textId="77777777">
      <w:pPr>
        <w:spacing w:after="0" w:line="276" w:lineRule="auto"/>
        <w:rPr>
          <w:rFonts w:eastAsiaTheme="minorEastAsia"/>
          <w:lang w:val="nl-NL"/>
        </w:rPr>
      </w:pPr>
    </w:p>
    <w:p w:rsidRPr="00566871" w:rsidR="00C72F8D" w:rsidP="009958A8" w:rsidRDefault="0ABB47B1" w14:paraId="5B7C2B4A" w14:textId="324ACADE">
      <w:pPr>
        <w:spacing w:after="0" w:line="276" w:lineRule="auto"/>
        <w:rPr>
          <w:rFonts w:eastAsiaTheme="minorEastAsia"/>
          <w:lang w:val="nl-NL"/>
        </w:rPr>
      </w:pPr>
      <w:r w:rsidRPr="00566871">
        <w:rPr>
          <w:rFonts w:eastAsiaTheme="minorEastAsia"/>
          <w:lang w:val="nl-NL"/>
        </w:rPr>
        <w:t xml:space="preserve">Zoals bekend zet het kabinet in op een actief handelsbeleid, waarin handelsakkoorden een belangrijk instrument zijn. Handelsakkoorden kunnen bijdragen aan het vergroten van de economische weerbaarheid en slagvaardigheid </w:t>
      </w:r>
      <w:r w:rsidRPr="009958A8">
        <w:rPr>
          <w:rFonts w:eastAsiaTheme="minorEastAsia"/>
          <w:lang w:val="nl-NL"/>
        </w:rPr>
        <w:t xml:space="preserve">van </w:t>
      </w:r>
      <w:r w:rsidRPr="009958A8" w:rsidR="006B5FF2">
        <w:rPr>
          <w:rFonts w:eastAsiaTheme="minorEastAsia"/>
          <w:lang w:val="nl-NL"/>
        </w:rPr>
        <w:t xml:space="preserve">Nederland en </w:t>
      </w:r>
      <w:r w:rsidRPr="009958A8">
        <w:rPr>
          <w:rFonts w:eastAsiaTheme="minorEastAsia"/>
          <w:lang w:val="nl-NL"/>
        </w:rPr>
        <w:t>de EU en zorgen</w:t>
      </w:r>
      <w:r w:rsidRPr="00566871">
        <w:rPr>
          <w:rFonts w:eastAsiaTheme="minorEastAsia"/>
          <w:lang w:val="nl-NL"/>
        </w:rPr>
        <w:t xml:space="preserve"> voor verbeterde markttoegang voor ondernemers. Bovendien faciliteren handelsakkoorden de diversificatie van handelspartners en mitigeren daarmee de risico’s van strategische afhankelijkheden. Tegelijkertijd blijft gelden dat het kabinet ieder nieuw akkoord op de merites beoordeelt voorafgaand aan besluitvorming, met als uitgangspunt dat deze akkoorden moeten bijdragen aan het versterken van de Nederlandse economie.</w:t>
      </w:r>
    </w:p>
    <w:p w:rsidRPr="00566871" w:rsidR="00476AB9" w:rsidP="009958A8" w:rsidRDefault="00476AB9" w14:paraId="07761B9C" w14:textId="77777777">
      <w:pPr>
        <w:spacing w:after="0" w:line="276" w:lineRule="auto"/>
        <w:rPr>
          <w:rFonts w:eastAsiaTheme="minorEastAsia"/>
          <w:b/>
          <w:bCs/>
          <w:lang w:val="nl-NL"/>
        </w:rPr>
      </w:pPr>
    </w:p>
    <w:p w:rsidRPr="00566871" w:rsidR="00DC2887" w:rsidP="009958A8" w:rsidRDefault="0ABB47B1" w14:paraId="3797998C" w14:textId="01309ADA">
      <w:pPr>
        <w:spacing w:after="0" w:line="276" w:lineRule="auto"/>
        <w:rPr>
          <w:rFonts w:eastAsiaTheme="minorEastAsia"/>
          <w:b/>
          <w:bCs/>
          <w:lang w:val="nl-NL"/>
        </w:rPr>
      </w:pPr>
      <w:r w:rsidRPr="00566871">
        <w:rPr>
          <w:rFonts w:eastAsiaTheme="minorEastAsia"/>
          <w:b/>
          <w:bCs/>
          <w:lang w:val="nl-NL"/>
        </w:rPr>
        <w:t>Overig</w:t>
      </w:r>
    </w:p>
    <w:p w:rsidRPr="00566871" w:rsidR="00085D98" w:rsidP="009958A8" w:rsidRDefault="001D01DA" w14:paraId="661CAE83" w14:textId="49AE7C5E">
      <w:pPr>
        <w:spacing w:after="0" w:line="276" w:lineRule="auto"/>
        <w:rPr>
          <w:rFonts w:eastAsiaTheme="minorEastAsia"/>
          <w:lang w:val="nl-NL"/>
        </w:rPr>
      </w:pPr>
      <w:r w:rsidRPr="00566871">
        <w:rPr>
          <w:rFonts w:eastAsiaTheme="minorEastAsia"/>
          <w:lang w:val="nl-NL"/>
        </w:rPr>
        <w:t xml:space="preserve">Hieronder wordt ingegaan op een aantal onderwerpen die niet op de agenda van de RBZ Handel staan maar waar het kabinet uw Kamer graag over informeert. Het betreft het </w:t>
      </w:r>
      <w:r w:rsidRPr="00566871" w:rsidR="00085D98">
        <w:rPr>
          <w:rFonts w:eastAsiaTheme="minorEastAsia"/>
          <w:lang w:val="nl-NL"/>
        </w:rPr>
        <w:t xml:space="preserve">rappel </w:t>
      </w:r>
      <w:r w:rsidRPr="00566871">
        <w:rPr>
          <w:rFonts w:eastAsiaTheme="minorEastAsia"/>
          <w:lang w:val="nl-NL"/>
        </w:rPr>
        <w:t xml:space="preserve">van de </w:t>
      </w:r>
      <w:r w:rsidR="00833FCE">
        <w:rPr>
          <w:rFonts w:eastAsiaTheme="minorEastAsia"/>
          <w:lang w:val="nl-NL"/>
        </w:rPr>
        <w:t>commissie voor Buitenlandse Handel en Ontwikkelingshulp</w:t>
      </w:r>
      <w:r w:rsidRPr="00566871">
        <w:rPr>
          <w:rFonts w:eastAsiaTheme="minorEastAsia"/>
          <w:lang w:val="nl-NL"/>
        </w:rPr>
        <w:t xml:space="preserve"> </w:t>
      </w:r>
      <w:r w:rsidRPr="00566871" w:rsidR="00085D98">
        <w:rPr>
          <w:rFonts w:eastAsiaTheme="minorEastAsia"/>
          <w:lang w:val="nl-NL"/>
        </w:rPr>
        <w:t>over</w:t>
      </w:r>
      <w:r w:rsidRPr="00566871">
        <w:rPr>
          <w:rFonts w:eastAsiaTheme="minorEastAsia"/>
          <w:lang w:val="nl-NL"/>
        </w:rPr>
        <w:t xml:space="preserve"> de</w:t>
      </w:r>
      <w:r w:rsidRPr="00566871" w:rsidR="00085D98">
        <w:rPr>
          <w:rFonts w:eastAsiaTheme="minorEastAsia"/>
          <w:lang w:val="nl-NL"/>
        </w:rPr>
        <w:t xml:space="preserve"> Beleidsbrief Handel, de implementatie van de Richtlijn Maatschappelijk Verantwoord Ondernemen en de </w:t>
      </w:r>
      <w:r w:rsidRPr="00566871">
        <w:rPr>
          <w:rFonts w:eastAsiaTheme="minorEastAsia"/>
          <w:lang w:val="nl-NL"/>
        </w:rPr>
        <w:t xml:space="preserve">uitvoering van de </w:t>
      </w:r>
      <w:r w:rsidRPr="00566871" w:rsidR="00085D98">
        <w:rPr>
          <w:rFonts w:eastAsiaTheme="minorEastAsia"/>
          <w:lang w:val="nl-NL"/>
        </w:rPr>
        <w:t>motie De Korte-Ceder.</w:t>
      </w:r>
      <w:r w:rsidRPr="00566871" w:rsidR="00085D98">
        <w:rPr>
          <w:rStyle w:val="FootnoteReference"/>
          <w:rFonts w:eastAsiaTheme="minorEastAsia"/>
          <w:lang w:val="nl-NL"/>
        </w:rPr>
        <w:footnoteReference w:id="6"/>
      </w:r>
    </w:p>
    <w:p w:rsidRPr="00566871" w:rsidR="00085D98" w:rsidP="009958A8" w:rsidRDefault="00085D98" w14:paraId="06F7A90B" w14:textId="77777777">
      <w:pPr>
        <w:spacing w:after="0" w:line="276" w:lineRule="auto"/>
        <w:rPr>
          <w:rFonts w:eastAsiaTheme="minorEastAsia"/>
          <w:i/>
          <w:iCs/>
          <w:lang w:val="nl-NL"/>
        </w:rPr>
      </w:pPr>
    </w:p>
    <w:p w:rsidRPr="00566871" w:rsidR="00B436C2" w:rsidP="009958A8" w:rsidRDefault="00B436C2" w14:paraId="4A33E239" w14:textId="586071B9">
      <w:pPr>
        <w:spacing w:after="0" w:line="276" w:lineRule="auto"/>
        <w:rPr>
          <w:rFonts w:eastAsiaTheme="minorEastAsia"/>
          <w:i/>
          <w:iCs/>
          <w:lang w:val="nl-NL"/>
        </w:rPr>
      </w:pPr>
      <w:r w:rsidRPr="00566871">
        <w:rPr>
          <w:rFonts w:eastAsiaTheme="minorEastAsia"/>
          <w:i/>
          <w:iCs/>
          <w:lang w:val="nl-NL"/>
        </w:rPr>
        <w:t>Rappel Beleidsbrief Handel</w:t>
      </w:r>
      <w:r w:rsidRPr="00566871">
        <w:rPr>
          <w:rStyle w:val="FootnoteReference"/>
          <w:rFonts w:eastAsiaTheme="minorEastAsia"/>
          <w:i/>
          <w:iCs/>
          <w:lang w:val="nl-NL"/>
        </w:rPr>
        <w:footnoteReference w:id="7"/>
      </w:r>
      <w:r w:rsidRPr="00566871">
        <w:rPr>
          <w:rFonts w:eastAsiaTheme="minorEastAsia"/>
          <w:i/>
          <w:iCs/>
          <w:lang w:val="nl-NL"/>
        </w:rPr>
        <w:t xml:space="preserve"> </w:t>
      </w:r>
    </w:p>
    <w:p w:rsidRPr="00566871" w:rsidR="00B436C2" w:rsidP="009958A8" w:rsidRDefault="0ABB47B1" w14:paraId="4EEAE04C" w14:textId="45E5FC70">
      <w:pPr>
        <w:spacing w:after="0" w:line="276" w:lineRule="auto"/>
        <w:rPr>
          <w:rFonts w:eastAsiaTheme="minorEastAsia"/>
          <w:lang w:val="nl-NL"/>
        </w:rPr>
      </w:pPr>
      <w:r w:rsidRPr="00566871">
        <w:rPr>
          <w:rFonts w:eastAsiaTheme="minorEastAsia"/>
          <w:lang w:val="nl-NL"/>
        </w:rPr>
        <w:t xml:space="preserve">In reactie op het rappel om de beleidsbrief handel te ontvangen voorafgaand aan het Commissiedebat Raad Buitenlandse Zaken Handel kan ik aangeven dat uw Kamer deze brief voor het einde van het tweede kwartaal ontvangt. Het lukt echter niet deze brief al voorafgaand aan het op 13 mei a.s. door uw Kamer ingeplande Commissiedebat RBZ Handel aan te bieden. Momenteel </w:t>
      </w:r>
      <w:r w:rsidRPr="00566871">
        <w:rPr>
          <w:rFonts w:eastAsiaTheme="minorEastAsia"/>
          <w:lang w:val="nl-NL"/>
        </w:rPr>
        <w:lastRenderedPageBreak/>
        <w:t>wordt de laatste hand gelegd aan de brief, waarbij recente geopolitieke verschuivingen in het handelssysteem worden meegenomen.</w:t>
      </w:r>
    </w:p>
    <w:p w:rsidR="00B436C2" w:rsidP="009958A8" w:rsidRDefault="00B436C2" w14:paraId="08DB40EE" w14:textId="77777777">
      <w:pPr>
        <w:spacing w:after="0" w:line="276" w:lineRule="auto"/>
        <w:rPr>
          <w:rFonts w:eastAsiaTheme="minorEastAsia"/>
          <w:i/>
          <w:iCs/>
          <w:lang w:val="nl-NL"/>
        </w:rPr>
      </w:pPr>
    </w:p>
    <w:p w:rsidRPr="00566871" w:rsidR="00DC2887" w:rsidP="009958A8" w:rsidRDefault="00F30E6A" w14:paraId="4AD2984E" w14:textId="33CDBF5F">
      <w:pPr>
        <w:spacing w:after="0" w:line="276" w:lineRule="auto"/>
        <w:rPr>
          <w:rFonts w:eastAsiaTheme="minorEastAsia"/>
          <w:b/>
          <w:bCs/>
          <w:color w:val="FF0000"/>
          <w:lang w:val="nl-NL"/>
        </w:rPr>
      </w:pPr>
      <w:r w:rsidRPr="00566871">
        <w:rPr>
          <w:rFonts w:eastAsiaTheme="minorEastAsia"/>
          <w:i/>
          <w:iCs/>
          <w:lang w:val="nl-NL"/>
        </w:rPr>
        <w:t>Voortgang i</w:t>
      </w:r>
      <w:r w:rsidRPr="00566871" w:rsidR="00DC2887">
        <w:rPr>
          <w:rFonts w:eastAsiaTheme="minorEastAsia"/>
          <w:i/>
          <w:iCs/>
          <w:lang w:val="nl-NL"/>
        </w:rPr>
        <w:t xml:space="preserve">mplementatie </w:t>
      </w:r>
      <w:r w:rsidRPr="00566871">
        <w:rPr>
          <w:rFonts w:eastAsiaTheme="minorEastAsia"/>
          <w:i/>
          <w:iCs/>
          <w:lang w:val="nl-NL"/>
        </w:rPr>
        <w:t>Corporate Sustainability Due Diligence Directive (</w:t>
      </w:r>
      <w:r w:rsidRPr="00566871" w:rsidR="00DC2887">
        <w:rPr>
          <w:rFonts w:eastAsiaTheme="minorEastAsia"/>
          <w:i/>
          <w:iCs/>
          <w:lang w:val="nl-NL"/>
        </w:rPr>
        <w:t>CSDDD</w:t>
      </w:r>
      <w:r w:rsidRPr="00566871">
        <w:rPr>
          <w:rFonts w:eastAsiaTheme="minorEastAsia"/>
          <w:i/>
          <w:iCs/>
          <w:lang w:val="nl-NL"/>
        </w:rPr>
        <w:t>)</w:t>
      </w:r>
      <w:r w:rsidR="00833FCE">
        <w:rPr>
          <w:rFonts w:eastAsiaTheme="minorEastAsia"/>
          <w:i/>
          <w:iCs/>
          <w:lang w:val="nl-NL"/>
        </w:rPr>
        <w:t>.</w:t>
      </w:r>
      <w:r w:rsidRPr="00566871" w:rsidR="00812249">
        <w:rPr>
          <w:rStyle w:val="FootnoteReference"/>
          <w:rFonts w:eastAsiaTheme="minorEastAsia"/>
          <w:lang w:val="nl-NL"/>
        </w:rPr>
        <w:footnoteReference w:id="8"/>
      </w:r>
    </w:p>
    <w:p w:rsidRPr="00566871" w:rsidR="000119AC" w:rsidP="009958A8" w:rsidRDefault="0ABB47B1" w14:paraId="044A5634" w14:textId="0C2362C3">
      <w:pPr>
        <w:spacing w:after="0" w:line="276" w:lineRule="auto"/>
        <w:rPr>
          <w:rFonts w:eastAsiaTheme="minorEastAsia"/>
          <w:lang w:val="nl-NL"/>
        </w:rPr>
      </w:pPr>
      <w:r w:rsidRPr="00566871">
        <w:rPr>
          <w:rFonts w:eastAsiaTheme="minorEastAsia"/>
          <w:lang w:val="nl-NL"/>
        </w:rPr>
        <w:t xml:space="preserve">Ten behoeve van de implementatie van de CSDDD werkt het kabinet aan een implementatiewetsvoorstel waarover uw Kamer, zoals eerder toegezegd, via de geannoteerde agenda’s doorlopend wordt geïnformeerd. </w:t>
      </w:r>
    </w:p>
    <w:p w:rsidRPr="00566871" w:rsidR="000119AC" w:rsidP="009958A8" w:rsidRDefault="000119AC" w14:paraId="5E8DA454" w14:textId="77777777">
      <w:pPr>
        <w:spacing w:after="0" w:line="276" w:lineRule="auto"/>
        <w:rPr>
          <w:rFonts w:eastAsiaTheme="minorEastAsia"/>
          <w:lang w:val="nl-NL"/>
        </w:rPr>
      </w:pPr>
    </w:p>
    <w:p w:rsidRPr="00566871" w:rsidR="00100371" w:rsidP="009958A8" w:rsidRDefault="00100371" w14:paraId="3C216E6D" w14:textId="359451AF">
      <w:pPr>
        <w:spacing w:after="0" w:line="276" w:lineRule="auto"/>
        <w:rPr>
          <w:rFonts w:eastAsiaTheme="minorEastAsia"/>
          <w:lang w:val="nl-NL"/>
        </w:rPr>
      </w:pPr>
      <w:r w:rsidRPr="00566871">
        <w:rPr>
          <w:rFonts w:eastAsiaTheme="minorEastAsia"/>
          <w:lang w:val="nl-NL"/>
        </w:rPr>
        <w:t xml:space="preserve">Op 26 februari jl. presenteerde de Europese Commissie het Omnibus </w:t>
      </w:r>
      <w:r w:rsidRPr="00566871" w:rsidR="00DA1E17">
        <w:rPr>
          <w:rFonts w:eastAsiaTheme="minorEastAsia"/>
          <w:lang w:val="nl-NL"/>
        </w:rPr>
        <w:t>I-</w:t>
      </w:r>
      <w:r w:rsidRPr="00566871">
        <w:rPr>
          <w:rFonts w:eastAsiaTheme="minorEastAsia"/>
          <w:lang w:val="nl-NL"/>
        </w:rPr>
        <w:t xml:space="preserve">voorstel met wijzigingen van drie Europese wetten: de </w:t>
      </w:r>
      <w:r w:rsidRPr="00566871">
        <w:rPr>
          <w:rFonts w:eastAsiaTheme="minorEastAsia"/>
          <w:i/>
          <w:iCs/>
          <w:lang w:val="nl-NL"/>
        </w:rPr>
        <w:t>Corporate Sustainability Due Diligence Directive</w:t>
      </w:r>
      <w:r w:rsidRPr="00566871">
        <w:rPr>
          <w:rFonts w:eastAsiaTheme="minorEastAsia"/>
          <w:lang w:val="nl-NL"/>
        </w:rPr>
        <w:t xml:space="preserve"> (CSDDD), </w:t>
      </w:r>
      <w:r w:rsidRPr="00566871">
        <w:rPr>
          <w:rFonts w:eastAsiaTheme="minorEastAsia"/>
          <w:i/>
          <w:iCs/>
          <w:lang w:val="nl-NL"/>
        </w:rPr>
        <w:t>Corporate Sustainability Reporting Directive</w:t>
      </w:r>
      <w:r w:rsidRPr="00566871">
        <w:rPr>
          <w:rFonts w:eastAsiaTheme="minorEastAsia"/>
          <w:lang w:val="nl-NL"/>
        </w:rPr>
        <w:t xml:space="preserve"> (CSRD) en het </w:t>
      </w:r>
      <w:r w:rsidRPr="00566871">
        <w:rPr>
          <w:rFonts w:eastAsiaTheme="minorEastAsia"/>
          <w:i/>
          <w:iCs/>
          <w:lang w:val="nl-NL"/>
        </w:rPr>
        <w:t>Carbon Border Adjustment Mechanism</w:t>
      </w:r>
      <w:r w:rsidRPr="00566871">
        <w:rPr>
          <w:rFonts w:eastAsiaTheme="minorEastAsia"/>
          <w:lang w:val="nl-NL"/>
        </w:rPr>
        <w:t xml:space="preserve"> (CBAM)</w:t>
      </w:r>
      <w:r w:rsidRPr="00566871" w:rsidR="000858DE">
        <w:rPr>
          <w:rFonts w:eastAsiaTheme="minorEastAsia"/>
          <w:lang w:val="nl-NL"/>
        </w:rPr>
        <w:t xml:space="preserve">, waarover uw Kamer </w:t>
      </w:r>
      <w:r w:rsidRPr="00566871" w:rsidR="000119AC">
        <w:rPr>
          <w:rFonts w:eastAsiaTheme="minorEastAsia"/>
          <w:lang w:val="nl-NL"/>
        </w:rPr>
        <w:t xml:space="preserve">een </w:t>
      </w:r>
      <w:r w:rsidRPr="00566871">
        <w:rPr>
          <w:rFonts w:eastAsiaTheme="minorEastAsia"/>
          <w:lang w:val="nl-NL"/>
        </w:rPr>
        <w:t>BNC-fiche</w:t>
      </w:r>
      <w:r w:rsidRPr="00566871" w:rsidR="000858DE">
        <w:rPr>
          <w:rFonts w:eastAsiaTheme="minorEastAsia"/>
          <w:lang w:val="nl-NL"/>
        </w:rPr>
        <w:t xml:space="preserve"> heeft ontvangen</w:t>
      </w:r>
      <w:r w:rsidRPr="00566871">
        <w:rPr>
          <w:rFonts w:eastAsiaTheme="minorEastAsia"/>
          <w:lang w:val="nl-NL"/>
        </w:rPr>
        <w:t>.</w:t>
      </w:r>
      <w:r w:rsidRPr="00566871" w:rsidR="005A45B3">
        <w:rPr>
          <w:rStyle w:val="FootnoteReference"/>
          <w:rFonts w:eastAsiaTheme="minorEastAsia"/>
          <w:lang w:val="nl-NL"/>
        </w:rPr>
        <w:footnoteReference w:id="9"/>
      </w:r>
      <w:r w:rsidRPr="00566871">
        <w:rPr>
          <w:rFonts w:eastAsiaTheme="minorEastAsia"/>
          <w:lang w:val="nl-NL"/>
        </w:rPr>
        <w:t xml:space="preserve"> </w:t>
      </w:r>
      <w:r w:rsidRPr="00566871" w:rsidR="00DA1E17">
        <w:rPr>
          <w:rFonts w:eastAsiaTheme="minorEastAsia"/>
          <w:lang w:val="nl-NL"/>
        </w:rPr>
        <w:t xml:space="preserve">De onderhandelingen over het voorstel voor inhoudelijke aanpassingen van de CSDDD vinden momenteel plaats. Zoals </w:t>
      </w:r>
      <w:r w:rsidRPr="00566871" w:rsidR="00A15598">
        <w:rPr>
          <w:rFonts w:eastAsiaTheme="minorEastAsia"/>
          <w:lang w:val="nl-NL"/>
        </w:rPr>
        <w:t>vermeld</w:t>
      </w:r>
      <w:r w:rsidRPr="00566871" w:rsidR="00DA1E17">
        <w:rPr>
          <w:rFonts w:eastAsiaTheme="minorEastAsia"/>
          <w:lang w:val="nl-NL"/>
        </w:rPr>
        <w:t xml:space="preserve"> in het BNC</w:t>
      </w:r>
      <w:r w:rsidRPr="00566871" w:rsidR="00A15598">
        <w:rPr>
          <w:rFonts w:eastAsiaTheme="minorEastAsia"/>
          <w:lang w:val="nl-NL"/>
        </w:rPr>
        <w:t>-</w:t>
      </w:r>
      <w:r w:rsidRPr="00566871" w:rsidR="00DA1E17">
        <w:rPr>
          <w:rFonts w:eastAsiaTheme="minorEastAsia"/>
          <w:lang w:val="nl-NL"/>
        </w:rPr>
        <w:t xml:space="preserve">fiche </w:t>
      </w:r>
      <w:r w:rsidRPr="00566871" w:rsidR="00C37F21">
        <w:rPr>
          <w:rFonts w:eastAsiaTheme="minorEastAsia"/>
          <w:lang w:val="nl-NL"/>
        </w:rPr>
        <w:t>verwelkomt het kabinet de voorstellen, omdat deze bijdragen aan regeldrukvermindering en het concurrerend vermogen van de EU. Wel ziet het kabinet graag dat het gelijke speelveld geborgd blijft door EU</w:t>
      </w:r>
      <w:r w:rsidRPr="00566871" w:rsidR="009411A5">
        <w:rPr>
          <w:rFonts w:eastAsiaTheme="minorEastAsia"/>
          <w:lang w:val="nl-NL"/>
        </w:rPr>
        <w:t>-</w:t>
      </w:r>
      <w:r w:rsidRPr="00566871" w:rsidR="00C37F21">
        <w:rPr>
          <w:rFonts w:eastAsiaTheme="minorEastAsia"/>
          <w:lang w:val="nl-NL"/>
        </w:rPr>
        <w:t xml:space="preserve">regels voor civiele aansprakelijkheid en boetebepalingen te harmoniseren. Ook heeft het kabinet </w:t>
      </w:r>
      <w:r w:rsidRPr="00566871" w:rsidR="00252BB1">
        <w:rPr>
          <w:rFonts w:eastAsiaTheme="minorEastAsia"/>
          <w:lang w:val="nl-NL"/>
        </w:rPr>
        <w:t>vragen en aandachtspunten bij</w:t>
      </w:r>
      <w:r w:rsidRPr="00566871" w:rsidR="00C37F21">
        <w:rPr>
          <w:rFonts w:eastAsiaTheme="minorEastAsia"/>
          <w:lang w:val="nl-NL"/>
        </w:rPr>
        <w:t xml:space="preserve"> de bepalingen over opschorting</w:t>
      </w:r>
      <w:r w:rsidRPr="00566871" w:rsidR="00252BB1">
        <w:rPr>
          <w:rFonts w:eastAsiaTheme="minorEastAsia"/>
          <w:lang w:val="nl-NL"/>
        </w:rPr>
        <w:t xml:space="preserve"> en</w:t>
      </w:r>
      <w:r w:rsidRPr="00566871" w:rsidR="00C37F21">
        <w:rPr>
          <w:rFonts w:eastAsiaTheme="minorEastAsia"/>
          <w:lang w:val="nl-NL"/>
        </w:rPr>
        <w:t xml:space="preserve"> de definitie van stakeholders</w:t>
      </w:r>
      <w:r w:rsidRPr="00566871" w:rsidR="00252BB1">
        <w:rPr>
          <w:rFonts w:eastAsiaTheme="minorEastAsia"/>
          <w:lang w:val="nl-NL"/>
        </w:rPr>
        <w:t>.</w:t>
      </w:r>
      <w:r w:rsidRPr="00566871" w:rsidR="00BC7FA4">
        <w:rPr>
          <w:rFonts w:eastAsiaTheme="minorEastAsia"/>
          <w:lang w:val="nl-NL"/>
        </w:rPr>
        <w:t xml:space="preserve"> </w:t>
      </w:r>
      <w:r w:rsidRPr="00566871" w:rsidR="00252BB1">
        <w:rPr>
          <w:rFonts w:eastAsiaTheme="minorEastAsia"/>
          <w:lang w:val="nl-NL"/>
        </w:rPr>
        <w:t xml:space="preserve">Ten aanzien van het voorstel om gepaste zorgvuldigheid te beperken tot directe zakenrelaties </w:t>
      </w:r>
      <w:r w:rsidRPr="00566871" w:rsidR="00DA1E17">
        <w:rPr>
          <w:rFonts w:eastAsiaTheme="minorEastAsia"/>
          <w:lang w:val="nl-NL"/>
        </w:rPr>
        <w:t xml:space="preserve">zal het kabinet waar nodig aanpassingen voorstellen die regeldrukvermindering behouden, maar bijdragen aan de effectiviteit van de CSDDD, duidelijkheid scheppen voor ondernemingen </w:t>
      </w:r>
      <w:r w:rsidRPr="009958A8" w:rsidR="00DA1E17">
        <w:rPr>
          <w:rFonts w:eastAsiaTheme="minorEastAsia"/>
          <w:lang w:val="nl-NL"/>
        </w:rPr>
        <w:t xml:space="preserve">en het </w:t>
      </w:r>
      <w:r w:rsidRPr="009958A8" w:rsidR="00455CD9">
        <w:rPr>
          <w:rFonts w:eastAsiaTheme="minorEastAsia"/>
          <w:lang w:val="nl-NL"/>
        </w:rPr>
        <w:t xml:space="preserve">mogelijke </w:t>
      </w:r>
      <w:r w:rsidRPr="009958A8" w:rsidR="00DA1E17">
        <w:rPr>
          <w:rFonts w:eastAsiaTheme="minorEastAsia"/>
          <w:lang w:val="nl-NL"/>
        </w:rPr>
        <w:t>risico</w:t>
      </w:r>
      <w:r w:rsidRPr="00566871" w:rsidR="00DA1E17">
        <w:rPr>
          <w:rFonts w:eastAsiaTheme="minorEastAsia"/>
          <w:lang w:val="nl-NL"/>
        </w:rPr>
        <w:t xml:space="preserve"> op afwenteling van risico’s op (kleinere) ondernemingen verklein</w:t>
      </w:r>
      <w:r w:rsidRPr="00566871" w:rsidR="00E85960">
        <w:rPr>
          <w:rFonts w:eastAsiaTheme="minorEastAsia"/>
          <w:lang w:val="nl-NL"/>
        </w:rPr>
        <w:t>en</w:t>
      </w:r>
      <w:r w:rsidRPr="00566871" w:rsidR="00DA1E17">
        <w:rPr>
          <w:rFonts w:eastAsiaTheme="minorEastAsia"/>
          <w:lang w:val="nl-NL"/>
        </w:rPr>
        <w:t xml:space="preserve">. </w:t>
      </w:r>
    </w:p>
    <w:p w:rsidRPr="00566871" w:rsidR="0039085C" w:rsidP="009958A8" w:rsidRDefault="0039085C" w14:paraId="16A6FE43" w14:textId="77777777">
      <w:pPr>
        <w:spacing w:after="0" w:line="276" w:lineRule="auto"/>
        <w:rPr>
          <w:rFonts w:eastAsiaTheme="minorEastAsia"/>
          <w:lang w:val="nl-NL"/>
        </w:rPr>
      </w:pPr>
    </w:p>
    <w:p w:rsidRPr="00566871" w:rsidR="004E4BDE" w:rsidP="009958A8" w:rsidRDefault="0ABB47B1" w14:paraId="1EA0CC8C" w14:textId="2609261A">
      <w:pPr>
        <w:spacing w:after="0" w:line="276" w:lineRule="auto"/>
        <w:rPr>
          <w:rFonts w:eastAsiaTheme="minorEastAsia"/>
          <w:lang w:val="nl-NL"/>
        </w:rPr>
      </w:pPr>
      <w:r w:rsidRPr="00566871">
        <w:rPr>
          <w:rFonts w:eastAsiaTheme="minorEastAsia"/>
          <w:lang w:val="nl-NL"/>
        </w:rPr>
        <w:t xml:space="preserve">Het Omnibus I-voorstel bevat voorts nog een onderdeel dat relevant is voor de implementatie van de CSDDD, namelijk de “Stop-the-clock”-richtlijn. Dit betreft een technische aanpassing van de te implementeren CSDDD-richtlijn die de implementatietermijn met één jaar verlengt naar juli 2027 (in plaats van 2026) en toepassingsdatum opschuift naar juli 2028 (in plaats van 2027) voor de eerste groep bedrijven onder de CSDDD. Op 7 april jl. informeerde ik uw Kamer over het voornemen van het kabinet om in te stemmen met het ongewijzigd vaststellen van het “Stop-the-clock”-voorstel als algemene oriëntatie van de Raad. Zowel de Raad als het Europees Parlement hebben geen wijzigingen in het Commissievoorstel aangebracht, waarmee zonder </w:t>
      </w:r>
      <w:proofErr w:type="spellStart"/>
      <w:r w:rsidRPr="00566871">
        <w:rPr>
          <w:rFonts w:eastAsiaTheme="minorEastAsia"/>
          <w:lang w:val="nl-NL"/>
        </w:rPr>
        <w:t>triloog</w:t>
      </w:r>
      <w:proofErr w:type="spellEnd"/>
      <w:r w:rsidRPr="00566871">
        <w:rPr>
          <w:rFonts w:eastAsiaTheme="minorEastAsia"/>
          <w:lang w:val="nl-NL"/>
        </w:rPr>
        <w:t xml:space="preserve"> tot overeenstemming is gekomen. De “Stop-the-clock”-richtlijn is op 16 april jl. gepubliceerd en in werking getreden. </w:t>
      </w:r>
    </w:p>
    <w:p w:rsidRPr="00566871" w:rsidR="0039085C" w:rsidP="009958A8" w:rsidRDefault="0039085C" w14:paraId="243F6D70" w14:textId="77777777">
      <w:pPr>
        <w:spacing w:after="0" w:line="276" w:lineRule="auto"/>
        <w:rPr>
          <w:rFonts w:eastAsiaTheme="minorEastAsia"/>
          <w:lang w:val="nl-NL"/>
        </w:rPr>
      </w:pPr>
    </w:p>
    <w:p w:rsidRPr="00566871" w:rsidR="0039085C" w:rsidP="009958A8" w:rsidRDefault="0ABB47B1" w14:paraId="106F173B" w14:textId="532374DC">
      <w:pPr>
        <w:spacing w:after="0" w:line="276" w:lineRule="auto"/>
        <w:rPr>
          <w:rFonts w:eastAsiaTheme="minorEastAsia"/>
          <w:lang w:val="nl-NL"/>
        </w:rPr>
      </w:pPr>
      <w:r w:rsidRPr="009958A8">
        <w:rPr>
          <w:rFonts w:eastAsiaTheme="minorEastAsia"/>
          <w:lang w:val="nl-NL"/>
        </w:rPr>
        <w:t xml:space="preserve">Gezien de nog lopende onderhandelingen over Omnibus I en de aannemelijkheid dat dit tot aanpassingen zal leiden van de CSDDD, </w:t>
      </w:r>
      <w:r w:rsidRPr="009958A8" w:rsidR="00455CD9">
        <w:rPr>
          <w:rFonts w:eastAsiaTheme="minorEastAsia"/>
          <w:lang w:val="nl-NL"/>
        </w:rPr>
        <w:t xml:space="preserve">zal het kabinet na overeenstemming binnen de EU over de aanpassingen van de CSDDD het implementatietraject </w:t>
      </w:r>
      <w:r w:rsidRPr="009958A8">
        <w:rPr>
          <w:rFonts w:eastAsiaTheme="minorEastAsia"/>
          <w:lang w:val="nl-NL"/>
        </w:rPr>
        <w:t>van de huidige Wet internationaal verantwoord ondernemen (Wivo)</w:t>
      </w:r>
      <w:r w:rsidRPr="009958A8" w:rsidR="00455CD9">
        <w:rPr>
          <w:rFonts w:eastAsiaTheme="minorEastAsia"/>
          <w:lang w:val="nl-NL"/>
        </w:rPr>
        <w:t xml:space="preserve"> weer oppakken</w:t>
      </w:r>
      <w:r w:rsidRPr="009958A8">
        <w:rPr>
          <w:rFonts w:eastAsiaTheme="minorEastAsia"/>
          <w:lang w:val="nl-NL"/>
        </w:rPr>
        <w:t xml:space="preserve">. </w:t>
      </w:r>
      <w:r w:rsidRPr="009958A8" w:rsidR="00455CD9">
        <w:rPr>
          <w:rFonts w:eastAsiaTheme="minorEastAsia"/>
          <w:lang w:val="nl-NL"/>
        </w:rPr>
        <w:t>Het kabinet zal</w:t>
      </w:r>
      <w:r w:rsidR="00455CD9">
        <w:rPr>
          <w:rFonts w:eastAsiaTheme="minorEastAsia"/>
          <w:lang w:val="nl-NL"/>
        </w:rPr>
        <w:t xml:space="preserve"> </w:t>
      </w:r>
      <w:r w:rsidRPr="00566871">
        <w:rPr>
          <w:rFonts w:eastAsiaTheme="minorEastAsia"/>
          <w:lang w:val="nl-NL"/>
        </w:rPr>
        <w:t>de Kamer informeren over het tijdspad zoals verzocht in de motie Ceder Hirsch (Motie 501-02, nr. 3031).</w:t>
      </w:r>
    </w:p>
    <w:p w:rsidRPr="00566871" w:rsidR="007E51DB" w:rsidP="009958A8" w:rsidRDefault="007E51DB" w14:paraId="57573560" w14:textId="4F7251BC">
      <w:pPr>
        <w:spacing w:after="0" w:line="276" w:lineRule="auto"/>
        <w:rPr>
          <w:rFonts w:eastAsiaTheme="minorEastAsia"/>
          <w:b/>
          <w:bCs/>
          <w:i/>
          <w:iCs/>
          <w:color w:val="FF0000"/>
          <w:lang w:val="nl-NL"/>
        </w:rPr>
      </w:pPr>
    </w:p>
    <w:p w:rsidRPr="00566871" w:rsidR="00A31F23" w:rsidP="009958A8" w:rsidRDefault="0ABB47B1" w14:paraId="6A460241" w14:textId="5B895DD5">
      <w:pPr>
        <w:spacing w:after="0" w:line="276" w:lineRule="auto"/>
        <w:rPr>
          <w:rFonts w:eastAsiaTheme="minorEastAsia"/>
          <w:i/>
          <w:iCs/>
          <w:lang w:val="nl-NL"/>
        </w:rPr>
      </w:pPr>
      <w:r w:rsidRPr="00566871">
        <w:rPr>
          <w:rFonts w:eastAsiaTheme="minorEastAsia"/>
          <w:i/>
          <w:iCs/>
          <w:lang w:val="nl-NL"/>
        </w:rPr>
        <w:t xml:space="preserve">Motie De Korte-Ceder </w:t>
      </w:r>
    </w:p>
    <w:p w:rsidRPr="00566871" w:rsidR="005A45B3" w:rsidP="009958A8" w:rsidRDefault="005A45B3" w14:paraId="1036896C" w14:textId="5D620B13">
      <w:pPr>
        <w:spacing w:after="0" w:line="276" w:lineRule="auto"/>
        <w:rPr>
          <w:rFonts w:eastAsiaTheme="minorEastAsia"/>
          <w:lang w:val="nl-NL"/>
        </w:rPr>
      </w:pPr>
      <w:r w:rsidRPr="00566871">
        <w:rPr>
          <w:rFonts w:eastAsiaTheme="minorEastAsia"/>
          <w:lang w:val="nl-NL"/>
        </w:rPr>
        <w:t xml:space="preserve">Het CPB publiceerde op 1 mei </w:t>
      </w:r>
      <w:r w:rsidRPr="00566871" w:rsidR="00354A61">
        <w:rPr>
          <w:rFonts w:eastAsiaTheme="minorEastAsia"/>
          <w:lang w:val="nl-NL"/>
        </w:rPr>
        <w:t xml:space="preserve">op de website </w:t>
      </w:r>
      <w:r w:rsidRPr="00566871">
        <w:rPr>
          <w:rFonts w:eastAsiaTheme="minorEastAsia"/>
          <w:lang w:val="nl-NL"/>
        </w:rPr>
        <w:t xml:space="preserve">een studie naar de effecten van </w:t>
      </w:r>
      <w:r w:rsidRPr="00566871" w:rsidR="008E39C1">
        <w:rPr>
          <w:rFonts w:eastAsiaTheme="minorEastAsia"/>
          <w:lang w:val="nl-NL"/>
        </w:rPr>
        <w:t>Amerikaanse</w:t>
      </w:r>
      <w:r w:rsidRPr="00566871">
        <w:rPr>
          <w:rFonts w:eastAsiaTheme="minorEastAsia"/>
          <w:lang w:val="nl-NL"/>
        </w:rPr>
        <w:t xml:space="preserve"> </w:t>
      </w:r>
      <w:r w:rsidRPr="009958A8" w:rsidR="004420A2">
        <w:rPr>
          <w:rFonts w:eastAsiaTheme="minorEastAsia"/>
          <w:lang w:val="nl-NL"/>
        </w:rPr>
        <w:t>importheffingen</w:t>
      </w:r>
      <w:r w:rsidR="009958A8">
        <w:rPr>
          <w:rFonts w:eastAsiaTheme="minorEastAsia"/>
          <w:lang w:val="nl-NL"/>
        </w:rPr>
        <w:t xml:space="preserve"> </w:t>
      </w:r>
      <w:r w:rsidRPr="009958A8">
        <w:rPr>
          <w:rFonts w:eastAsiaTheme="minorEastAsia"/>
          <w:lang w:val="nl-NL"/>
        </w:rPr>
        <w:t>in</w:t>
      </w:r>
      <w:r w:rsidRPr="00566871">
        <w:rPr>
          <w:rFonts w:eastAsiaTheme="minorEastAsia"/>
          <w:lang w:val="nl-NL"/>
        </w:rPr>
        <w:t xml:space="preserve"> twee verschillende scenario’s.</w:t>
      </w:r>
      <w:r w:rsidRPr="00566871">
        <w:rPr>
          <w:rStyle w:val="FootnoteReference"/>
          <w:rFonts w:eastAsiaTheme="minorEastAsia"/>
          <w:lang w:val="nl-NL"/>
        </w:rPr>
        <w:footnoteReference w:id="10"/>
      </w:r>
      <w:r w:rsidRPr="00566871">
        <w:rPr>
          <w:rFonts w:eastAsiaTheme="minorEastAsia"/>
          <w:lang w:val="nl-NL"/>
        </w:rPr>
        <w:t xml:space="preserve"> In navolging van de motie De Korte-Ceder informeer ik uw Kamer via deze weg en beschouw ik de motie als uitgevoer</w:t>
      </w:r>
      <w:r w:rsidRPr="00566871" w:rsidR="000119AC">
        <w:rPr>
          <w:rFonts w:eastAsiaTheme="minorEastAsia"/>
          <w:lang w:val="nl-NL"/>
        </w:rPr>
        <w:t>d.</w:t>
      </w:r>
      <w:r w:rsidRPr="00566871" w:rsidR="000119AC">
        <w:rPr>
          <w:rStyle w:val="FootnoteReference"/>
          <w:rFonts w:eastAsiaTheme="minorEastAsia"/>
          <w:lang w:val="nl-NL"/>
        </w:rPr>
        <w:footnoteReference w:id="11"/>
      </w:r>
      <w:r w:rsidRPr="00566871">
        <w:rPr>
          <w:rFonts w:eastAsiaTheme="minorEastAsia"/>
          <w:lang w:val="nl-NL"/>
        </w:rPr>
        <w:t xml:space="preserve"> </w:t>
      </w:r>
    </w:p>
    <w:p w:rsidRPr="002800BD" w:rsidR="005A45B3" w:rsidP="009958A8" w:rsidRDefault="005A45B3" w14:paraId="1742AE88" w14:textId="77777777">
      <w:pPr>
        <w:spacing w:after="0" w:line="276" w:lineRule="auto"/>
        <w:rPr>
          <w:rFonts w:asciiTheme="minorHAnsi" w:hAnsiTheme="minorHAnsi" w:eastAsiaTheme="minorEastAsia"/>
          <w:lang w:val="nl-NL"/>
        </w:rPr>
      </w:pPr>
    </w:p>
    <w:p w:rsidRPr="005A45B3" w:rsidR="005A45B3" w:rsidP="009958A8" w:rsidRDefault="005A45B3" w14:paraId="54719EF1" w14:textId="06688077">
      <w:pPr>
        <w:tabs>
          <w:tab w:val="left" w:pos="1740"/>
        </w:tabs>
        <w:spacing w:line="276" w:lineRule="auto"/>
        <w:rPr>
          <w:rFonts w:asciiTheme="minorHAnsi" w:hAnsiTheme="minorHAnsi" w:eastAsiaTheme="minorEastAsia"/>
          <w:lang w:val="nl-NL"/>
        </w:rPr>
      </w:pPr>
    </w:p>
    <w:sectPr w:rsidRPr="005A45B3" w:rsidR="005A45B3">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D17C" w14:textId="77777777" w:rsidR="00113243" w:rsidRDefault="00113243" w:rsidP="00113243">
      <w:pPr>
        <w:spacing w:after="0"/>
      </w:pPr>
      <w:r>
        <w:separator/>
      </w:r>
    </w:p>
  </w:endnote>
  <w:endnote w:type="continuationSeparator" w:id="0">
    <w:p w14:paraId="23881AF0" w14:textId="77777777" w:rsidR="00113243" w:rsidRDefault="00113243" w:rsidP="00113243">
      <w:pPr>
        <w:spacing w:after="0"/>
      </w:pPr>
      <w:r>
        <w:continuationSeparator/>
      </w:r>
    </w:p>
  </w:endnote>
  <w:endnote w:type="continuationNotice" w:id="1">
    <w:p w14:paraId="000121B1" w14:textId="77777777" w:rsidR="006F5097" w:rsidRDefault="006F5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428181"/>
      <w:docPartObj>
        <w:docPartGallery w:val="Page Numbers (Bottom of Page)"/>
        <w:docPartUnique/>
      </w:docPartObj>
    </w:sdtPr>
    <w:sdtEndPr/>
    <w:sdtContent>
      <w:sdt>
        <w:sdtPr>
          <w:id w:val="-1769616900"/>
          <w:docPartObj>
            <w:docPartGallery w:val="Page Numbers (Top of Page)"/>
            <w:docPartUnique/>
          </w:docPartObj>
        </w:sdtPr>
        <w:sdtEndPr/>
        <w:sdtContent>
          <w:p w14:paraId="13A3E1A6" w14:textId="54351146" w:rsidR="00731C74" w:rsidRDefault="00731C74">
            <w:pPr>
              <w:pStyle w:val="Footer"/>
              <w:jc w:val="right"/>
            </w:pPr>
            <w:r w:rsidRPr="00731C74">
              <w:rPr>
                <w:sz w:val="14"/>
                <w:szCs w:val="18"/>
                <w:lang w:val="nl-NL"/>
              </w:rPr>
              <w:t xml:space="preserve">Pagina </w:t>
            </w:r>
            <w:r w:rsidRPr="00731C74">
              <w:rPr>
                <w:sz w:val="20"/>
                <w:szCs w:val="20"/>
              </w:rPr>
              <w:fldChar w:fldCharType="begin"/>
            </w:r>
            <w:r w:rsidRPr="00731C74">
              <w:rPr>
                <w:sz w:val="14"/>
                <w:szCs w:val="18"/>
              </w:rPr>
              <w:instrText>PAGE</w:instrText>
            </w:r>
            <w:r w:rsidRPr="00731C74">
              <w:rPr>
                <w:sz w:val="20"/>
                <w:szCs w:val="20"/>
              </w:rPr>
              <w:fldChar w:fldCharType="separate"/>
            </w:r>
            <w:r w:rsidRPr="00731C74">
              <w:rPr>
                <w:sz w:val="14"/>
                <w:szCs w:val="18"/>
                <w:lang w:val="nl-NL"/>
              </w:rPr>
              <w:t>2</w:t>
            </w:r>
            <w:r w:rsidRPr="00731C74">
              <w:rPr>
                <w:sz w:val="20"/>
                <w:szCs w:val="20"/>
              </w:rPr>
              <w:fldChar w:fldCharType="end"/>
            </w:r>
            <w:r w:rsidRPr="00731C74">
              <w:rPr>
                <w:sz w:val="14"/>
                <w:szCs w:val="18"/>
                <w:lang w:val="nl-NL"/>
              </w:rPr>
              <w:t xml:space="preserve"> van </w:t>
            </w:r>
            <w:r w:rsidRPr="00731C74">
              <w:rPr>
                <w:sz w:val="20"/>
                <w:szCs w:val="20"/>
              </w:rPr>
              <w:fldChar w:fldCharType="begin"/>
            </w:r>
            <w:r w:rsidRPr="00731C74">
              <w:rPr>
                <w:sz w:val="14"/>
                <w:szCs w:val="18"/>
              </w:rPr>
              <w:instrText>NUMPAGES</w:instrText>
            </w:r>
            <w:r w:rsidRPr="00731C74">
              <w:rPr>
                <w:sz w:val="20"/>
                <w:szCs w:val="20"/>
              </w:rPr>
              <w:fldChar w:fldCharType="separate"/>
            </w:r>
            <w:r w:rsidRPr="00731C74">
              <w:rPr>
                <w:sz w:val="14"/>
                <w:szCs w:val="18"/>
                <w:lang w:val="nl-NL"/>
              </w:rPr>
              <w:t>2</w:t>
            </w:r>
            <w:r w:rsidRPr="00731C74">
              <w:rPr>
                <w:sz w:val="20"/>
                <w:szCs w:val="20"/>
              </w:rPr>
              <w:fldChar w:fldCharType="end"/>
            </w:r>
          </w:p>
        </w:sdtContent>
      </w:sdt>
    </w:sdtContent>
  </w:sdt>
  <w:p w14:paraId="167D8907" w14:textId="77777777" w:rsidR="00731C74" w:rsidRDefault="0073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5654" w14:textId="77777777" w:rsidR="00113243" w:rsidRDefault="00113243" w:rsidP="00113243">
      <w:pPr>
        <w:spacing w:after="0"/>
      </w:pPr>
      <w:r>
        <w:separator/>
      </w:r>
    </w:p>
  </w:footnote>
  <w:footnote w:type="continuationSeparator" w:id="0">
    <w:p w14:paraId="0669A258" w14:textId="77777777" w:rsidR="00113243" w:rsidRDefault="00113243" w:rsidP="00113243">
      <w:pPr>
        <w:spacing w:after="0"/>
      </w:pPr>
      <w:r>
        <w:continuationSeparator/>
      </w:r>
    </w:p>
  </w:footnote>
  <w:footnote w:type="continuationNotice" w:id="1">
    <w:p w14:paraId="2FCA0430" w14:textId="77777777" w:rsidR="006F5097" w:rsidRDefault="006F5097">
      <w:pPr>
        <w:spacing w:after="0"/>
      </w:pPr>
    </w:p>
  </w:footnote>
  <w:footnote w:id="2">
    <w:p w14:paraId="5D890401" w14:textId="77777777" w:rsidR="000858DE" w:rsidRPr="00566871" w:rsidRDefault="000858DE" w:rsidP="0ABB47B1">
      <w:pPr>
        <w:pStyle w:val="FootnoteText"/>
        <w:rPr>
          <w:sz w:val="16"/>
          <w:szCs w:val="16"/>
          <w:lang w:val="nl-NL"/>
        </w:rPr>
      </w:pPr>
      <w:r w:rsidRPr="00566871">
        <w:rPr>
          <w:rStyle w:val="FootnoteReference"/>
          <w:sz w:val="16"/>
          <w:szCs w:val="16"/>
        </w:rPr>
        <w:footnoteRef/>
      </w:r>
      <w:r w:rsidRPr="00566871">
        <w:rPr>
          <w:sz w:val="16"/>
          <w:szCs w:val="16"/>
          <w:lang w:val="nl-NL"/>
        </w:rPr>
        <w:t xml:space="preserve"> Kamerstukken II, vergaderjaar 2023-2024, 36 410 XVII, nr. 29.</w:t>
      </w:r>
    </w:p>
  </w:footnote>
  <w:footnote w:id="3">
    <w:p w14:paraId="7D7C9FD3" w14:textId="48FAB30F" w:rsidR="0034353C" w:rsidRPr="0034353C" w:rsidRDefault="0034353C">
      <w:pPr>
        <w:pStyle w:val="FootnoteText"/>
        <w:rPr>
          <w:sz w:val="16"/>
          <w:szCs w:val="16"/>
          <w:lang w:val="nl-NL"/>
        </w:rPr>
      </w:pPr>
      <w:r w:rsidRPr="0034353C">
        <w:rPr>
          <w:rStyle w:val="FootnoteReference"/>
          <w:sz w:val="16"/>
          <w:szCs w:val="16"/>
        </w:rPr>
        <w:footnoteRef/>
      </w:r>
      <w:r w:rsidRPr="0034353C">
        <w:rPr>
          <w:sz w:val="16"/>
          <w:szCs w:val="16"/>
          <w:lang w:val="nl-NL"/>
        </w:rPr>
        <w:t xml:space="preserve"> </w:t>
      </w:r>
      <w:hyperlink r:id="rId1" w:history="1">
        <w:r w:rsidRPr="0034353C">
          <w:rPr>
            <w:rStyle w:val="Hyperlink"/>
            <w:sz w:val="16"/>
            <w:szCs w:val="16"/>
            <w:lang w:val="nl-NL"/>
          </w:rPr>
          <w:t>https://www.consilium.europa.eu/media/ny3j24sm/much-more-than-a-market-report-by-enrico-letta.pdf</w:t>
        </w:r>
      </w:hyperlink>
      <w:r w:rsidRPr="0034353C">
        <w:rPr>
          <w:sz w:val="16"/>
          <w:szCs w:val="16"/>
          <w:lang w:val="nl-NL"/>
        </w:rPr>
        <w:t xml:space="preserve"> </w:t>
      </w:r>
    </w:p>
  </w:footnote>
  <w:footnote w:id="4">
    <w:p w14:paraId="06D648BB" w14:textId="3B5B374B" w:rsidR="0034353C" w:rsidRPr="0034353C" w:rsidRDefault="0034353C">
      <w:pPr>
        <w:pStyle w:val="FootnoteText"/>
        <w:rPr>
          <w:lang w:val="nl-NL"/>
        </w:rPr>
      </w:pPr>
      <w:r w:rsidRPr="0034353C">
        <w:rPr>
          <w:rStyle w:val="FootnoteReference"/>
          <w:sz w:val="16"/>
          <w:szCs w:val="16"/>
        </w:rPr>
        <w:footnoteRef/>
      </w:r>
      <w:r w:rsidRPr="0034353C">
        <w:rPr>
          <w:sz w:val="16"/>
          <w:szCs w:val="16"/>
          <w:lang w:val="nl-NL"/>
        </w:rPr>
        <w:t xml:space="preserve"> </w:t>
      </w:r>
      <w:hyperlink r:id="rId2" w:history="1">
        <w:r w:rsidRPr="0034353C">
          <w:rPr>
            <w:rStyle w:val="Hyperlink"/>
            <w:sz w:val="16"/>
            <w:szCs w:val="16"/>
            <w:lang w:val="nl-NL"/>
          </w:rPr>
          <w:t>https://commission.europa.eu/topics/eu-competitiveness/draghi-report_en</w:t>
        </w:r>
      </w:hyperlink>
      <w:r w:rsidRPr="0034353C">
        <w:rPr>
          <w:sz w:val="16"/>
          <w:szCs w:val="16"/>
          <w:lang w:val="nl-NL"/>
        </w:rPr>
        <w:t xml:space="preserve"> </w:t>
      </w:r>
    </w:p>
  </w:footnote>
  <w:footnote w:id="5">
    <w:p w14:paraId="2D25CDA2" w14:textId="54998D8C" w:rsidR="0074230E" w:rsidRPr="00566871" w:rsidRDefault="0074230E" w:rsidP="0ABB47B1">
      <w:pPr>
        <w:pStyle w:val="FootnoteText"/>
        <w:rPr>
          <w:sz w:val="16"/>
          <w:szCs w:val="16"/>
          <w:lang w:val="nl-NL"/>
        </w:rPr>
      </w:pPr>
      <w:r w:rsidRPr="00566871">
        <w:rPr>
          <w:rStyle w:val="FootnoteReference"/>
          <w:sz w:val="16"/>
          <w:szCs w:val="16"/>
        </w:rPr>
        <w:footnoteRef/>
      </w:r>
      <w:r w:rsidRPr="00566871">
        <w:rPr>
          <w:sz w:val="16"/>
          <w:szCs w:val="16"/>
          <w:lang w:val="nl-NL"/>
        </w:rPr>
        <w:t xml:space="preserve"> Kamerstuk</w:t>
      </w:r>
      <w:r w:rsidR="005A45B3" w:rsidRPr="00566871">
        <w:rPr>
          <w:sz w:val="16"/>
          <w:szCs w:val="16"/>
          <w:lang w:val="nl-NL"/>
        </w:rPr>
        <w:t>ken II, vergaderjaar 2023-2024,</w:t>
      </w:r>
      <w:r w:rsidRPr="00566871">
        <w:rPr>
          <w:sz w:val="16"/>
          <w:szCs w:val="16"/>
          <w:lang w:val="nl-NL"/>
        </w:rPr>
        <w:t xml:space="preserve"> 22 112, nr. 3905</w:t>
      </w:r>
      <w:r w:rsidR="000119AC" w:rsidRPr="00566871">
        <w:rPr>
          <w:sz w:val="16"/>
          <w:szCs w:val="16"/>
          <w:lang w:val="nl-NL"/>
        </w:rPr>
        <w:t>.</w:t>
      </w:r>
    </w:p>
  </w:footnote>
  <w:footnote w:id="6">
    <w:p w14:paraId="755FB52C" w14:textId="77777777" w:rsidR="00085D98" w:rsidRPr="00566871" w:rsidRDefault="00085D98" w:rsidP="0ABB47B1">
      <w:pPr>
        <w:pStyle w:val="FootnoteText"/>
        <w:rPr>
          <w:sz w:val="16"/>
          <w:szCs w:val="16"/>
          <w:lang w:val="nl-NL"/>
        </w:rPr>
      </w:pPr>
      <w:r w:rsidRPr="00566871">
        <w:rPr>
          <w:rStyle w:val="FootnoteReference"/>
          <w:sz w:val="16"/>
          <w:szCs w:val="16"/>
        </w:rPr>
        <w:footnoteRef/>
      </w:r>
      <w:r w:rsidRPr="00566871">
        <w:rPr>
          <w:sz w:val="16"/>
          <w:szCs w:val="16"/>
          <w:lang w:val="nl-NL"/>
        </w:rPr>
        <w:t xml:space="preserve"> Kamerstukken II, vergaderjaar 2024-2025, 21 501-02, nr. 3096, en </w:t>
      </w:r>
    </w:p>
  </w:footnote>
  <w:footnote w:id="7">
    <w:p w14:paraId="17F088F5" w14:textId="227BA463" w:rsidR="00B436C2" w:rsidRPr="00566871" w:rsidRDefault="00B436C2" w:rsidP="0ABB47B1">
      <w:pPr>
        <w:pStyle w:val="FootnoteText"/>
        <w:rPr>
          <w:sz w:val="16"/>
          <w:szCs w:val="16"/>
          <w:lang w:val="nl-NL"/>
        </w:rPr>
      </w:pPr>
      <w:r w:rsidRPr="00566871">
        <w:rPr>
          <w:rStyle w:val="FootnoteReference"/>
          <w:sz w:val="16"/>
          <w:szCs w:val="16"/>
        </w:rPr>
        <w:footnoteRef/>
      </w:r>
      <w:r w:rsidRPr="00566871">
        <w:rPr>
          <w:sz w:val="16"/>
          <w:szCs w:val="16"/>
          <w:lang w:val="nl-NL"/>
        </w:rPr>
        <w:t xml:space="preserve"> 2025Z00530/2025D19050</w:t>
      </w:r>
    </w:p>
  </w:footnote>
  <w:footnote w:id="8">
    <w:p w14:paraId="189B35F2" w14:textId="77777777" w:rsidR="00812249" w:rsidRPr="000119AC" w:rsidRDefault="00812249" w:rsidP="0ABB47B1">
      <w:pPr>
        <w:pStyle w:val="FootnoteText"/>
        <w:rPr>
          <w:sz w:val="14"/>
          <w:szCs w:val="14"/>
          <w:lang w:val="nl-NL"/>
        </w:rPr>
      </w:pPr>
      <w:r w:rsidRPr="00566871">
        <w:rPr>
          <w:rStyle w:val="FootnoteReference"/>
          <w:sz w:val="16"/>
          <w:szCs w:val="16"/>
        </w:rPr>
        <w:footnoteRef/>
      </w:r>
      <w:r w:rsidRPr="00566871">
        <w:rPr>
          <w:sz w:val="16"/>
          <w:szCs w:val="16"/>
          <w:lang w:val="nl-NL"/>
        </w:rPr>
        <w:t xml:space="preserve"> TZ202406-004</w:t>
      </w:r>
    </w:p>
  </w:footnote>
  <w:footnote w:id="9">
    <w:p w14:paraId="6C5B8A79" w14:textId="4B80CD99" w:rsidR="005A45B3" w:rsidRPr="00566871" w:rsidRDefault="005A45B3" w:rsidP="0ABB47B1">
      <w:pPr>
        <w:pStyle w:val="FootnoteText"/>
        <w:rPr>
          <w:sz w:val="16"/>
          <w:szCs w:val="16"/>
          <w:lang w:val="nl-NL"/>
        </w:rPr>
      </w:pPr>
      <w:r w:rsidRPr="00566871">
        <w:rPr>
          <w:rStyle w:val="FootnoteReference"/>
          <w:sz w:val="16"/>
          <w:szCs w:val="16"/>
        </w:rPr>
        <w:footnoteRef/>
      </w:r>
      <w:r w:rsidRPr="00566871">
        <w:rPr>
          <w:sz w:val="16"/>
          <w:szCs w:val="16"/>
          <w:lang w:val="nl-NL"/>
        </w:rPr>
        <w:t xml:space="preserve"> Kamerstuk</w:t>
      </w:r>
      <w:r w:rsidR="000119AC" w:rsidRPr="00566871">
        <w:rPr>
          <w:sz w:val="16"/>
          <w:szCs w:val="16"/>
          <w:lang w:val="nl-NL"/>
        </w:rPr>
        <w:t>ken II, vergaderjaar 2024-2025,</w:t>
      </w:r>
      <w:r w:rsidRPr="00566871">
        <w:rPr>
          <w:sz w:val="16"/>
          <w:szCs w:val="16"/>
          <w:lang w:val="nl-NL"/>
        </w:rPr>
        <w:t xml:space="preserve"> 22</w:t>
      </w:r>
      <w:r w:rsidR="000119AC" w:rsidRPr="00566871">
        <w:rPr>
          <w:sz w:val="16"/>
          <w:szCs w:val="16"/>
          <w:lang w:val="nl-NL"/>
        </w:rPr>
        <w:t xml:space="preserve"> </w:t>
      </w:r>
      <w:r w:rsidRPr="00566871">
        <w:rPr>
          <w:sz w:val="16"/>
          <w:szCs w:val="16"/>
          <w:lang w:val="nl-NL"/>
        </w:rPr>
        <w:t>112</w:t>
      </w:r>
      <w:r w:rsidR="000119AC" w:rsidRPr="00566871">
        <w:rPr>
          <w:sz w:val="16"/>
          <w:szCs w:val="16"/>
          <w:lang w:val="nl-NL"/>
        </w:rPr>
        <w:t>,</w:t>
      </w:r>
      <w:r w:rsidRPr="00566871">
        <w:rPr>
          <w:sz w:val="16"/>
          <w:szCs w:val="16"/>
          <w:lang w:val="nl-NL"/>
        </w:rPr>
        <w:t xml:space="preserve"> nr. 4012</w:t>
      </w:r>
      <w:r w:rsidR="000119AC" w:rsidRPr="00566871">
        <w:rPr>
          <w:sz w:val="16"/>
          <w:szCs w:val="16"/>
          <w:lang w:val="nl-NL"/>
        </w:rPr>
        <w:t>.</w:t>
      </w:r>
    </w:p>
  </w:footnote>
  <w:footnote w:id="10">
    <w:p w14:paraId="30CD3CD3" w14:textId="0BE83F10" w:rsidR="005A45B3" w:rsidRPr="00566871" w:rsidRDefault="005A45B3" w:rsidP="005A45B3">
      <w:pPr>
        <w:pStyle w:val="FootnoteText"/>
        <w:rPr>
          <w:sz w:val="16"/>
          <w:szCs w:val="16"/>
          <w:lang w:val="nl-NL"/>
        </w:rPr>
      </w:pPr>
      <w:r w:rsidRPr="00566871">
        <w:rPr>
          <w:rStyle w:val="FootnoteReference"/>
          <w:sz w:val="16"/>
          <w:szCs w:val="16"/>
        </w:rPr>
        <w:footnoteRef/>
      </w:r>
      <w:r w:rsidRPr="00566871">
        <w:rPr>
          <w:sz w:val="16"/>
          <w:szCs w:val="16"/>
          <w:lang w:val="nl-NL"/>
        </w:rPr>
        <w:t xml:space="preserve"> </w:t>
      </w:r>
      <w:r w:rsidR="00D9615F" w:rsidRPr="00566871">
        <w:rPr>
          <w:sz w:val="16"/>
          <w:szCs w:val="16"/>
          <w:lang w:val="nl-NL"/>
        </w:rPr>
        <w:t>https://www.cpb.nl/economische-effecten-van-importheffingen</w:t>
      </w:r>
    </w:p>
  </w:footnote>
  <w:footnote w:id="11">
    <w:p w14:paraId="5778C50E" w14:textId="1E8CDEE0" w:rsidR="000119AC" w:rsidRPr="00A15598" w:rsidRDefault="000119AC" w:rsidP="0ABB47B1">
      <w:pPr>
        <w:pStyle w:val="FootnoteText"/>
        <w:rPr>
          <w:sz w:val="14"/>
          <w:szCs w:val="14"/>
        </w:rPr>
      </w:pPr>
      <w:r w:rsidRPr="00566871">
        <w:rPr>
          <w:rStyle w:val="FootnoteReference"/>
          <w:sz w:val="16"/>
          <w:szCs w:val="16"/>
        </w:rPr>
        <w:footnoteRef/>
      </w:r>
      <w:r w:rsidRPr="00566871">
        <w:rPr>
          <w:sz w:val="16"/>
          <w:szCs w:val="16"/>
        </w:rPr>
        <w:t xml:space="preserve"> </w:t>
      </w:r>
      <w:proofErr w:type="spellStart"/>
      <w:r w:rsidRPr="00566871">
        <w:rPr>
          <w:sz w:val="16"/>
          <w:szCs w:val="16"/>
        </w:rPr>
        <w:t>Kamerstukken</w:t>
      </w:r>
      <w:proofErr w:type="spellEnd"/>
      <w:r w:rsidRPr="00566871">
        <w:rPr>
          <w:sz w:val="16"/>
          <w:szCs w:val="16"/>
        </w:rPr>
        <w:t xml:space="preserve"> II, </w:t>
      </w:r>
      <w:proofErr w:type="spellStart"/>
      <w:r w:rsidRPr="00566871">
        <w:rPr>
          <w:sz w:val="16"/>
          <w:szCs w:val="16"/>
        </w:rPr>
        <w:t>vergaderjaar</w:t>
      </w:r>
      <w:proofErr w:type="spellEnd"/>
      <w:r w:rsidRPr="00566871">
        <w:rPr>
          <w:sz w:val="16"/>
          <w:szCs w:val="16"/>
        </w:rPr>
        <w:t xml:space="preserve"> 2024-2025, 21 501-02, nr. 3096.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B0"/>
    <w:rsid w:val="00005DB5"/>
    <w:rsid w:val="000119AC"/>
    <w:rsid w:val="00012D7F"/>
    <w:rsid w:val="00036642"/>
    <w:rsid w:val="00046A2E"/>
    <w:rsid w:val="0006156C"/>
    <w:rsid w:val="00062C2B"/>
    <w:rsid w:val="00062C45"/>
    <w:rsid w:val="000858DE"/>
    <w:rsid w:val="00085D98"/>
    <w:rsid w:val="000861AB"/>
    <w:rsid w:val="00093ACD"/>
    <w:rsid w:val="000A615D"/>
    <w:rsid w:val="000B1571"/>
    <w:rsid w:val="000B1C43"/>
    <w:rsid w:val="000B296F"/>
    <w:rsid w:val="000B5066"/>
    <w:rsid w:val="000B640A"/>
    <w:rsid w:val="000D5D0F"/>
    <w:rsid w:val="000E06F8"/>
    <w:rsid w:val="000E7A90"/>
    <w:rsid w:val="00100371"/>
    <w:rsid w:val="00113243"/>
    <w:rsid w:val="00114EE7"/>
    <w:rsid w:val="00116983"/>
    <w:rsid w:val="001262E3"/>
    <w:rsid w:val="00133693"/>
    <w:rsid w:val="001454E5"/>
    <w:rsid w:val="001570A1"/>
    <w:rsid w:val="00162609"/>
    <w:rsid w:val="001665B6"/>
    <w:rsid w:val="00166941"/>
    <w:rsid w:val="00184DE2"/>
    <w:rsid w:val="001A02E0"/>
    <w:rsid w:val="001A48EB"/>
    <w:rsid w:val="001B6BA1"/>
    <w:rsid w:val="001C2221"/>
    <w:rsid w:val="001C3EFB"/>
    <w:rsid w:val="001D01DA"/>
    <w:rsid w:val="001D60B3"/>
    <w:rsid w:val="001E6D94"/>
    <w:rsid w:val="00207A80"/>
    <w:rsid w:val="00213155"/>
    <w:rsid w:val="00215178"/>
    <w:rsid w:val="0021579F"/>
    <w:rsid w:val="0023641B"/>
    <w:rsid w:val="00236602"/>
    <w:rsid w:val="00241DEB"/>
    <w:rsid w:val="00252BB1"/>
    <w:rsid w:val="00263214"/>
    <w:rsid w:val="00274D0D"/>
    <w:rsid w:val="00275A09"/>
    <w:rsid w:val="002800BD"/>
    <w:rsid w:val="002A2267"/>
    <w:rsid w:val="002A4756"/>
    <w:rsid w:val="002C0346"/>
    <w:rsid w:val="002D2E0E"/>
    <w:rsid w:val="0034353C"/>
    <w:rsid w:val="00353098"/>
    <w:rsid w:val="00354A61"/>
    <w:rsid w:val="00373D7F"/>
    <w:rsid w:val="0039085C"/>
    <w:rsid w:val="003A3CE5"/>
    <w:rsid w:val="003B1290"/>
    <w:rsid w:val="003C57B5"/>
    <w:rsid w:val="003E5DA6"/>
    <w:rsid w:val="003F19B0"/>
    <w:rsid w:val="00405A65"/>
    <w:rsid w:val="00411F4B"/>
    <w:rsid w:val="004225F4"/>
    <w:rsid w:val="00422A88"/>
    <w:rsid w:val="0042634D"/>
    <w:rsid w:val="004317F7"/>
    <w:rsid w:val="004420A2"/>
    <w:rsid w:val="0044438B"/>
    <w:rsid w:val="00455CD9"/>
    <w:rsid w:val="004568E4"/>
    <w:rsid w:val="00476AB9"/>
    <w:rsid w:val="004773CA"/>
    <w:rsid w:val="004A1992"/>
    <w:rsid w:val="004B2FC5"/>
    <w:rsid w:val="004C2819"/>
    <w:rsid w:val="004C3230"/>
    <w:rsid w:val="004C5A22"/>
    <w:rsid w:val="004E0AA5"/>
    <w:rsid w:val="004E147B"/>
    <w:rsid w:val="004E4BDE"/>
    <w:rsid w:val="004E5A62"/>
    <w:rsid w:val="004F3AE5"/>
    <w:rsid w:val="00523BDC"/>
    <w:rsid w:val="00561B09"/>
    <w:rsid w:val="00566871"/>
    <w:rsid w:val="00570170"/>
    <w:rsid w:val="00577BAE"/>
    <w:rsid w:val="00584DDB"/>
    <w:rsid w:val="005A45B3"/>
    <w:rsid w:val="005A74EE"/>
    <w:rsid w:val="005E0060"/>
    <w:rsid w:val="00600626"/>
    <w:rsid w:val="0061060D"/>
    <w:rsid w:val="00617AED"/>
    <w:rsid w:val="00624E9F"/>
    <w:rsid w:val="00637146"/>
    <w:rsid w:val="00657B92"/>
    <w:rsid w:val="006A2866"/>
    <w:rsid w:val="006A67C0"/>
    <w:rsid w:val="006B2369"/>
    <w:rsid w:val="006B4895"/>
    <w:rsid w:val="006B5FF2"/>
    <w:rsid w:val="006E795A"/>
    <w:rsid w:val="006F5097"/>
    <w:rsid w:val="00720CF5"/>
    <w:rsid w:val="00726FAA"/>
    <w:rsid w:val="00731C74"/>
    <w:rsid w:val="00740180"/>
    <w:rsid w:val="0074230E"/>
    <w:rsid w:val="007436C1"/>
    <w:rsid w:val="00743F8B"/>
    <w:rsid w:val="007463FE"/>
    <w:rsid w:val="00746690"/>
    <w:rsid w:val="007647CA"/>
    <w:rsid w:val="00765F10"/>
    <w:rsid w:val="0077570D"/>
    <w:rsid w:val="007D6D9C"/>
    <w:rsid w:val="007E221A"/>
    <w:rsid w:val="007E5089"/>
    <w:rsid w:val="007E51DB"/>
    <w:rsid w:val="008018D6"/>
    <w:rsid w:val="00812249"/>
    <w:rsid w:val="00825D1E"/>
    <w:rsid w:val="00831D77"/>
    <w:rsid w:val="008333B0"/>
    <w:rsid w:val="00833FCE"/>
    <w:rsid w:val="00863676"/>
    <w:rsid w:val="00870B02"/>
    <w:rsid w:val="00881E4F"/>
    <w:rsid w:val="00885072"/>
    <w:rsid w:val="008A5F49"/>
    <w:rsid w:val="008A77BA"/>
    <w:rsid w:val="008B6408"/>
    <w:rsid w:val="008C22D8"/>
    <w:rsid w:val="008E39C1"/>
    <w:rsid w:val="008F20BA"/>
    <w:rsid w:val="009227D3"/>
    <w:rsid w:val="009411A5"/>
    <w:rsid w:val="00954B47"/>
    <w:rsid w:val="00962D12"/>
    <w:rsid w:val="009949F0"/>
    <w:rsid w:val="009958A8"/>
    <w:rsid w:val="009A28B5"/>
    <w:rsid w:val="009A31EC"/>
    <w:rsid w:val="009A3692"/>
    <w:rsid w:val="009D5BBD"/>
    <w:rsid w:val="009F71D9"/>
    <w:rsid w:val="00A15598"/>
    <w:rsid w:val="00A31F23"/>
    <w:rsid w:val="00A33B66"/>
    <w:rsid w:val="00A472EE"/>
    <w:rsid w:val="00A662B3"/>
    <w:rsid w:val="00A7284D"/>
    <w:rsid w:val="00A937C7"/>
    <w:rsid w:val="00A95E76"/>
    <w:rsid w:val="00AA2CF9"/>
    <w:rsid w:val="00AB1D41"/>
    <w:rsid w:val="00AC64C3"/>
    <w:rsid w:val="00AF0162"/>
    <w:rsid w:val="00B436C2"/>
    <w:rsid w:val="00B54082"/>
    <w:rsid w:val="00B57258"/>
    <w:rsid w:val="00B66AB4"/>
    <w:rsid w:val="00BA58ED"/>
    <w:rsid w:val="00BB3C90"/>
    <w:rsid w:val="00BC7FA4"/>
    <w:rsid w:val="00C25CBD"/>
    <w:rsid w:val="00C37F21"/>
    <w:rsid w:val="00C4255C"/>
    <w:rsid w:val="00C44D3E"/>
    <w:rsid w:val="00C72F8D"/>
    <w:rsid w:val="00CA2C97"/>
    <w:rsid w:val="00CC10F8"/>
    <w:rsid w:val="00CC6DE1"/>
    <w:rsid w:val="00CC6E99"/>
    <w:rsid w:val="00D05E31"/>
    <w:rsid w:val="00D13083"/>
    <w:rsid w:val="00D305CE"/>
    <w:rsid w:val="00D353F3"/>
    <w:rsid w:val="00D7263B"/>
    <w:rsid w:val="00D80207"/>
    <w:rsid w:val="00D9615F"/>
    <w:rsid w:val="00D96936"/>
    <w:rsid w:val="00D9751C"/>
    <w:rsid w:val="00DA1E17"/>
    <w:rsid w:val="00DA69F2"/>
    <w:rsid w:val="00DB7D8E"/>
    <w:rsid w:val="00DC2887"/>
    <w:rsid w:val="00DC2F5D"/>
    <w:rsid w:val="00DC327E"/>
    <w:rsid w:val="00DC7E3F"/>
    <w:rsid w:val="00DD3DFA"/>
    <w:rsid w:val="00E00786"/>
    <w:rsid w:val="00E013CE"/>
    <w:rsid w:val="00E05E96"/>
    <w:rsid w:val="00E07524"/>
    <w:rsid w:val="00E3341B"/>
    <w:rsid w:val="00E422E1"/>
    <w:rsid w:val="00E4466E"/>
    <w:rsid w:val="00E55539"/>
    <w:rsid w:val="00E74411"/>
    <w:rsid w:val="00E85960"/>
    <w:rsid w:val="00E866FC"/>
    <w:rsid w:val="00EB6C55"/>
    <w:rsid w:val="00EF1DB8"/>
    <w:rsid w:val="00EF7605"/>
    <w:rsid w:val="00F046A3"/>
    <w:rsid w:val="00F30537"/>
    <w:rsid w:val="00F30E6A"/>
    <w:rsid w:val="00F310C5"/>
    <w:rsid w:val="00F55762"/>
    <w:rsid w:val="00F6061D"/>
    <w:rsid w:val="00F613D7"/>
    <w:rsid w:val="00F84EE1"/>
    <w:rsid w:val="00F8741F"/>
    <w:rsid w:val="00F95363"/>
    <w:rsid w:val="00FA3C26"/>
    <w:rsid w:val="00FA6128"/>
    <w:rsid w:val="00FD1931"/>
    <w:rsid w:val="00FE4622"/>
    <w:rsid w:val="0ABB47B1"/>
    <w:rsid w:val="12DE47C9"/>
    <w:rsid w:val="31C62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7781"/>
  <w15:chartTrackingRefBased/>
  <w15:docId w15:val="{906B734A-D7CC-438C-9A37-6F5CCA1B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09"/>
    <w:pPr>
      <w:spacing w:after="200" w:line="240" w:lineRule="auto"/>
    </w:pPr>
    <w:rPr>
      <w:rFonts w:ascii="Verdana" w:eastAsia="MS Mincho" w:hAnsi="Verdana"/>
      <w:kern w:val="0"/>
      <w:sz w:val="18"/>
      <w:lang w:val="en-US"/>
    </w:rPr>
  </w:style>
  <w:style w:type="paragraph" w:styleId="Heading1">
    <w:name w:val="heading 1"/>
    <w:basedOn w:val="Normal"/>
    <w:next w:val="Normal"/>
    <w:link w:val="Heading1Char"/>
    <w:uiPriority w:val="9"/>
    <w:qFormat/>
    <w:rsid w:val="008333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nl-NL"/>
    </w:rPr>
  </w:style>
  <w:style w:type="paragraph" w:styleId="Heading2">
    <w:name w:val="heading 2"/>
    <w:basedOn w:val="Normal"/>
    <w:next w:val="Normal"/>
    <w:link w:val="Heading2Char"/>
    <w:uiPriority w:val="9"/>
    <w:semiHidden/>
    <w:unhideWhenUsed/>
    <w:qFormat/>
    <w:rsid w:val="008333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nl-NL"/>
    </w:rPr>
  </w:style>
  <w:style w:type="paragraph" w:styleId="Heading3">
    <w:name w:val="heading 3"/>
    <w:basedOn w:val="Normal"/>
    <w:next w:val="Normal"/>
    <w:link w:val="Heading3Char"/>
    <w:uiPriority w:val="9"/>
    <w:semiHidden/>
    <w:unhideWhenUsed/>
    <w:qFormat/>
    <w:rsid w:val="008333B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nl-NL"/>
    </w:rPr>
  </w:style>
  <w:style w:type="paragraph" w:styleId="Heading4">
    <w:name w:val="heading 4"/>
    <w:basedOn w:val="Normal"/>
    <w:next w:val="Normal"/>
    <w:link w:val="Heading4Char"/>
    <w:uiPriority w:val="9"/>
    <w:semiHidden/>
    <w:unhideWhenUsed/>
    <w:qFormat/>
    <w:rsid w:val="008333B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nl-NL"/>
    </w:rPr>
  </w:style>
  <w:style w:type="paragraph" w:styleId="Heading5">
    <w:name w:val="heading 5"/>
    <w:basedOn w:val="Normal"/>
    <w:next w:val="Normal"/>
    <w:link w:val="Heading5Char"/>
    <w:uiPriority w:val="9"/>
    <w:semiHidden/>
    <w:unhideWhenUsed/>
    <w:qFormat/>
    <w:rsid w:val="008333B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nl-NL"/>
    </w:rPr>
  </w:style>
  <w:style w:type="paragraph" w:styleId="Heading6">
    <w:name w:val="heading 6"/>
    <w:basedOn w:val="Normal"/>
    <w:next w:val="Normal"/>
    <w:link w:val="Heading6Char"/>
    <w:uiPriority w:val="9"/>
    <w:semiHidden/>
    <w:unhideWhenUsed/>
    <w:qFormat/>
    <w:rsid w:val="008333B0"/>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nl-NL"/>
    </w:rPr>
  </w:style>
  <w:style w:type="paragraph" w:styleId="Heading7">
    <w:name w:val="heading 7"/>
    <w:basedOn w:val="Normal"/>
    <w:next w:val="Normal"/>
    <w:link w:val="Heading7Char"/>
    <w:uiPriority w:val="9"/>
    <w:semiHidden/>
    <w:unhideWhenUsed/>
    <w:qFormat/>
    <w:rsid w:val="008333B0"/>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nl-NL"/>
    </w:rPr>
  </w:style>
  <w:style w:type="paragraph" w:styleId="Heading8">
    <w:name w:val="heading 8"/>
    <w:basedOn w:val="Normal"/>
    <w:next w:val="Normal"/>
    <w:link w:val="Heading8Char"/>
    <w:uiPriority w:val="9"/>
    <w:semiHidden/>
    <w:unhideWhenUsed/>
    <w:qFormat/>
    <w:rsid w:val="008333B0"/>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nl-NL"/>
    </w:rPr>
  </w:style>
  <w:style w:type="paragraph" w:styleId="Heading9">
    <w:name w:val="heading 9"/>
    <w:basedOn w:val="Normal"/>
    <w:next w:val="Normal"/>
    <w:link w:val="Heading9Char"/>
    <w:uiPriority w:val="9"/>
    <w:semiHidden/>
    <w:unhideWhenUsed/>
    <w:qFormat/>
    <w:rsid w:val="008333B0"/>
    <w:pPr>
      <w:keepNext/>
      <w:keepLines/>
      <w:spacing w:after="0" w:line="259" w:lineRule="auto"/>
      <w:outlineLvl w:val="8"/>
    </w:pPr>
    <w:rPr>
      <w:rFonts w:asciiTheme="minorHAnsi" w:eastAsiaTheme="majorEastAsia" w:hAnsiTheme="minorHAnsi" w:cstheme="majorBidi"/>
      <w:color w:val="272727" w:themeColor="text1" w:themeTint="D8"/>
      <w:kern w:val="2"/>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3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3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3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3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3B0"/>
    <w:rPr>
      <w:rFonts w:eastAsiaTheme="majorEastAsia" w:cstheme="majorBidi"/>
      <w:color w:val="272727" w:themeColor="text1" w:themeTint="D8"/>
    </w:rPr>
  </w:style>
  <w:style w:type="paragraph" w:styleId="Title">
    <w:name w:val="Title"/>
    <w:basedOn w:val="Normal"/>
    <w:next w:val="Normal"/>
    <w:link w:val="TitleChar"/>
    <w:uiPriority w:val="10"/>
    <w:qFormat/>
    <w:rsid w:val="008333B0"/>
    <w:pPr>
      <w:spacing w:after="80"/>
      <w:contextualSpacing/>
    </w:pPr>
    <w:rPr>
      <w:rFonts w:asciiTheme="majorHAnsi" w:eastAsiaTheme="majorEastAsia" w:hAnsiTheme="majorHAnsi" w:cstheme="majorBidi"/>
      <w:spacing w:val="-10"/>
      <w:kern w:val="28"/>
      <w:sz w:val="56"/>
      <w:szCs w:val="56"/>
      <w:lang w:val="nl-NL"/>
    </w:rPr>
  </w:style>
  <w:style w:type="character" w:customStyle="1" w:styleId="TitleChar">
    <w:name w:val="Title Char"/>
    <w:basedOn w:val="DefaultParagraphFont"/>
    <w:link w:val="Title"/>
    <w:uiPriority w:val="10"/>
    <w:rsid w:val="00833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3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rPr>
  </w:style>
  <w:style w:type="character" w:customStyle="1" w:styleId="SubtitleChar">
    <w:name w:val="Subtitle Char"/>
    <w:basedOn w:val="DefaultParagraphFont"/>
    <w:link w:val="Subtitle"/>
    <w:uiPriority w:val="11"/>
    <w:rsid w:val="00833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3B0"/>
    <w:pPr>
      <w:spacing w:before="160" w:after="160" w:line="259" w:lineRule="auto"/>
      <w:jc w:val="center"/>
    </w:pPr>
    <w:rPr>
      <w:rFonts w:asciiTheme="minorHAnsi" w:eastAsiaTheme="minorHAnsi" w:hAnsiTheme="minorHAnsi"/>
      <w:i/>
      <w:iCs/>
      <w:color w:val="404040" w:themeColor="text1" w:themeTint="BF"/>
      <w:kern w:val="2"/>
      <w:sz w:val="22"/>
      <w:lang w:val="nl-NL"/>
    </w:rPr>
  </w:style>
  <w:style w:type="character" w:customStyle="1" w:styleId="QuoteChar">
    <w:name w:val="Quote Char"/>
    <w:basedOn w:val="DefaultParagraphFont"/>
    <w:link w:val="Quote"/>
    <w:uiPriority w:val="29"/>
    <w:rsid w:val="008333B0"/>
    <w:rPr>
      <w:i/>
      <w:iCs/>
      <w:color w:val="404040" w:themeColor="text1" w:themeTint="BF"/>
    </w:rPr>
  </w:style>
  <w:style w:type="paragraph" w:styleId="ListParagraph">
    <w:name w:val="List Paragraph"/>
    <w:basedOn w:val="Normal"/>
    <w:uiPriority w:val="34"/>
    <w:qFormat/>
    <w:rsid w:val="008333B0"/>
    <w:pPr>
      <w:spacing w:after="160" w:line="259" w:lineRule="auto"/>
      <w:ind w:left="720"/>
      <w:contextualSpacing/>
    </w:pPr>
    <w:rPr>
      <w:rFonts w:asciiTheme="minorHAnsi" w:eastAsiaTheme="minorHAnsi" w:hAnsiTheme="minorHAnsi"/>
      <w:kern w:val="2"/>
      <w:sz w:val="22"/>
      <w:lang w:val="nl-NL"/>
    </w:rPr>
  </w:style>
  <w:style w:type="character" w:styleId="IntenseEmphasis">
    <w:name w:val="Intense Emphasis"/>
    <w:basedOn w:val="DefaultParagraphFont"/>
    <w:uiPriority w:val="21"/>
    <w:qFormat/>
    <w:rsid w:val="008333B0"/>
    <w:rPr>
      <w:i/>
      <w:iCs/>
      <w:color w:val="2F5496" w:themeColor="accent1" w:themeShade="BF"/>
    </w:rPr>
  </w:style>
  <w:style w:type="paragraph" w:styleId="IntenseQuote">
    <w:name w:val="Intense Quote"/>
    <w:basedOn w:val="Normal"/>
    <w:next w:val="Normal"/>
    <w:link w:val="IntenseQuoteChar"/>
    <w:uiPriority w:val="30"/>
    <w:qFormat/>
    <w:rsid w:val="008333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sz w:val="22"/>
      <w:lang w:val="nl-NL"/>
    </w:rPr>
  </w:style>
  <w:style w:type="character" w:customStyle="1" w:styleId="IntenseQuoteChar">
    <w:name w:val="Intense Quote Char"/>
    <w:basedOn w:val="DefaultParagraphFont"/>
    <w:link w:val="IntenseQuote"/>
    <w:uiPriority w:val="30"/>
    <w:rsid w:val="008333B0"/>
    <w:rPr>
      <w:i/>
      <w:iCs/>
      <w:color w:val="2F5496" w:themeColor="accent1" w:themeShade="BF"/>
    </w:rPr>
  </w:style>
  <w:style w:type="character" w:styleId="IntenseReference">
    <w:name w:val="Intense Reference"/>
    <w:basedOn w:val="DefaultParagraphFont"/>
    <w:uiPriority w:val="32"/>
    <w:qFormat/>
    <w:rsid w:val="008333B0"/>
    <w:rPr>
      <w:b/>
      <w:bCs/>
      <w:smallCaps/>
      <w:color w:val="2F5496" w:themeColor="accent1" w:themeShade="BF"/>
      <w:spacing w:val="5"/>
    </w:rPr>
  </w:style>
  <w:style w:type="paragraph" w:styleId="FootnoteText">
    <w:name w:val="footnote text"/>
    <w:basedOn w:val="Normal"/>
    <w:link w:val="FootnoteTextChar"/>
    <w:uiPriority w:val="99"/>
    <w:semiHidden/>
    <w:unhideWhenUsed/>
    <w:rsid w:val="00113243"/>
    <w:pPr>
      <w:spacing w:after="0"/>
    </w:pPr>
    <w:rPr>
      <w:sz w:val="20"/>
      <w:szCs w:val="20"/>
    </w:rPr>
  </w:style>
  <w:style w:type="character" w:customStyle="1" w:styleId="FootnoteTextChar">
    <w:name w:val="Footnote Text Char"/>
    <w:basedOn w:val="DefaultParagraphFont"/>
    <w:link w:val="FootnoteText"/>
    <w:uiPriority w:val="99"/>
    <w:semiHidden/>
    <w:rsid w:val="00113243"/>
    <w:rPr>
      <w:rFonts w:ascii="Verdana" w:eastAsia="MS Mincho" w:hAnsi="Verdana"/>
      <w:kern w:val="0"/>
      <w:sz w:val="20"/>
      <w:szCs w:val="20"/>
      <w:lang w:val="en-US"/>
    </w:rPr>
  </w:style>
  <w:style w:type="character" w:styleId="FootnoteReference">
    <w:name w:val="footnote reference"/>
    <w:basedOn w:val="DefaultParagraphFont"/>
    <w:uiPriority w:val="99"/>
    <w:semiHidden/>
    <w:unhideWhenUsed/>
    <w:rsid w:val="00113243"/>
    <w:rPr>
      <w:vertAlign w:val="superscript"/>
    </w:rPr>
  </w:style>
  <w:style w:type="paragraph" w:styleId="Revision">
    <w:name w:val="Revision"/>
    <w:hidden/>
    <w:uiPriority w:val="99"/>
    <w:semiHidden/>
    <w:rsid w:val="001A48EB"/>
    <w:pPr>
      <w:spacing w:after="0" w:line="240" w:lineRule="auto"/>
    </w:pPr>
    <w:rPr>
      <w:rFonts w:ascii="Verdana" w:eastAsia="MS Mincho" w:hAnsi="Verdana"/>
      <w:kern w:val="0"/>
      <w:sz w:val="18"/>
      <w:lang w:val="en-US"/>
    </w:rPr>
  </w:style>
  <w:style w:type="paragraph" w:styleId="Header">
    <w:name w:val="header"/>
    <w:basedOn w:val="Normal"/>
    <w:link w:val="HeaderChar"/>
    <w:uiPriority w:val="99"/>
    <w:unhideWhenUsed/>
    <w:rsid w:val="006F5097"/>
    <w:pPr>
      <w:tabs>
        <w:tab w:val="center" w:pos="4513"/>
        <w:tab w:val="right" w:pos="9026"/>
      </w:tabs>
      <w:spacing w:after="0"/>
    </w:pPr>
  </w:style>
  <w:style w:type="character" w:customStyle="1" w:styleId="HeaderChar">
    <w:name w:val="Header Char"/>
    <w:basedOn w:val="DefaultParagraphFont"/>
    <w:link w:val="Header"/>
    <w:uiPriority w:val="99"/>
    <w:rsid w:val="006F5097"/>
    <w:rPr>
      <w:rFonts w:ascii="Verdana" w:eastAsia="MS Mincho" w:hAnsi="Verdana"/>
      <w:kern w:val="0"/>
      <w:sz w:val="18"/>
      <w:lang w:val="en-US"/>
    </w:rPr>
  </w:style>
  <w:style w:type="paragraph" w:styleId="Footer">
    <w:name w:val="footer"/>
    <w:basedOn w:val="Normal"/>
    <w:link w:val="FooterChar"/>
    <w:uiPriority w:val="99"/>
    <w:unhideWhenUsed/>
    <w:rsid w:val="006F5097"/>
    <w:pPr>
      <w:tabs>
        <w:tab w:val="center" w:pos="4513"/>
        <w:tab w:val="right" w:pos="9026"/>
      </w:tabs>
      <w:spacing w:after="0"/>
    </w:pPr>
  </w:style>
  <w:style w:type="character" w:customStyle="1" w:styleId="FooterChar">
    <w:name w:val="Footer Char"/>
    <w:basedOn w:val="DefaultParagraphFont"/>
    <w:link w:val="Footer"/>
    <w:uiPriority w:val="99"/>
    <w:rsid w:val="006F5097"/>
    <w:rPr>
      <w:rFonts w:ascii="Verdana" w:eastAsia="MS Mincho" w:hAnsi="Verdana"/>
      <w:kern w:val="0"/>
      <w:sz w:val="18"/>
      <w:lang w:val="en-US"/>
    </w:rPr>
  </w:style>
  <w:style w:type="character" w:styleId="CommentReference">
    <w:name w:val="annotation reference"/>
    <w:basedOn w:val="DefaultParagraphFont"/>
    <w:uiPriority w:val="99"/>
    <w:semiHidden/>
    <w:unhideWhenUsed/>
    <w:rsid w:val="007E5089"/>
    <w:rPr>
      <w:sz w:val="16"/>
      <w:szCs w:val="16"/>
    </w:rPr>
  </w:style>
  <w:style w:type="paragraph" w:styleId="CommentText">
    <w:name w:val="annotation text"/>
    <w:basedOn w:val="Normal"/>
    <w:link w:val="CommentTextChar"/>
    <w:uiPriority w:val="99"/>
    <w:unhideWhenUsed/>
    <w:rsid w:val="007E5089"/>
    <w:rPr>
      <w:sz w:val="20"/>
      <w:szCs w:val="20"/>
    </w:rPr>
  </w:style>
  <w:style w:type="character" w:customStyle="1" w:styleId="CommentTextChar">
    <w:name w:val="Comment Text Char"/>
    <w:basedOn w:val="DefaultParagraphFont"/>
    <w:link w:val="CommentText"/>
    <w:uiPriority w:val="99"/>
    <w:rsid w:val="007E5089"/>
    <w:rPr>
      <w:rFonts w:ascii="Verdana" w:eastAsia="MS Mincho" w:hAnsi="Verdana"/>
      <w:kern w:val="0"/>
      <w:sz w:val="20"/>
      <w:szCs w:val="20"/>
      <w:lang w:val="en-US"/>
    </w:rPr>
  </w:style>
  <w:style w:type="paragraph" w:styleId="CommentSubject">
    <w:name w:val="annotation subject"/>
    <w:basedOn w:val="CommentText"/>
    <w:next w:val="CommentText"/>
    <w:link w:val="CommentSubjectChar"/>
    <w:uiPriority w:val="99"/>
    <w:semiHidden/>
    <w:unhideWhenUsed/>
    <w:rsid w:val="007E5089"/>
    <w:rPr>
      <w:b/>
      <w:bCs/>
    </w:rPr>
  </w:style>
  <w:style w:type="character" w:customStyle="1" w:styleId="CommentSubjectChar">
    <w:name w:val="Comment Subject Char"/>
    <w:basedOn w:val="CommentTextChar"/>
    <w:link w:val="CommentSubject"/>
    <w:uiPriority w:val="99"/>
    <w:semiHidden/>
    <w:rsid w:val="007E5089"/>
    <w:rPr>
      <w:rFonts w:ascii="Verdana" w:eastAsia="MS Mincho" w:hAnsi="Verdana"/>
      <w:b/>
      <w:bCs/>
      <w:kern w:val="0"/>
      <w:sz w:val="20"/>
      <w:szCs w:val="20"/>
      <w:lang w:val="en-US"/>
    </w:rPr>
  </w:style>
  <w:style w:type="character" w:styleId="Hyperlink">
    <w:name w:val="Hyperlink"/>
    <w:basedOn w:val="DefaultParagraphFont"/>
    <w:uiPriority w:val="99"/>
    <w:unhideWhenUsed/>
    <w:rsid w:val="00D9615F"/>
    <w:rPr>
      <w:color w:val="0563C1" w:themeColor="hyperlink"/>
      <w:u w:val="single"/>
    </w:rPr>
  </w:style>
  <w:style w:type="character" w:styleId="UnresolvedMention">
    <w:name w:val="Unresolved Mention"/>
    <w:basedOn w:val="DefaultParagraphFont"/>
    <w:uiPriority w:val="99"/>
    <w:semiHidden/>
    <w:unhideWhenUsed/>
    <w:rsid w:val="00D9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2143">
      <w:bodyDiv w:val="1"/>
      <w:marLeft w:val="0"/>
      <w:marRight w:val="0"/>
      <w:marTop w:val="0"/>
      <w:marBottom w:val="0"/>
      <w:divBdr>
        <w:top w:val="none" w:sz="0" w:space="0" w:color="auto"/>
        <w:left w:val="none" w:sz="0" w:space="0" w:color="auto"/>
        <w:bottom w:val="none" w:sz="0" w:space="0" w:color="auto"/>
        <w:right w:val="none" w:sz="0" w:space="0" w:color="auto"/>
      </w:divBdr>
    </w:div>
    <w:div w:id="1509716287">
      <w:bodyDiv w:val="1"/>
      <w:marLeft w:val="0"/>
      <w:marRight w:val="0"/>
      <w:marTop w:val="0"/>
      <w:marBottom w:val="0"/>
      <w:divBdr>
        <w:top w:val="none" w:sz="0" w:space="0" w:color="auto"/>
        <w:left w:val="none" w:sz="0" w:space="0" w:color="auto"/>
        <w:bottom w:val="none" w:sz="0" w:space="0" w:color="auto"/>
        <w:right w:val="none" w:sz="0" w:space="0" w:color="auto"/>
      </w:divBdr>
    </w:div>
    <w:div w:id="1699117454">
      <w:bodyDiv w:val="1"/>
      <w:marLeft w:val="0"/>
      <w:marRight w:val="0"/>
      <w:marTop w:val="0"/>
      <w:marBottom w:val="0"/>
      <w:divBdr>
        <w:top w:val="none" w:sz="0" w:space="0" w:color="auto"/>
        <w:left w:val="none" w:sz="0" w:space="0" w:color="auto"/>
        <w:bottom w:val="none" w:sz="0" w:space="0" w:color="auto"/>
        <w:right w:val="none" w:sz="0" w:space="0" w:color="auto"/>
      </w:divBdr>
    </w:div>
    <w:div w:id="20378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1715</ap:Words>
  <ap:Characters>9436</ap:Characters>
  <ap:DocSecurity>0</ap:DocSecurity>
  <ap:Lines>78</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2025-05-09T13:31:00.0000000Z</dcterms:created>
  <dcterms:modified xsi:type="dcterms:W3CDTF">2025-05-09T13:31:00.0000000Z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f4300d56-ba2b-45a1-9c99-0801b798084b</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