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ADA" w:rsidP="00290ADA" w:rsidRDefault="00290ADA" w14:paraId="4BC33C7A" w14:textId="690A8A16">
      <w:r>
        <w:t>AH 2133</w:t>
      </w:r>
    </w:p>
    <w:p w:rsidR="00290ADA" w:rsidP="00290ADA" w:rsidRDefault="00290ADA" w14:paraId="0FD283F9" w14:textId="5B3B42B3">
      <w:r>
        <w:t>2025Z07625</w:t>
      </w:r>
    </w:p>
    <w:p w:rsidR="00290ADA" w:rsidP="00290ADA" w:rsidRDefault="00290ADA" w14:paraId="7D6E6CA6" w14:textId="23C5D217"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mei 2025)</w:t>
      </w:r>
    </w:p>
    <w:p w:rsidR="00290ADA" w:rsidP="00290ADA" w:rsidRDefault="00290ADA" w14:paraId="1BF3EFE3" w14:textId="77777777">
      <w:r>
        <w:t xml:space="preserve">Op 16 april jl. hebben de leden Postma (NSC) en </w:t>
      </w:r>
      <w:proofErr w:type="spellStart"/>
      <w:r>
        <w:t>Grinwis</w:t>
      </w:r>
      <w:proofErr w:type="spellEnd"/>
      <w:r>
        <w:t xml:space="preserve"> (CU) vragen gesteld over het meerekenen van autonome vlootvernieuwing in de </w:t>
      </w:r>
      <w:proofErr w:type="spellStart"/>
      <w:r>
        <w:t>balanced</w:t>
      </w:r>
      <w:proofErr w:type="spellEnd"/>
      <w:r>
        <w:t xml:space="preserve"> approach-procedure. De beantwoording van de Kamervragen is helaas niet binnen de gestelde termijn van 3 weken mogelijk. Voor het zorgvuldig beantwoorden van deze vragen is meer tijd nodig. De beantwoording volgt zo spoedig mogelijk. </w:t>
      </w:r>
    </w:p>
    <w:p w:rsidR="00290ADA" w:rsidP="00290ADA" w:rsidRDefault="00290ADA" w14:paraId="78468997" w14:textId="77777777">
      <w:pPr>
        <w:pStyle w:val="WitregelW1bodytekst"/>
      </w:pPr>
      <w:r>
        <w:t xml:space="preserve">  </w:t>
      </w:r>
    </w:p>
    <w:p w:rsidR="007A4C77" w:rsidRDefault="007A4C77" w14:paraId="6B26045E" w14:textId="77777777"/>
    <w:sectPr w:rsidR="007A4C77" w:rsidSect="00290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F07C" w14:textId="77777777" w:rsidR="00290ADA" w:rsidRDefault="00290ADA" w:rsidP="00290ADA">
      <w:pPr>
        <w:spacing w:after="0" w:line="240" w:lineRule="auto"/>
      </w:pPr>
      <w:r>
        <w:separator/>
      </w:r>
    </w:p>
  </w:endnote>
  <w:endnote w:type="continuationSeparator" w:id="0">
    <w:p w14:paraId="5AFD4B99" w14:textId="77777777" w:rsidR="00290ADA" w:rsidRDefault="00290ADA" w:rsidP="0029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5C40" w14:textId="77777777" w:rsidR="00290ADA" w:rsidRPr="00290ADA" w:rsidRDefault="00290ADA" w:rsidP="00290A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8F0B" w14:textId="77777777" w:rsidR="00290ADA" w:rsidRPr="00290ADA" w:rsidRDefault="00290ADA" w:rsidP="00290A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4332" w14:textId="77777777" w:rsidR="00290ADA" w:rsidRPr="00290ADA" w:rsidRDefault="00290ADA" w:rsidP="00290A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71AC" w14:textId="77777777" w:rsidR="00290ADA" w:rsidRDefault="00290ADA" w:rsidP="00290ADA">
      <w:pPr>
        <w:spacing w:after="0" w:line="240" w:lineRule="auto"/>
      </w:pPr>
      <w:r>
        <w:separator/>
      </w:r>
    </w:p>
  </w:footnote>
  <w:footnote w:type="continuationSeparator" w:id="0">
    <w:p w14:paraId="65D7BED1" w14:textId="77777777" w:rsidR="00290ADA" w:rsidRDefault="00290ADA" w:rsidP="0029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B39F" w14:textId="77777777" w:rsidR="00290ADA" w:rsidRPr="00290ADA" w:rsidRDefault="00290ADA" w:rsidP="00290A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D67F" w14:textId="77777777" w:rsidR="00290ADA" w:rsidRPr="00290ADA" w:rsidRDefault="00290ADA" w:rsidP="00290A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1FBA" w14:textId="77777777" w:rsidR="00290ADA" w:rsidRPr="00290ADA" w:rsidRDefault="00290ADA" w:rsidP="00290A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DA"/>
    <w:rsid w:val="00290ADA"/>
    <w:rsid w:val="007A4C77"/>
    <w:rsid w:val="00B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1CB"/>
  <w15:chartTrackingRefBased/>
  <w15:docId w15:val="{AF80A1F9-5A1B-4124-B172-16920C6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0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0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0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0A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0A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0A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0A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0A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0A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0A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0A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0A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0A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0ADA"/>
    <w:rPr>
      <w:b/>
      <w:bCs/>
      <w:smallCaps/>
      <w:color w:val="2F5496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290ADA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290ADA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290AD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90AD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90AD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90AD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90AD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2025-05-09T14:54:00.0000000Z</dcterms:created>
  <dcterms:modified xsi:type="dcterms:W3CDTF">2025-05-09T14:54:00.0000000Z</dcterms:modified>
  <version/>
  <category/>
</coreProperties>
</file>