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2025Z08561</w:t>
        <w:br/>
      </w:r>
      <w:proofErr w:type="spellEnd"/>
    </w:p>
    <w:p>
      <w:pPr>
        <w:pStyle w:val="Normal"/>
        <w:rPr>
          <w:b w:val="1"/>
          <w:bCs w:val="1"/>
        </w:rPr>
      </w:pPr>
      <w:r w:rsidR="250AE766">
        <w:rPr>
          <w:b w:val="0"/>
          <w:bCs w:val="0"/>
        </w:rPr>
        <w:t>(ingezonden 29 april 2025)</w:t>
        <w:br/>
      </w:r>
    </w:p>
    <w:p>
      <w:r>
        <w:t xml:space="preserve">Vragen van de leden Postma en Six Dijkstra (beiden Nieuw Sociaal Contract) aan de minister van Klimaat en Groene Groei, de minister van Justitie en Veiligheid, de minister van Binnenlandse Zaken en Koninkrijksrelaties en de minister van Defensie over de stroomstoring in Spanje en Portugal van maandag 28 april.</w:t>
      </w:r>
      <w:r>
        <w:br/>
      </w:r>
    </w:p>
    <w:p>
      <w:r>
        <w:t xml:space="preserve">1. Heeft u kennisgenomen van de stroomstoring in Spanje en Portugal van maandag 28 april?</w:t>
      </w:r>
      <w:r>
        <w:br/>
      </w:r>
    </w:p>
    <w:p>
      <w:r>
        <w:t xml:space="preserve">2. Hoe reëel is het dat een stroomstoring van deze magnitude ook in Nederland zal plaats vinden?</w:t>
      </w:r>
      <w:r>
        <w:br/>
      </w:r>
    </w:p>
    <w:p>
      <w:r>
        <w:t xml:space="preserve">3. Hoe goed is ons stroomnet beschermd?</w:t>
      </w:r>
      <w:r>
        <w:br/>
      </w:r>
    </w:p>
    <w:p>
      <w:r>
        <w:t xml:space="preserve">4. Wat zijn de grootste systeemrisico’s die Nederland kent als het gaat om grootschalige uitval van stroom, water, internet en het betaalverkeer? Waar zal de samenleving naar verwachting het zwaarst geraakt worden?</w:t>
      </w:r>
      <w:r>
        <w:br/>
      </w:r>
    </w:p>
    <w:p>
      <w:r>
        <w:t xml:space="preserve">5. Wat zullen de invoering van de Cyberbeveiligingswet (NIS2 (Network and Information Security directive)) en de Wet weerbaarheid kritieke entiteiten (CER (Critical Entities Resilience Directive)-richtlijn) in de praktijk betekenen voor het risico op en de impact van storingen van deze magnitude?</w:t>
      </w:r>
      <w:r>
        <w:br/>
      </w:r>
    </w:p>
    <w:p>
      <w:r>
        <w:t xml:space="preserve">6. Zijn er noodscenarios klaar voor een situatie als deze? Zo ja, hoe zien die er uit? Zijn er draaiboeken en is er een back-up om de belangrijkste functies zoals onze watervoorziening, waterverdediging, ziekenhuizen, telefoonverbindingen, wifi en het betalingsverkeer weer zo snel als mogelijk van stroom te voorzien?</w:t>
      </w:r>
      <w:r>
        <w:br/>
      </w:r>
    </w:p>
    <w:p>
      <w:r>
        <w:t xml:space="preserve">7. Voor welke sectoren liggen draaiboeken klaar en zijn noodstroomvoorzieningen beschikbaar? Hoe lang duurt het om deze op te starten?</w:t>
      </w:r>
      <w:r>
        <w:br/>
      </w:r>
    </w:p>
    <w:p>
      <w:r>
        <w:t xml:space="preserve">8. Is de Nederlandse bevolking voldoende voorbereid op langdurig uitval van stroom? En zo nee, wat wordt er in gang gezet om ervoor te zorgen dat dat wel zo is?</w:t>
      </w:r>
      <w:r>
        <w:br/>
      </w:r>
    </w:p>
    <w:p>
      <w:r>
        <w:t xml:space="preserve">9. Kunt u deze vragen beantwoorden vóór het commissiedebat Nationale veiligheid en weerbaarheid van de vaste commissie voor Justitie en Veiligheid op 15 mei 2025?</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