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7817" w:rsidP="00CB5260" w:rsidRDefault="00F47817" w14:paraId="159958A0" w14:textId="77777777">
      <w:pPr>
        <w:spacing w:line="276" w:lineRule="auto"/>
        <w:rPr>
          <w:b/>
          <w:lang w:val="nl-NL"/>
        </w:rPr>
      </w:pPr>
      <w:bookmarkStart w:name="_Hlk108774585" w:id="0"/>
      <w:r w:rsidRPr="27486F6B">
        <w:rPr>
          <w:b/>
          <w:lang w:val="nl-NL"/>
        </w:rPr>
        <w:t xml:space="preserve">Geannoteerde Agenda Raad Buitenlandse Zaken van 14 april 2025 </w:t>
      </w:r>
    </w:p>
    <w:p w:rsidRPr="00BF6512" w:rsidR="00F47817" w:rsidP="00CB5260" w:rsidRDefault="00F47817" w14:paraId="36E9BB08" w14:textId="77777777">
      <w:pPr>
        <w:spacing w:line="276" w:lineRule="auto"/>
        <w:rPr>
          <w:lang w:val="nl-NL" w:eastAsia="ja-JP"/>
        </w:rPr>
      </w:pPr>
      <w:r w:rsidRPr="27486F6B">
        <w:rPr>
          <w:lang w:val="nl-NL" w:eastAsia="ja-JP"/>
        </w:rPr>
        <w:t xml:space="preserve">Op maandag 14 april a.s. vindt de Raad Buitenlandse Zaken (RBZ) </w:t>
      </w:r>
      <w:r>
        <w:rPr>
          <w:lang w:val="nl-NL" w:eastAsia="ja-JP"/>
        </w:rPr>
        <w:t xml:space="preserve">van de EU </w:t>
      </w:r>
      <w:r w:rsidRPr="27486F6B">
        <w:rPr>
          <w:lang w:val="nl-NL" w:eastAsia="ja-JP"/>
        </w:rPr>
        <w:t xml:space="preserve">plaats in Luxemburg. De Raad zal spreken over de Russische agressie </w:t>
      </w:r>
      <w:r>
        <w:rPr>
          <w:lang w:val="nl-NL" w:eastAsia="ja-JP"/>
        </w:rPr>
        <w:t>tegen</w:t>
      </w:r>
      <w:r w:rsidRPr="27486F6B">
        <w:rPr>
          <w:lang w:val="nl-NL" w:eastAsia="ja-JP"/>
        </w:rPr>
        <w:t xml:space="preserve"> Oekraïne, de situatie in het Midden-Oosten, de EU-Afrika relatie en de Westelijke Balkan. Onder lopende zaken staat Armenië-Azerbeidzjan op de agenda. Na de Raad zal een </w:t>
      </w:r>
      <w:r>
        <w:rPr>
          <w:lang w:val="nl-NL" w:eastAsia="ja-JP"/>
        </w:rPr>
        <w:t>politieke d</w:t>
      </w:r>
      <w:r w:rsidRPr="27486F6B">
        <w:rPr>
          <w:lang w:val="nl-NL" w:eastAsia="ja-JP"/>
        </w:rPr>
        <w:t xml:space="preserve">ialoog met de Palestijnse Autoriteit plaatsvinden. De </w:t>
      </w:r>
      <w:bookmarkStart w:name="_Hlk193985874" w:id="1"/>
      <w:r w:rsidRPr="27486F6B">
        <w:rPr>
          <w:lang w:val="nl-NL" w:eastAsia="ja-JP"/>
        </w:rPr>
        <w:t xml:space="preserve">minister van Buitenlandse Zaken is </w:t>
      </w:r>
      <w:bookmarkEnd w:id="1"/>
      <w:r w:rsidRPr="27486F6B">
        <w:rPr>
          <w:lang w:val="nl-NL" w:eastAsia="ja-JP"/>
        </w:rPr>
        <w:t xml:space="preserve">voornemens </w:t>
      </w:r>
      <w:r>
        <w:rPr>
          <w:lang w:val="nl-NL" w:eastAsia="ja-JP"/>
        </w:rPr>
        <w:t xml:space="preserve">deel te nemen </w:t>
      </w:r>
      <w:r w:rsidRPr="27486F6B">
        <w:rPr>
          <w:lang w:val="nl-NL" w:eastAsia="ja-JP"/>
        </w:rPr>
        <w:t xml:space="preserve">aan de Raad en </w:t>
      </w:r>
      <w:r>
        <w:rPr>
          <w:lang w:val="nl-NL" w:eastAsia="ja-JP"/>
        </w:rPr>
        <w:t>de politieke dialoog</w:t>
      </w:r>
      <w:r w:rsidRPr="27486F6B">
        <w:rPr>
          <w:lang w:val="nl-NL" w:eastAsia="ja-JP"/>
        </w:rPr>
        <w:t xml:space="preserve"> met de Palestijnse Autoriteit. Tot slot</w:t>
      </w:r>
      <w:r>
        <w:rPr>
          <w:lang w:val="nl-NL" w:eastAsia="ja-JP"/>
        </w:rPr>
        <w:t xml:space="preserve"> </w:t>
      </w:r>
      <w:r w:rsidRPr="27486F6B">
        <w:rPr>
          <w:lang w:val="nl-NL" w:eastAsia="ja-JP"/>
        </w:rPr>
        <w:t xml:space="preserve">vindt naar verwachting </w:t>
      </w:r>
      <w:r w:rsidRPr="27486F6B">
        <w:rPr>
          <w:i/>
          <w:lang w:val="nl-NL" w:eastAsia="ja-JP"/>
        </w:rPr>
        <w:t>en marge</w:t>
      </w:r>
      <w:r w:rsidRPr="27486F6B">
        <w:rPr>
          <w:lang w:val="nl-NL" w:eastAsia="ja-JP"/>
        </w:rPr>
        <w:t xml:space="preserve"> van de Raad een Intergouvernementele Conferentie met Albanië plaats. </w:t>
      </w:r>
    </w:p>
    <w:p w:rsidRPr="00BF6512" w:rsidR="00F47817" w:rsidP="00CB5260" w:rsidRDefault="00F47817" w14:paraId="3FB8F1A1" w14:textId="77777777">
      <w:pPr>
        <w:spacing w:after="0" w:line="276" w:lineRule="auto"/>
        <w:rPr>
          <w:b/>
          <w:lang w:val="nl-NL"/>
        </w:rPr>
      </w:pPr>
      <w:r w:rsidRPr="27486F6B">
        <w:rPr>
          <w:b/>
          <w:lang w:val="nl-NL"/>
        </w:rPr>
        <w:t xml:space="preserve">Russische agressie tegen Oekraïne </w:t>
      </w:r>
      <w:r>
        <w:rPr>
          <w:b/>
          <w:lang w:val="nl-NL"/>
        </w:rPr>
        <w:br/>
      </w:r>
    </w:p>
    <w:p w:rsidR="00F47817" w:rsidP="00CB5260" w:rsidRDefault="00F47817" w14:paraId="351A9185" w14:textId="77777777">
      <w:pPr>
        <w:spacing w:line="276" w:lineRule="auto"/>
        <w:rPr>
          <w:szCs w:val="18"/>
          <w:lang w:val="nl-NL" w:eastAsia="ja-JP"/>
        </w:rPr>
      </w:pPr>
      <w:bookmarkStart w:name="_Hlk194046089" w:id="2"/>
      <w:r>
        <w:rPr>
          <w:rFonts w:cs="Times New Roman"/>
          <w:lang w:val="nl-NL" w:eastAsia="ja-JP"/>
        </w:rPr>
        <w:t>De Raad zal spreken over de voortdurende Russische agressieoorlog tegen Oekraïne en de urgentie van voortgezette militaire en niet-militaire steun voor Oekraïne. Hierbij zal de Raad stilstaan bij de opvolging van de Europese Raad van 20 maart jl. Nederland blijft Oekraïne politiek, militair, financieel en moreel actief en onverminderd steunen in tijden van oorlog, herstel en wederopbouw, voor zolang als dat nodig is. Juist nu is het van belang om Oekraïne in staat te stellen zich te verdedigen tegen de aanhoudende Russische aanvallen en sterk te positioneren met het oog op onderhandelingen. Het kabinet zal het belang onderstrepen dat alle EU-lidstaten hun bijdrage hieraan leveren. In dit licht verwelkomt het kabinet het initiatief van de Hoge Vertegenwoordiger om in 2025 zo snel mogelijk nieuwe militaire steun te genereren en roept het op tot spoedig akkoord op de openstaande Raadsbesluiten onder de Europese Vredesfaciliteit. Daarnaast zal het kabinet conform de motie Dobbe</w:t>
      </w:r>
      <w:r>
        <w:rPr>
          <w:rStyle w:val="FootnoteReference"/>
          <w:rFonts w:cs="Times New Roman"/>
          <w:lang w:val="nl-NL" w:eastAsia="ja-JP"/>
        </w:rPr>
        <w:footnoteReference w:id="2"/>
      </w:r>
      <w:r>
        <w:rPr>
          <w:rFonts w:cs="Times New Roman"/>
          <w:lang w:val="nl-NL" w:eastAsia="ja-JP"/>
        </w:rPr>
        <w:t xml:space="preserve"> oproepen tot het maximaliseren van de druk op Rusland, met een ambitieus zeventiende sanctiepakket. Tevens zal het kabinet het belang benadrukken om ook te blijven werken aan rekenschap en herstel van rechtvaardigheid voor Oekraïne, door voorspoedige voortzetting van het werk aan de oprichting van een agressietribunaal en de claims commissie.</w:t>
      </w:r>
      <w:bookmarkEnd w:id="2"/>
    </w:p>
    <w:p w:rsidR="00F47817" w:rsidP="00CB5260" w:rsidRDefault="00F47817" w14:paraId="574D6199" w14:textId="77777777">
      <w:pPr>
        <w:spacing w:line="276" w:lineRule="auto"/>
        <w:rPr>
          <w:b/>
          <w:lang w:val="nl-NL" w:eastAsia="ja-JP"/>
        </w:rPr>
      </w:pPr>
      <w:r w:rsidRPr="27486F6B">
        <w:rPr>
          <w:b/>
          <w:lang w:val="nl-NL" w:eastAsia="ja-JP"/>
        </w:rPr>
        <w:t xml:space="preserve">Situatie Midden-Oosten </w:t>
      </w:r>
    </w:p>
    <w:p w:rsidR="00F47817" w:rsidP="00CB5260" w:rsidRDefault="00F47817" w14:paraId="4EA612F5" w14:textId="77777777">
      <w:pPr>
        <w:spacing w:line="276" w:lineRule="auto"/>
        <w:rPr>
          <w:rFonts w:cs="Times New Roman"/>
          <w:lang w:val="nl-NL" w:eastAsia="ja-JP"/>
        </w:rPr>
      </w:pPr>
      <w:r w:rsidRPr="27486F6B">
        <w:rPr>
          <w:rFonts w:cs="Times New Roman"/>
          <w:lang w:val="nl-NL" w:eastAsia="ja-JP"/>
        </w:rPr>
        <w:t>De Raad zal naar verwachting spreken over de situatie in het Midden-Oosten</w:t>
      </w:r>
      <w:r>
        <w:rPr>
          <w:rFonts w:cs="Times New Roman"/>
          <w:lang w:val="nl-NL" w:eastAsia="ja-JP"/>
        </w:rPr>
        <w:t xml:space="preserve">, waarbij de Raad zal stilstaan </w:t>
      </w:r>
      <w:r w:rsidRPr="27486F6B">
        <w:rPr>
          <w:rFonts w:cs="Times New Roman"/>
          <w:lang w:val="nl-NL" w:eastAsia="ja-JP"/>
        </w:rPr>
        <w:t xml:space="preserve">bij het conflict in de Gazastrook en het belang van </w:t>
      </w:r>
      <w:r>
        <w:rPr>
          <w:rFonts w:cs="Times New Roman"/>
          <w:lang w:val="nl-NL" w:eastAsia="ja-JP"/>
        </w:rPr>
        <w:t xml:space="preserve">hervatting </w:t>
      </w:r>
      <w:r w:rsidRPr="27486F6B">
        <w:rPr>
          <w:rFonts w:cs="Times New Roman"/>
          <w:lang w:val="nl-NL" w:eastAsia="ja-JP"/>
        </w:rPr>
        <w:t xml:space="preserve">van het staakt-het-vuren tussen Israël en Hamas. Naar verwachting zal de Hoge Vertegenwoordiger een terugkoppeling geven van haar bezoek aan Egypte, Israël en de Palestijnse gebieden. </w:t>
      </w:r>
      <w:r>
        <w:rPr>
          <w:rFonts w:cs="Times New Roman"/>
          <w:lang w:val="nl-NL" w:eastAsia="ja-JP"/>
        </w:rPr>
        <w:t>De Raad</w:t>
      </w:r>
      <w:r w:rsidRPr="27486F6B">
        <w:rPr>
          <w:rFonts w:cs="Times New Roman"/>
          <w:lang w:val="nl-NL" w:eastAsia="ja-JP"/>
        </w:rPr>
        <w:t xml:space="preserve"> zal </w:t>
      </w:r>
      <w:r>
        <w:rPr>
          <w:rFonts w:cs="Times New Roman"/>
          <w:lang w:val="nl-NL" w:eastAsia="ja-JP"/>
        </w:rPr>
        <w:t>mogelijk</w:t>
      </w:r>
      <w:r w:rsidRPr="27486F6B">
        <w:rPr>
          <w:rFonts w:cs="Times New Roman"/>
          <w:lang w:val="nl-NL" w:eastAsia="ja-JP"/>
        </w:rPr>
        <w:t xml:space="preserve"> ook </w:t>
      </w:r>
      <w:r>
        <w:rPr>
          <w:rFonts w:cs="Times New Roman"/>
          <w:lang w:val="nl-NL" w:eastAsia="ja-JP"/>
        </w:rPr>
        <w:t xml:space="preserve">spreken over </w:t>
      </w:r>
      <w:r w:rsidRPr="27486F6B">
        <w:rPr>
          <w:rFonts w:cs="Times New Roman"/>
          <w:lang w:val="nl-NL" w:eastAsia="ja-JP"/>
        </w:rPr>
        <w:t>het Arabisch</w:t>
      </w:r>
      <w:r>
        <w:rPr>
          <w:rFonts w:cs="Times New Roman"/>
          <w:lang w:val="nl-NL" w:eastAsia="ja-JP"/>
        </w:rPr>
        <w:t>e</w:t>
      </w:r>
      <w:r w:rsidRPr="27486F6B">
        <w:rPr>
          <w:rFonts w:cs="Times New Roman"/>
          <w:lang w:val="nl-NL" w:eastAsia="ja-JP"/>
        </w:rPr>
        <w:t xml:space="preserve"> plan voor de toekomst van de Gazastrook. Hiernaast zal </w:t>
      </w:r>
      <w:r>
        <w:rPr>
          <w:rFonts w:cs="Times New Roman"/>
          <w:lang w:val="nl-NL" w:eastAsia="ja-JP"/>
        </w:rPr>
        <w:t xml:space="preserve">de Raad waarschijnlijk </w:t>
      </w:r>
      <w:r w:rsidRPr="27486F6B">
        <w:rPr>
          <w:rFonts w:cs="Times New Roman"/>
          <w:lang w:val="nl-NL" w:eastAsia="ja-JP"/>
        </w:rPr>
        <w:t xml:space="preserve">ook </w:t>
      </w:r>
      <w:r>
        <w:rPr>
          <w:rFonts w:cs="Times New Roman"/>
          <w:lang w:val="nl-NL" w:eastAsia="ja-JP"/>
        </w:rPr>
        <w:t>stilstaan bij</w:t>
      </w:r>
      <w:r w:rsidRPr="27486F6B">
        <w:rPr>
          <w:rFonts w:cs="Times New Roman"/>
          <w:lang w:val="nl-NL" w:eastAsia="ja-JP"/>
        </w:rPr>
        <w:t xml:space="preserve"> de zorgelijke situatie op de Westelijke Jordaanoever.  </w:t>
      </w:r>
    </w:p>
    <w:p w:rsidR="00F47817" w:rsidP="00CB5260" w:rsidRDefault="00F47817" w14:paraId="54321BD1" w14:textId="77777777">
      <w:pPr>
        <w:spacing w:line="276" w:lineRule="auto"/>
        <w:rPr>
          <w:lang w:val="nl-NL"/>
        </w:rPr>
      </w:pPr>
      <w:r>
        <w:rPr>
          <w:lang w:val="nl-NL"/>
        </w:rPr>
        <w:t xml:space="preserve">Nederland blijft benadrukken dat alle partijen zo snel mogelijk moeten terugkeren naar de afspraken van het staakt-het-vuren en dat onderhandelingen moeten worden hervat. </w:t>
      </w:r>
      <w:r w:rsidRPr="27486F6B">
        <w:rPr>
          <w:rFonts w:cs="Times New Roman"/>
          <w:lang w:val="nl-NL" w:eastAsia="ja-JP"/>
        </w:rPr>
        <w:t>Dit blijft cruciaal voor de vrijlating van alle gijzelaars</w:t>
      </w:r>
      <w:r>
        <w:rPr>
          <w:rFonts w:cs="Times New Roman"/>
          <w:lang w:val="nl-NL" w:eastAsia="ja-JP"/>
        </w:rPr>
        <w:t xml:space="preserve"> door Hamas, de</w:t>
      </w:r>
      <w:r w:rsidRPr="27486F6B">
        <w:rPr>
          <w:rFonts w:cs="Times New Roman"/>
          <w:lang w:val="nl-NL" w:eastAsia="ja-JP"/>
        </w:rPr>
        <w:t xml:space="preserve"> toegang en distributie van humanitaire hulp naar de Gazastrook</w:t>
      </w:r>
      <w:r>
        <w:rPr>
          <w:rFonts w:cs="Times New Roman"/>
          <w:lang w:val="nl-NL" w:eastAsia="ja-JP"/>
        </w:rPr>
        <w:t xml:space="preserve"> en een duurzaam einde aan de gewelddadigheden</w:t>
      </w:r>
      <w:r>
        <w:rPr>
          <w:lang w:val="nl-NL"/>
        </w:rPr>
        <w:t xml:space="preserve">. Het Arabisch plan voor de toekomst van de Gazastrook biedt een goede basis voor verdere gesprekken. Ten aanzien van kolonistengeweld op de Westelijke Jordaanoever blijft Nederland zich inzetten voor aanname van het derde sanctiepakket dat is voorgesteld door Nederland en Frankrijk. Nederland veroordeelt het recente Israëlische besluit om 13 buitenposten te erkennen als nederzettingen. </w:t>
      </w:r>
    </w:p>
    <w:p w:rsidRPr="008B5B03" w:rsidR="00F47817" w:rsidP="00CB5260" w:rsidRDefault="00F47817" w14:paraId="21620076" w14:textId="77777777">
      <w:pPr>
        <w:spacing w:line="276" w:lineRule="auto"/>
        <w:rPr>
          <w:lang w:val="nl-NL" w:eastAsia="ja-JP"/>
        </w:rPr>
      </w:pPr>
      <w:r w:rsidRPr="27486F6B">
        <w:rPr>
          <w:rFonts w:cs="Times New Roman"/>
          <w:lang w:val="nl-NL" w:eastAsia="ja-JP"/>
        </w:rPr>
        <w:t xml:space="preserve">Tot slot </w:t>
      </w:r>
      <w:r>
        <w:rPr>
          <w:rFonts w:cs="Times New Roman"/>
          <w:lang w:val="nl-NL" w:eastAsia="ja-JP"/>
        </w:rPr>
        <w:t xml:space="preserve">zal </w:t>
      </w:r>
      <w:r w:rsidRPr="27486F6B">
        <w:rPr>
          <w:rFonts w:cs="Times New Roman"/>
          <w:lang w:val="nl-NL" w:eastAsia="ja-JP"/>
        </w:rPr>
        <w:t xml:space="preserve">na afloop van de Raad </w:t>
      </w:r>
      <w:r>
        <w:rPr>
          <w:rFonts w:cs="Times New Roman"/>
          <w:lang w:val="nl-NL" w:eastAsia="ja-JP"/>
        </w:rPr>
        <w:t>een politiek dialoog</w:t>
      </w:r>
      <w:r w:rsidRPr="27486F6B">
        <w:rPr>
          <w:rFonts w:cs="Times New Roman"/>
          <w:i/>
          <w:lang w:val="nl-NL" w:eastAsia="ja-JP"/>
        </w:rPr>
        <w:t xml:space="preserve"> </w:t>
      </w:r>
      <w:r w:rsidRPr="27486F6B">
        <w:rPr>
          <w:rFonts w:cs="Times New Roman"/>
          <w:lang w:val="nl-NL" w:eastAsia="ja-JP"/>
        </w:rPr>
        <w:t>met de Palestijnse Autoriteit plaatsvinden waar bovengenoemde thema’s ook zullen worden besproken. Nederland zal in dit kader nogmaals benadrukken dat steun voor de Palestijnse Autoriteit cruciaal is voor de enige duurzame oplossing: de tweestatenoplossing met een v</w:t>
      </w:r>
      <w:r w:rsidRPr="00C552D8">
        <w:rPr>
          <w:rFonts w:cs="Times New Roman"/>
          <w:lang w:val="nl-NL" w:eastAsia="ja-JP"/>
        </w:rPr>
        <w:t xml:space="preserve">eilig Israël </w:t>
      </w:r>
      <w:r w:rsidRPr="27486F6B">
        <w:rPr>
          <w:rFonts w:cs="Times New Roman"/>
          <w:lang w:val="nl-NL" w:eastAsia="ja-JP"/>
        </w:rPr>
        <w:t>naast</w:t>
      </w:r>
      <w:r w:rsidRPr="00C552D8">
        <w:rPr>
          <w:rFonts w:cs="Times New Roman"/>
          <w:lang w:val="nl-NL" w:eastAsia="ja-JP"/>
        </w:rPr>
        <w:t xml:space="preserve"> een onafhankelijke, democratische en levensvatbare Palestijnse</w:t>
      </w:r>
      <w:r>
        <w:rPr>
          <w:rFonts w:cs="Times New Roman"/>
          <w:lang w:val="nl-NL" w:eastAsia="ja-JP"/>
        </w:rPr>
        <w:t xml:space="preserve"> staat</w:t>
      </w:r>
      <w:r w:rsidRPr="27486F6B">
        <w:rPr>
          <w:rFonts w:cs="Times New Roman"/>
          <w:lang w:val="nl-NL" w:eastAsia="ja-JP"/>
        </w:rPr>
        <w:t xml:space="preserve">. </w:t>
      </w:r>
    </w:p>
    <w:p w:rsidRPr="0074713D" w:rsidR="00F47817" w:rsidP="00CB5260" w:rsidRDefault="00F47817" w14:paraId="47B8790C" w14:textId="77777777">
      <w:pPr>
        <w:spacing w:line="276" w:lineRule="auto"/>
        <w:rPr>
          <w:color w:val="FF0000"/>
          <w:lang w:val="nl-NL" w:eastAsia="ja-JP"/>
        </w:rPr>
      </w:pPr>
      <w:r w:rsidRPr="02101CB6">
        <w:rPr>
          <w:lang w:val="nl-NL" w:eastAsia="ja-JP"/>
        </w:rPr>
        <w:lastRenderedPageBreak/>
        <w:t xml:space="preserve">Ook zal de Raad naar alle waarschijnlijkheid over de situatie in Syrië spreken. In navolging van de sanctieverlichting die tijdens de Raad Buitenlandse Zaken van 24 februari jl. is aangenomen zal de discussie hieromtrent worden </w:t>
      </w:r>
      <w:r w:rsidRPr="27486F6B">
        <w:rPr>
          <w:lang w:val="nl-NL" w:eastAsia="ja-JP"/>
        </w:rPr>
        <w:t>voortgezet</w:t>
      </w:r>
      <w:r>
        <w:rPr>
          <w:lang w:val="nl-NL" w:eastAsia="ja-JP"/>
        </w:rPr>
        <w:t xml:space="preserve"> rekening houdend met de houding van het interim-bestuur en de ontwikkelingen in Syrië. </w:t>
      </w:r>
    </w:p>
    <w:p w:rsidR="00F47817" w:rsidP="00CB5260" w:rsidRDefault="00F47817" w14:paraId="0B089475" w14:textId="77777777">
      <w:pPr>
        <w:spacing w:line="276" w:lineRule="auto"/>
        <w:rPr>
          <w:b/>
          <w:lang w:val="nl-NL" w:eastAsia="ja-JP"/>
        </w:rPr>
      </w:pPr>
      <w:r w:rsidRPr="27486F6B">
        <w:rPr>
          <w:b/>
          <w:lang w:val="nl-NL" w:eastAsia="ja-JP"/>
        </w:rPr>
        <w:t>EU-Afrika relaties</w:t>
      </w:r>
    </w:p>
    <w:p w:rsidR="00F47817" w:rsidP="00CB5260" w:rsidRDefault="00F47817" w14:paraId="633410D6" w14:textId="77777777">
      <w:pPr>
        <w:spacing w:line="276" w:lineRule="auto"/>
        <w:rPr>
          <w:rFonts w:cs="Times New Roman"/>
          <w:lang w:val="nl-NL" w:eastAsia="ja-JP"/>
        </w:rPr>
      </w:pPr>
      <w:r w:rsidRPr="27486F6B">
        <w:rPr>
          <w:rFonts w:cs="Times New Roman"/>
          <w:lang w:val="nl-NL" w:eastAsia="ja-JP"/>
        </w:rPr>
        <w:t xml:space="preserve">De Raad zal naar verwachting een voorbereidende discussie houden over de EU-Afrikaanse Unie </w:t>
      </w:r>
      <w:r>
        <w:rPr>
          <w:rFonts w:cs="Times New Roman"/>
          <w:lang w:val="nl-NL" w:eastAsia="ja-JP"/>
        </w:rPr>
        <w:t>(AU)</w:t>
      </w:r>
      <w:r w:rsidRPr="27486F6B">
        <w:rPr>
          <w:rFonts w:cs="Times New Roman"/>
          <w:lang w:val="nl-NL" w:eastAsia="ja-JP"/>
        </w:rPr>
        <w:t xml:space="preserve"> </w:t>
      </w:r>
      <w:r>
        <w:rPr>
          <w:rFonts w:cs="Times New Roman"/>
          <w:lang w:val="nl-NL" w:eastAsia="ja-JP"/>
        </w:rPr>
        <w:t>m</w:t>
      </w:r>
      <w:r w:rsidRPr="27486F6B">
        <w:rPr>
          <w:rFonts w:cs="Times New Roman"/>
          <w:lang w:val="nl-NL" w:eastAsia="ja-JP"/>
        </w:rPr>
        <w:t xml:space="preserve">inisteriële bijeenkomst die staat gepland op 21 mei 2025. Het kabinet </w:t>
      </w:r>
      <w:r>
        <w:rPr>
          <w:rFonts w:cs="Times New Roman"/>
          <w:lang w:val="nl-NL" w:eastAsia="ja-JP"/>
        </w:rPr>
        <w:t>verwelkomt</w:t>
      </w:r>
      <w:r w:rsidRPr="27486F6B">
        <w:rPr>
          <w:rFonts w:cs="Times New Roman"/>
          <w:lang w:val="nl-NL" w:eastAsia="ja-JP"/>
        </w:rPr>
        <w:t xml:space="preserve"> dat deze bijeenkomst weer zal plaatsvinden, nadat de </w:t>
      </w:r>
      <w:r>
        <w:rPr>
          <w:rFonts w:cs="Times New Roman"/>
          <w:lang w:val="nl-NL" w:eastAsia="ja-JP"/>
        </w:rPr>
        <w:t>beoogde</w:t>
      </w:r>
      <w:r w:rsidRPr="27486F6B">
        <w:rPr>
          <w:rFonts w:cs="Times New Roman"/>
          <w:lang w:val="nl-NL" w:eastAsia="ja-JP"/>
        </w:rPr>
        <w:t xml:space="preserve"> bijeenkomst in 2023 geen doorgang kon vinden. De EU-AU ministeriële bijeenkomst zal voortbouwen op de </w:t>
      </w:r>
      <w:r>
        <w:rPr>
          <w:rFonts w:cs="Times New Roman"/>
          <w:lang w:val="nl-NL" w:eastAsia="ja-JP"/>
        </w:rPr>
        <w:t>resultaten van de</w:t>
      </w:r>
      <w:r w:rsidRPr="27486F6B">
        <w:rPr>
          <w:rFonts w:cs="Times New Roman"/>
          <w:lang w:val="nl-NL" w:eastAsia="ja-JP"/>
        </w:rPr>
        <w:t xml:space="preserve"> EU-AU Top uit 2022, </w:t>
      </w:r>
      <w:r>
        <w:rPr>
          <w:rFonts w:cs="Times New Roman"/>
          <w:lang w:val="nl-NL" w:eastAsia="ja-JP"/>
        </w:rPr>
        <w:t>waaronder</w:t>
      </w:r>
      <w:r w:rsidRPr="27486F6B">
        <w:rPr>
          <w:rFonts w:cs="Times New Roman"/>
          <w:lang w:val="nl-NL" w:eastAsia="ja-JP"/>
        </w:rPr>
        <w:t xml:space="preserve"> de slotverklaring</w:t>
      </w:r>
      <w:r>
        <w:rPr>
          <w:rStyle w:val="FootnoteReference"/>
          <w:rFonts w:cs="Times New Roman"/>
          <w:lang w:val="nl-NL" w:eastAsia="ja-JP"/>
        </w:rPr>
        <w:footnoteReference w:id="3"/>
      </w:r>
      <w:r w:rsidRPr="27486F6B">
        <w:rPr>
          <w:rFonts w:cs="Times New Roman"/>
          <w:lang w:val="nl-NL" w:eastAsia="ja-JP"/>
        </w:rPr>
        <w:t xml:space="preserve"> die destijds werd overeengekomen. De wereld is sinds 2022 sterk veranderd, en het belang van goede betrekkingen met </w:t>
      </w:r>
      <w:r>
        <w:rPr>
          <w:rFonts w:cs="Times New Roman"/>
          <w:lang w:val="nl-NL" w:eastAsia="ja-JP"/>
        </w:rPr>
        <w:t xml:space="preserve">de landen in </w:t>
      </w:r>
      <w:r w:rsidRPr="27486F6B">
        <w:rPr>
          <w:rFonts w:cs="Times New Roman"/>
          <w:lang w:val="nl-NL" w:eastAsia="ja-JP"/>
        </w:rPr>
        <w:t xml:space="preserve">het opkomende Afrikaanse continent </w:t>
      </w:r>
      <w:r>
        <w:rPr>
          <w:rFonts w:cs="Times New Roman"/>
          <w:lang w:val="nl-NL" w:eastAsia="ja-JP"/>
        </w:rPr>
        <w:t xml:space="preserve">is </w:t>
      </w:r>
      <w:r w:rsidRPr="27486F6B">
        <w:rPr>
          <w:rFonts w:cs="Times New Roman"/>
          <w:lang w:val="nl-NL" w:eastAsia="ja-JP"/>
        </w:rPr>
        <w:t xml:space="preserve">toegenomen. </w:t>
      </w:r>
      <w:r>
        <w:rPr>
          <w:rFonts w:cs="Times New Roman"/>
          <w:lang w:val="nl-NL" w:eastAsia="ja-JP"/>
        </w:rPr>
        <w:t>Nederland</w:t>
      </w:r>
      <w:r w:rsidRPr="27486F6B">
        <w:rPr>
          <w:rFonts w:cs="Times New Roman"/>
          <w:lang w:val="nl-NL" w:eastAsia="ja-JP"/>
        </w:rPr>
        <w:t xml:space="preserve"> zal tijdens de R</w:t>
      </w:r>
      <w:r>
        <w:rPr>
          <w:rFonts w:cs="Times New Roman"/>
          <w:lang w:val="nl-NL" w:eastAsia="ja-JP"/>
        </w:rPr>
        <w:t>aad</w:t>
      </w:r>
      <w:r w:rsidRPr="27486F6B">
        <w:rPr>
          <w:rFonts w:cs="Times New Roman"/>
          <w:lang w:val="nl-NL" w:eastAsia="ja-JP"/>
        </w:rPr>
        <w:t xml:space="preserve"> </w:t>
      </w:r>
      <w:r>
        <w:rPr>
          <w:rFonts w:cs="Times New Roman"/>
          <w:szCs w:val="18"/>
          <w:lang w:val="nl-NL" w:eastAsia="ja-JP"/>
        </w:rPr>
        <w:t>oproepen tot</w:t>
      </w:r>
      <w:r w:rsidRPr="27486F6B">
        <w:rPr>
          <w:rFonts w:cs="Times New Roman"/>
          <w:lang w:val="nl-NL" w:eastAsia="ja-JP"/>
        </w:rPr>
        <w:t xml:space="preserve"> het versterken van de relaties en samenwerking tussen beide continenten op gebieden als migratie, handel en economie</w:t>
      </w:r>
      <w:r>
        <w:rPr>
          <w:rFonts w:cs="Times New Roman"/>
          <w:lang w:val="nl-NL" w:eastAsia="ja-JP"/>
        </w:rPr>
        <w:t>,</w:t>
      </w:r>
      <w:r w:rsidRPr="27486F6B">
        <w:rPr>
          <w:rFonts w:cs="Times New Roman"/>
          <w:lang w:val="nl-NL" w:eastAsia="ja-JP"/>
        </w:rPr>
        <w:t xml:space="preserve"> </w:t>
      </w:r>
      <w:r>
        <w:rPr>
          <w:rFonts w:cs="Times New Roman"/>
          <w:lang w:val="nl-NL" w:eastAsia="ja-JP"/>
        </w:rPr>
        <w:t xml:space="preserve">alsook </w:t>
      </w:r>
      <w:r w:rsidRPr="27486F6B">
        <w:rPr>
          <w:rFonts w:cs="Times New Roman"/>
          <w:lang w:val="nl-NL" w:eastAsia="ja-JP"/>
        </w:rPr>
        <w:t xml:space="preserve">vrede en veiligheid. </w:t>
      </w:r>
    </w:p>
    <w:p w:rsidRPr="006B2261" w:rsidR="00F47817" w:rsidP="00CB5260" w:rsidRDefault="00F47817" w14:paraId="5F76D4C1" w14:textId="77777777">
      <w:pPr>
        <w:spacing w:line="276" w:lineRule="auto"/>
        <w:rPr>
          <w:rFonts w:cs="Times New Roman"/>
          <w:lang w:val="nl-NL" w:eastAsia="ja-JP"/>
        </w:rPr>
      </w:pPr>
      <w:r w:rsidRPr="27486F6B">
        <w:rPr>
          <w:rFonts w:cs="Times New Roman"/>
          <w:lang w:val="nl-NL" w:eastAsia="ja-JP"/>
        </w:rPr>
        <w:t>Voorts zal de Raad</w:t>
      </w:r>
      <w:r>
        <w:rPr>
          <w:rFonts w:cs="Times New Roman"/>
          <w:lang w:val="nl-NL" w:eastAsia="ja-JP"/>
        </w:rPr>
        <w:t>,</w:t>
      </w:r>
      <w:r w:rsidRPr="27486F6B">
        <w:rPr>
          <w:rFonts w:cs="Times New Roman"/>
          <w:lang w:val="nl-NL" w:eastAsia="ja-JP"/>
        </w:rPr>
        <w:t xml:space="preserve"> </w:t>
      </w:r>
      <w:r>
        <w:rPr>
          <w:rFonts w:cs="Times New Roman"/>
          <w:lang w:val="nl-NL" w:eastAsia="ja-JP"/>
        </w:rPr>
        <w:t>mede op initiatief van Nederland en met steun van de EU kerngroep,</w:t>
      </w:r>
      <w:r w:rsidRPr="27486F6B">
        <w:rPr>
          <w:rFonts w:cs="Times New Roman"/>
          <w:lang w:val="nl-NL" w:eastAsia="ja-JP"/>
        </w:rPr>
        <w:t xml:space="preserve"> stilstaan bij </w:t>
      </w:r>
      <w:r>
        <w:rPr>
          <w:rFonts w:cs="Times New Roman"/>
          <w:lang w:val="nl-NL" w:eastAsia="ja-JP"/>
        </w:rPr>
        <w:t>Soedan.</w:t>
      </w:r>
      <w:r w:rsidRPr="27486F6B">
        <w:rPr>
          <w:rFonts w:cs="Times New Roman"/>
          <w:lang w:val="nl-NL" w:eastAsia="ja-JP"/>
        </w:rPr>
        <w:t xml:space="preserve"> </w:t>
      </w:r>
      <w:r>
        <w:rPr>
          <w:rFonts w:cs="Times New Roman"/>
          <w:lang w:val="nl-NL" w:eastAsia="ja-JP"/>
        </w:rPr>
        <w:t>Nederland</w:t>
      </w:r>
      <w:r w:rsidRPr="27486F6B">
        <w:rPr>
          <w:rFonts w:cs="Times New Roman"/>
          <w:lang w:val="nl-NL" w:eastAsia="ja-JP"/>
        </w:rPr>
        <w:t xml:space="preserve"> zal oproepen tot sterkere betrokkenheid van de EU bij </w:t>
      </w:r>
      <w:r>
        <w:rPr>
          <w:rFonts w:cs="Times New Roman"/>
          <w:lang w:val="nl-NL" w:eastAsia="ja-JP"/>
        </w:rPr>
        <w:t>het oplossen van de</w:t>
      </w:r>
      <w:r w:rsidRPr="27486F6B">
        <w:rPr>
          <w:rFonts w:cs="Times New Roman"/>
          <w:lang w:val="nl-NL" w:eastAsia="ja-JP"/>
        </w:rPr>
        <w:t xml:space="preserve"> crisis in Soedan</w:t>
      </w:r>
      <w:r>
        <w:rPr>
          <w:rFonts w:cs="Times New Roman"/>
          <w:lang w:val="nl-NL" w:eastAsia="ja-JP"/>
        </w:rPr>
        <w:t xml:space="preserve">. Het kabinet onderstreept dat </w:t>
      </w:r>
      <w:r w:rsidRPr="27486F6B">
        <w:rPr>
          <w:rFonts w:cs="Times New Roman"/>
          <w:lang w:val="nl-NL" w:eastAsia="ja-JP"/>
        </w:rPr>
        <w:t xml:space="preserve">de EU </w:t>
      </w:r>
      <w:r>
        <w:rPr>
          <w:rFonts w:cs="Times New Roman"/>
          <w:lang w:val="nl-NL" w:eastAsia="ja-JP"/>
        </w:rPr>
        <w:t>dient</w:t>
      </w:r>
      <w:r w:rsidRPr="27486F6B">
        <w:rPr>
          <w:rFonts w:cs="Times New Roman"/>
          <w:lang w:val="nl-NL" w:eastAsia="ja-JP"/>
        </w:rPr>
        <w:t xml:space="preserve"> bij te dragen aan stappen richting een wapenstilstand, verbeterde humanitaire toegang, de bescherming van burgers en uiteindelijk een inclusieve politieke transitie. </w:t>
      </w:r>
      <w:r>
        <w:rPr>
          <w:rFonts w:cs="Times New Roman"/>
          <w:lang w:val="nl-NL" w:eastAsia="ja-JP"/>
        </w:rPr>
        <w:t>Hiervoor zou de EU, via de Speciaal Gezant voor de Hoorn, meer nadrukkelijk een bemiddelende rol richting de strijdende partijen op zich kunnen nemen, en onderzoeken onder welke voorwaarden die bereid zijn aan de onderhandelingstafel te komen en hoe het-EU instrumentarium dit zou kunnen ondersteunen. Ook zal Nederland oproepen tot sterkere coördinatie met internationale initiatieven die dit beogen. Voor dit alles is overeenstemming binnen de EU nodig, en hier kan de kerngroep een rol in spelen. In lijn met motie Dobbe/Van der Burg</w:t>
      </w:r>
      <w:r>
        <w:rPr>
          <w:rStyle w:val="FootnoteReference"/>
          <w:rFonts w:cs="Times New Roman"/>
          <w:lang w:val="nl-NL" w:eastAsia="ja-JP"/>
        </w:rPr>
        <w:footnoteReference w:id="4"/>
      </w:r>
      <w:r>
        <w:rPr>
          <w:rFonts w:cs="Times New Roman"/>
          <w:lang w:val="nl-NL" w:eastAsia="ja-JP"/>
        </w:rPr>
        <w:t xml:space="preserve"> </w:t>
      </w:r>
      <w:r w:rsidRPr="27486F6B">
        <w:rPr>
          <w:rFonts w:cs="Times New Roman"/>
          <w:lang w:val="nl-NL" w:eastAsia="ja-JP"/>
        </w:rPr>
        <w:t xml:space="preserve">zal </w:t>
      </w:r>
      <w:r>
        <w:rPr>
          <w:rFonts w:cs="Times New Roman"/>
          <w:lang w:val="nl-NL" w:eastAsia="ja-JP"/>
        </w:rPr>
        <w:t>Nederland</w:t>
      </w:r>
      <w:r w:rsidRPr="27486F6B">
        <w:rPr>
          <w:rFonts w:cs="Times New Roman"/>
          <w:lang w:val="nl-NL" w:eastAsia="ja-JP"/>
        </w:rPr>
        <w:t xml:space="preserve"> oproepen tot</w:t>
      </w:r>
      <w:r w:rsidRPr="27486F6B" w:rsidDel="001A3A50">
        <w:rPr>
          <w:rFonts w:cs="Times New Roman"/>
          <w:lang w:val="nl-NL" w:eastAsia="ja-JP"/>
        </w:rPr>
        <w:t xml:space="preserve"> </w:t>
      </w:r>
      <w:r w:rsidRPr="27486F6B">
        <w:rPr>
          <w:rFonts w:cs="Times New Roman"/>
          <w:lang w:val="nl-NL" w:eastAsia="ja-JP"/>
        </w:rPr>
        <w:t xml:space="preserve">maatregelen om wapen- en financieringsstromen richting Soedan tegen te gaan, waar dit kan bijdragen aan het bereiken van een wapenstilstand. </w:t>
      </w:r>
    </w:p>
    <w:p w:rsidR="00F47817" w:rsidP="00CB5260" w:rsidRDefault="00F47817" w14:paraId="6CCCE958" w14:textId="77777777">
      <w:pPr>
        <w:spacing w:line="276" w:lineRule="auto"/>
        <w:rPr>
          <w:b/>
          <w:lang w:val="nl-NL" w:eastAsia="ja-JP"/>
        </w:rPr>
      </w:pPr>
      <w:r w:rsidRPr="27486F6B">
        <w:rPr>
          <w:b/>
          <w:lang w:val="nl-NL" w:eastAsia="ja-JP"/>
        </w:rPr>
        <w:t>Westelijke Balkan</w:t>
      </w:r>
    </w:p>
    <w:p w:rsidR="00F47817" w:rsidP="00CB5260" w:rsidRDefault="00F47817" w14:paraId="0C20D121" w14:textId="77777777">
      <w:pPr>
        <w:spacing w:line="276" w:lineRule="auto"/>
        <w:rPr>
          <w:rFonts w:cs="Times New Roman"/>
          <w:lang w:val="nl-NL" w:eastAsia="ja-JP"/>
        </w:rPr>
      </w:pPr>
      <w:r w:rsidRPr="27486F6B">
        <w:rPr>
          <w:rFonts w:cs="Times New Roman"/>
          <w:lang w:val="nl-NL" w:eastAsia="ja-JP"/>
        </w:rPr>
        <w:t xml:space="preserve">De Raad zal tevens spreken over de </w:t>
      </w:r>
      <w:r w:rsidRPr="27486F6B" w:rsidDel="00C5378B">
        <w:rPr>
          <w:rFonts w:cs="Times New Roman"/>
          <w:lang w:val="nl-NL" w:eastAsia="ja-JP"/>
        </w:rPr>
        <w:t xml:space="preserve">ontwikkelingen in de </w:t>
      </w:r>
      <w:r w:rsidRPr="27486F6B">
        <w:rPr>
          <w:rFonts w:cs="Times New Roman"/>
          <w:lang w:val="nl-NL" w:eastAsia="ja-JP"/>
        </w:rPr>
        <w:t xml:space="preserve">Westelijke Balkan. Naar verwachting zal in </w:t>
      </w:r>
      <w:r>
        <w:rPr>
          <w:rFonts w:cs="Times New Roman"/>
          <w:lang w:val="nl-NL" w:eastAsia="ja-JP"/>
        </w:rPr>
        <w:t>het</w:t>
      </w:r>
      <w:r w:rsidRPr="27486F6B">
        <w:rPr>
          <w:rFonts w:cs="Times New Roman"/>
          <w:lang w:val="nl-NL" w:eastAsia="ja-JP"/>
        </w:rPr>
        <w:t xml:space="preserve"> bijzonder aandacht</w:t>
      </w:r>
      <w:r>
        <w:rPr>
          <w:rFonts w:cs="Times New Roman"/>
          <w:lang w:val="nl-NL" w:eastAsia="ja-JP"/>
        </w:rPr>
        <w:t xml:space="preserve"> worden</w:t>
      </w:r>
      <w:r w:rsidRPr="27486F6B">
        <w:rPr>
          <w:rFonts w:cs="Times New Roman"/>
          <w:lang w:val="nl-NL" w:eastAsia="ja-JP"/>
        </w:rPr>
        <w:t xml:space="preserve"> besteed aan de </w:t>
      </w:r>
      <w:r>
        <w:rPr>
          <w:rFonts w:cs="Times New Roman"/>
          <w:lang w:val="nl-NL" w:eastAsia="ja-JP"/>
        </w:rPr>
        <w:t>constitutionele crisis</w:t>
      </w:r>
      <w:r w:rsidRPr="27486F6B">
        <w:rPr>
          <w:rFonts w:cs="Times New Roman"/>
          <w:lang w:val="nl-NL" w:eastAsia="ja-JP"/>
        </w:rPr>
        <w:t xml:space="preserve"> in Bosnië en Herzegovina, naar aanleiding van de ontwikkelingen sinds de veroordeling van de president van de Republika Srpska, Milorad Dodik</w:t>
      </w:r>
      <w:r>
        <w:rPr>
          <w:rFonts w:cs="Times New Roman"/>
          <w:lang w:val="nl-NL" w:eastAsia="ja-JP"/>
        </w:rPr>
        <w:t>,</w:t>
      </w:r>
      <w:r w:rsidRPr="27486F6B">
        <w:rPr>
          <w:rFonts w:cs="Times New Roman"/>
          <w:lang w:val="nl-NL" w:eastAsia="ja-JP"/>
        </w:rPr>
        <w:t xml:space="preserve"> op 26 februari jl.</w:t>
      </w:r>
      <w:r>
        <w:rPr>
          <w:rFonts w:cs="Times New Roman"/>
          <w:lang w:val="nl-NL" w:eastAsia="ja-JP"/>
        </w:rPr>
        <w:t xml:space="preserve"> Hij werd veroordeeld</w:t>
      </w:r>
      <w:r w:rsidRPr="27486F6B">
        <w:rPr>
          <w:rFonts w:cs="Times New Roman"/>
          <w:lang w:val="nl-NL" w:eastAsia="ja-JP"/>
        </w:rPr>
        <w:t xml:space="preserve"> voor ondermijning van het gezag van de Hoge Vertegenwoordiger. Tijdens de bespreking zal tevens aandacht </w:t>
      </w:r>
      <w:r>
        <w:rPr>
          <w:rFonts w:cs="Times New Roman"/>
          <w:lang w:val="nl-NL" w:eastAsia="ja-JP"/>
        </w:rPr>
        <w:t>bestaan</w:t>
      </w:r>
      <w:r w:rsidRPr="27486F6B">
        <w:rPr>
          <w:rFonts w:cs="Times New Roman"/>
          <w:lang w:val="nl-NL" w:eastAsia="ja-JP"/>
        </w:rPr>
        <w:t xml:space="preserve"> voor de situatie in Servië, vanwege de aanhoudende protesten na het instorten van het treinstation in Novi Sad</w:t>
      </w:r>
      <w:r>
        <w:rPr>
          <w:rFonts w:cs="Times New Roman"/>
          <w:lang w:val="nl-NL" w:eastAsia="ja-JP"/>
        </w:rPr>
        <w:t xml:space="preserve"> op 1 november jl</w:t>
      </w:r>
      <w:r w:rsidRPr="27486F6B">
        <w:rPr>
          <w:rFonts w:cs="Times New Roman"/>
          <w:lang w:val="nl-NL" w:eastAsia="ja-JP"/>
        </w:rPr>
        <w:t>.</w:t>
      </w:r>
    </w:p>
    <w:p w:rsidR="00F47817" w:rsidP="00CB5260" w:rsidRDefault="00F47817" w14:paraId="620391B7" w14:textId="77777777">
      <w:pPr>
        <w:spacing w:line="276" w:lineRule="auto"/>
        <w:rPr>
          <w:b/>
          <w:bCs/>
          <w:szCs w:val="18"/>
          <w:lang w:val="nl-NL" w:eastAsia="ja-JP"/>
        </w:rPr>
      </w:pPr>
      <w:r w:rsidRPr="27486F6B">
        <w:rPr>
          <w:rFonts w:cs="Times New Roman"/>
          <w:lang w:val="nl-NL" w:eastAsia="ja-JP"/>
        </w:rPr>
        <w:t>Het kabinet is bezorgd over de ongrondwettelijke acties en provocatieve retoriek van de autoriteiten van de Republika Srpska. Het kabinet benadrukt de soevereiniteit, territoriale integriteit en constitutionele orde van Bosnië-Herzegovina</w:t>
      </w:r>
      <w:r>
        <w:rPr>
          <w:rFonts w:cs="Times New Roman"/>
          <w:lang w:val="nl-NL" w:eastAsia="ja-JP"/>
        </w:rPr>
        <w:t>,</w:t>
      </w:r>
      <w:r w:rsidRPr="27486F6B">
        <w:rPr>
          <w:rFonts w:cs="Times New Roman"/>
          <w:lang w:val="nl-NL" w:eastAsia="ja-JP"/>
        </w:rPr>
        <w:t xml:space="preserve"> en roept het leiderschap van de Republika Srpska op van koers te veranderen. Daarnaast roept het kabinet op tot een gecoördineerde </w:t>
      </w:r>
      <w:r>
        <w:rPr>
          <w:rFonts w:cs="Times New Roman"/>
          <w:lang w:val="nl-NL" w:eastAsia="ja-JP"/>
        </w:rPr>
        <w:t>EU-</w:t>
      </w:r>
      <w:r w:rsidRPr="27486F6B">
        <w:rPr>
          <w:rFonts w:cs="Times New Roman"/>
          <w:lang w:val="nl-NL" w:eastAsia="ja-JP"/>
        </w:rPr>
        <w:t xml:space="preserve">reactie ter ondersteuning van de autoriteiten van Bosnië en Herzegovina. </w:t>
      </w:r>
      <w:r w:rsidRPr="00DD2D58">
        <w:rPr>
          <w:rFonts w:cs="Times New Roman"/>
          <w:lang w:val="nl-NL" w:eastAsia="ja-JP"/>
        </w:rPr>
        <w:t>Ten aanzien van de situatie in Servië volgt het kabinet de ontwikkelingen, en benadrukt dat het zaak is dat de veiligheid tijdens de demonstraties gewaarborgd blijft. De toenemende druk op het maatschappelijk middenveld is zorgwekkend. Het kabinet benadrukt het belang dat de Servische autoriteiten en demonstra</w:t>
      </w:r>
      <w:r>
        <w:rPr>
          <w:rFonts w:cs="Times New Roman"/>
          <w:lang w:val="nl-NL" w:eastAsia="ja-JP"/>
        </w:rPr>
        <w:t>n</w:t>
      </w:r>
      <w:r w:rsidRPr="00DD2D58">
        <w:rPr>
          <w:rFonts w:cs="Times New Roman"/>
          <w:lang w:val="nl-NL" w:eastAsia="ja-JP"/>
        </w:rPr>
        <w:t xml:space="preserve">ten in dialoog gaan, en dat instellingen zoals het openbaar ministerie en de rechtspraak hun werk doen. Het </w:t>
      </w:r>
      <w:r w:rsidRPr="00DD2D58">
        <w:rPr>
          <w:rFonts w:cs="Times New Roman"/>
          <w:lang w:val="nl-NL" w:eastAsia="ja-JP"/>
        </w:rPr>
        <w:lastRenderedPageBreak/>
        <w:t xml:space="preserve">kabinet zet in internationaal verband in op eensgezinde, duidelijke reacties en gecoördineerde aanpak ten aanzien van de politieke situatie.    </w:t>
      </w:r>
    </w:p>
    <w:p w:rsidRPr="00B07530" w:rsidR="00F47817" w:rsidP="00CB5260" w:rsidRDefault="00F47817" w14:paraId="3DF9F232" w14:textId="77777777">
      <w:pPr>
        <w:spacing w:line="276" w:lineRule="auto"/>
        <w:rPr>
          <w:b/>
          <w:lang w:val="nl-NL" w:eastAsia="ja-JP"/>
        </w:rPr>
      </w:pPr>
      <w:r w:rsidRPr="27486F6B">
        <w:rPr>
          <w:b/>
          <w:lang w:val="nl-NL" w:eastAsia="ja-JP"/>
        </w:rPr>
        <w:t xml:space="preserve">Lopende zaken </w:t>
      </w:r>
    </w:p>
    <w:p w:rsidRPr="00B07530" w:rsidR="00F47817" w:rsidP="00CB5260" w:rsidRDefault="00F47817" w14:paraId="38CD4467" w14:textId="77777777">
      <w:pPr>
        <w:spacing w:line="276" w:lineRule="auto"/>
        <w:rPr>
          <w:rFonts w:cs="Times New Roman"/>
          <w:i/>
          <w:lang w:val="nl-NL" w:eastAsia="ja-JP"/>
        </w:rPr>
      </w:pPr>
      <w:r>
        <w:rPr>
          <w:rFonts w:cs="Times New Roman"/>
          <w:i/>
          <w:lang w:val="nl-NL" w:eastAsia="ja-JP"/>
        </w:rPr>
        <w:t xml:space="preserve">Armenië en </w:t>
      </w:r>
      <w:r w:rsidRPr="27486F6B">
        <w:rPr>
          <w:rFonts w:cs="Times New Roman"/>
          <w:i/>
          <w:lang w:val="nl-NL" w:eastAsia="ja-JP"/>
        </w:rPr>
        <w:t>Azerbeidzjan</w:t>
      </w:r>
    </w:p>
    <w:p w:rsidR="00F47817" w:rsidP="00CB5260" w:rsidRDefault="00F47817" w14:paraId="35C5EDE6" w14:textId="270282E4">
      <w:pPr>
        <w:spacing w:line="276" w:lineRule="auto"/>
        <w:rPr>
          <w:lang w:val="nl-NL" w:eastAsia="ja-JP"/>
        </w:rPr>
      </w:pPr>
      <w:r w:rsidRPr="00EC3008">
        <w:rPr>
          <w:rFonts w:eastAsia="Malgun Gothic"/>
          <w:bCs/>
          <w:szCs w:val="18"/>
          <w:lang w:val="nl-NL" w:eastAsia="ko-KR"/>
        </w:rPr>
        <w:t>De Raad zal naar verwachting de laatste ontwikkelingen</w:t>
      </w:r>
      <w:r>
        <w:rPr>
          <w:rFonts w:eastAsia="Malgun Gothic"/>
          <w:bCs/>
          <w:szCs w:val="18"/>
          <w:lang w:val="nl-NL" w:eastAsia="ko-KR"/>
        </w:rPr>
        <w:t xml:space="preserve"> bespreken</w:t>
      </w:r>
      <w:r w:rsidRPr="00EC3008">
        <w:rPr>
          <w:rFonts w:eastAsia="Malgun Gothic"/>
          <w:bCs/>
          <w:szCs w:val="18"/>
          <w:lang w:val="nl-NL" w:eastAsia="ko-KR"/>
        </w:rPr>
        <w:t xml:space="preserve"> ten aanzien van </w:t>
      </w:r>
      <w:r>
        <w:rPr>
          <w:rFonts w:eastAsia="Malgun Gothic"/>
          <w:bCs/>
          <w:szCs w:val="18"/>
          <w:lang w:val="nl-NL" w:eastAsia="ko-KR"/>
        </w:rPr>
        <w:t>het vredesproces tussen</w:t>
      </w:r>
      <w:r w:rsidRPr="00EC3008">
        <w:rPr>
          <w:rFonts w:eastAsia="Malgun Gothic"/>
          <w:bCs/>
          <w:szCs w:val="18"/>
          <w:lang w:val="nl-NL" w:eastAsia="ko-KR"/>
        </w:rPr>
        <w:t xml:space="preserve"> Armenië en Azerbeidzjan. </w:t>
      </w:r>
      <w:r>
        <w:rPr>
          <w:rFonts w:eastAsia="Malgun Gothic"/>
          <w:bCs/>
          <w:szCs w:val="18"/>
          <w:lang w:val="nl-NL" w:eastAsia="ko-KR"/>
        </w:rPr>
        <w:t xml:space="preserve">Onlangs kwamen Armenië en Azerbeidzjan de tekst van een vredesverdrag overeen. De partijen gaan nog niet over tot ondertekening. Azerbeidzjan heeft </w:t>
      </w:r>
      <w:r w:rsidR="00E76C30">
        <w:rPr>
          <w:rFonts w:eastAsia="Malgun Gothic"/>
          <w:bCs/>
          <w:szCs w:val="18"/>
          <w:lang w:val="nl-NL" w:eastAsia="ko-KR"/>
        </w:rPr>
        <w:t xml:space="preserve">al langer </w:t>
      </w:r>
      <w:r>
        <w:rPr>
          <w:rFonts w:eastAsia="Malgun Gothic"/>
          <w:bCs/>
          <w:szCs w:val="18"/>
          <w:lang w:val="nl-NL" w:eastAsia="ko-KR"/>
        </w:rPr>
        <w:t>aangegeven dat de grondwet van Armenië moet worden geamendeerd en de OVSE Minskgroep dient te worden</w:t>
      </w:r>
      <w:r w:rsidRPr="00CD0CBD">
        <w:rPr>
          <w:rFonts w:eastAsia="Malgun Gothic"/>
          <w:bCs/>
          <w:szCs w:val="18"/>
          <w:lang w:val="nl-NL" w:eastAsia="ko-KR"/>
        </w:rPr>
        <w:t xml:space="preserve"> </w:t>
      </w:r>
      <w:r>
        <w:rPr>
          <w:rFonts w:eastAsia="Malgun Gothic"/>
          <w:bCs/>
          <w:szCs w:val="18"/>
          <w:lang w:val="nl-NL" w:eastAsia="ko-KR"/>
        </w:rPr>
        <w:t>opgeheven. De Armeense Premier Pas</w:t>
      </w:r>
      <w:r w:rsidR="0012211D">
        <w:rPr>
          <w:rFonts w:eastAsia="Malgun Gothic"/>
          <w:bCs/>
          <w:szCs w:val="18"/>
          <w:lang w:val="nl-NL" w:eastAsia="ko-KR"/>
        </w:rPr>
        <w:t>j</w:t>
      </w:r>
      <w:r>
        <w:rPr>
          <w:rFonts w:eastAsia="Malgun Gothic"/>
          <w:bCs/>
          <w:szCs w:val="18"/>
          <w:lang w:val="nl-NL" w:eastAsia="ko-KR"/>
        </w:rPr>
        <w:t>in</w:t>
      </w:r>
      <w:r w:rsidR="0012211D">
        <w:rPr>
          <w:rFonts w:eastAsia="Malgun Gothic"/>
          <w:bCs/>
          <w:szCs w:val="18"/>
          <w:lang w:val="nl-NL" w:eastAsia="ko-KR"/>
        </w:rPr>
        <w:t>j</w:t>
      </w:r>
      <w:r>
        <w:rPr>
          <w:rFonts w:eastAsia="Malgun Gothic"/>
          <w:bCs/>
          <w:szCs w:val="18"/>
          <w:lang w:val="nl-NL" w:eastAsia="ko-KR"/>
        </w:rPr>
        <w:t xml:space="preserve">an heeft aangegeven dat er een nieuwe grondwet gaat komen. Armenië ziet vrede met Azerbeidzjan als prioriteit voor de toekomst van het land. </w:t>
      </w:r>
      <w:r w:rsidRPr="00EC3008">
        <w:rPr>
          <w:rFonts w:eastAsia="Malgun Gothic"/>
          <w:bCs/>
          <w:szCs w:val="18"/>
          <w:lang w:val="nl-NL" w:eastAsia="ko-KR"/>
        </w:rPr>
        <w:t xml:space="preserve">Het kabinet steunt de vredesonderhandelingen tussen Armenië en Azerbeidzjan en hoopt op een snelle uitkomst voor </w:t>
      </w:r>
      <w:r>
        <w:rPr>
          <w:rFonts w:eastAsia="Malgun Gothic"/>
          <w:bCs/>
          <w:szCs w:val="18"/>
          <w:lang w:val="nl-NL" w:eastAsia="ko-KR"/>
        </w:rPr>
        <w:t xml:space="preserve">duurzame </w:t>
      </w:r>
      <w:r w:rsidRPr="00EC3008">
        <w:rPr>
          <w:rFonts w:eastAsia="Malgun Gothic"/>
          <w:bCs/>
          <w:szCs w:val="18"/>
          <w:lang w:val="nl-NL" w:eastAsia="ko-KR"/>
        </w:rPr>
        <w:t xml:space="preserve">vrede en stabiliteit in de </w:t>
      </w:r>
      <w:r>
        <w:rPr>
          <w:rFonts w:eastAsia="Malgun Gothic"/>
          <w:bCs/>
          <w:szCs w:val="18"/>
          <w:lang w:val="nl-NL" w:eastAsia="ko-KR"/>
        </w:rPr>
        <w:t>z</w:t>
      </w:r>
      <w:r w:rsidRPr="00EC3008">
        <w:rPr>
          <w:rFonts w:eastAsia="Malgun Gothic"/>
          <w:bCs/>
          <w:szCs w:val="18"/>
          <w:lang w:val="nl-NL" w:eastAsia="ko-KR"/>
        </w:rPr>
        <w:t xml:space="preserve">uidelijke Kaukasus. </w:t>
      </w:r>
      <w:r w:rsidRPr="004359E3">
        <w:rPr>
          <w:rFonts w:eastAsia="Malgun Gothic"/>
          <w:bCs/>
          <w:szCs w:val="18"/>
          <w:lang w:val="nl-NL" w:eastAsia="ko-KR"/>
        </w:rPr>
        <w:t>Het kabinet zal in de Raad pleiten voor een faciliterende rol van de EU en EU</w:t>
      </w:r>
      <w:r>
        <w:rPr>
          <w:rFonts w:eastAsia="Malgun Gothic"/>
          <w:bCs/>
          <w:szCs w:val="18"/>
          <w:lang w:val="nl-NL" w:eastAsia="ko-KR"/>
        </w:rPr>
        <w:t>-</w:t>
      </w:r>
      <w:r w:rsidRPr="004359E3">
        <w:rPr>
          <w:rFonts w:eastAsia="Malgun Gothic"/>
          <w:bCs/>
          <w:szCs w:val="18"/>
          <w:lang w:val="nl-NL" w:eastAsia="ko-KR"/>
        </w:rPr>
        <w:t>L</w:t>
      </w:r>
      <w:r>
        <w:rPr>
          <w:rFonts w:eastAsia="Malgun Gothic"/>
          <w:bCs/>
          <w:szCs w:val="18"/>
          <w:lang w:val="nl-NL" w:eastAsia="ko-KR"/>
        </w:rPr>
        <w:t>idstaten</w:t>
      </w:r>
      <w:r w:rsidRPr="004359E3">
        <w:rPr>
          <w:rFonts w:eastAsia="Malgun Gothic"/>
          <w:bCs/>
          <w:szCs w:val="18"/>
          <w:lang w:val="nl-NL" w:eastAsia="ko-KR"/>
        </w:rPr>
        <w:t xml:space="preserve"> om positieve ontwikkelingen in dit proces te ondersteunen</w:t>
      </w:r>
      <w:r>
        <w:rPr>
          <w:rFonts w:eastAsia="Malgun Gothic"/>
          <w:bCs/>
          <w:szCs w:val="18"/>
          <w:lang w:val="nl-NL" w:eastAsia="ko-KR"/>
        </w:rPr>
        <w:t>.</w:t>
      </w:r>
    </w:p>
    <w:bookmarkEnd w:id="0"/>
    <w:p w:rsidRPr="00AF22A7" w:rsidR="00F47817" w:rsidP="00CB5260" w:rsidRDefault="00F47817" w14:paraId="0544592A" w14:textId="77777777">
      <w:pPr>
        <w:spacing w:line="276" w:lineRule="auto"/>
        <w:rPr>
          <w:rFonts w:eastAsia="Malgun Gothic"/>
          <w:b/>
          <w:lang w:val="nl-NL" w:eastAsia="ko-KR"/>
        </w:rPr>
      </w:pPr>
      <w:r w:rsidRPr="00757469">
        <w:rPr>
          <w:rFonts w:eastAsia="Malgun Gothic"/>
          <w:b/>
          <w:lang w:val="nl-NL" w:eastAsia="ko-KR"/>
        </w:rPr>
        <w:t>EU-toetredingsproces Albanië: openen cluster 2</w:t>
      </w:r>
    </w:p>
    <w:p w:rsidRPr="00BD6A35" w:rsidR="00F47817" w:rsidP="00CB5260" w:rsidRDefault="00F47817" w14:paraId="2A1D541C" w14:textId="77777777">
      <w:pPr>
        <w:spacing w:line="276" w:lineRule="auto"/>
        <w:rPr>
          <w:lang w:val="nl-NL"/>
        </w:rPr>
      </w:pPr>
      <w:r>
        <w:rPr>
          <w:lang w:val="nl-NL"/>
        </w:rPr>
        <w:t>Afhankelijk van instemming van EU-lidstaten zal e</w:t>
      </w:r>
      <w:r w:rsidRPr="00AF22A7">
        <w:rPr>
          <w:lang w:val="nl-NL"/>
        </w:rPr>
        <w:t xml:space="preserve">n marge van de </w:t>
      </w:r>
      <w:r>
        <w:rPr>
          <w:lang w:val="nl-NL"/>
        </w:rPr>
        <w:t xml:space="preserve">RBZ </w:t>
      </w:r>
      <w:r w:rsidRPr="00AF22A7">
        <w:rPr>
          <w:lang w:val="nl-NL"/>
        </w:rPr>
        <w:t xml:space="preserve">een Intergouvernementele Conferentie met Albanië worden georganiseerd. </w:t>
      </w:r>
      <w:r>
        <w:rPr>
          <w:lang w:val="nl-NL"/>
        </w:rPr>
        <w:t>De Europese Commissie heeft aanbevolen om cluster 2 (interne markt) te openen.</w:t>
      </w:r>
      <w:r>
        <w:rPr>
          <w:rStyle w:val="FootnoteReference"/>
          <w:lang w:val="nl-NL"/>
        </w:rPr>
        <w:footnoteReference w:id="5"/>
      </w:r>
      <w:r>
        <w:rPr>
          <w:lang w:val="nl-NL"/>
        </w:rPr>
        <w:t xml:space="preserve"> Er zijn geen separate vereisten of </w:t>
      </w:r>
      <w:r w:rsidRPr="00AF22A7">
        <w:rPr>
          <w:i/>
          <w:iCs/>
          <w:lang w:val="nl-NL"/>
        </w:rPr>
        <w:t>opening benchmarks</w:t>
      </w:r>
      <w:r>
        <w:rPr>
          <w:lang w:val="nl-NL"/>
        </w:rPr>
        <w:t xml:space="preserve"> waar Albanië aan moet voldoen voorafgaand aan het openen van dit cluster. </w:t>
      </w:r>
      <w:r w:rsidRPr="00AF22A7">
        <w:rPr>
          <w:lang w:val="nl-NL"/>
        </w:rPr>
        <w:t xml:space="preserve">Ten aanzien van de bredere rechtsstaatsituatie en hervormingen in Albanië </w:t>
      </w:r>
      <w:r>
        <w:rPr>
          <w:lang w:val="nl-NL"/>
        </w:rPr>
        <w:t>verwijst</w:t>
      </w:r>
      <w:r w:rsidRPr="00AF22A7">
        <w:rPr>
          <w:lang w:val="nl-NL"/>
        </w:rPr>
        <w:t xml:space="preserve"> het kabinet </w:t>
      </w:r>
      <w:r>
        <w:rPr>
          <w:lang w:val="nl-NL"/>
        </w:rPr>
        <w:t>naar</w:t>
      </w:r>
      <w:r w:rsidRPr="00AF22A7">
        <w:rPr>
          <w:lang w:val="nl-NL"/>
        </w:rPr>
        <w:t xml:space="preserve"> de bevindingen van het landenrapport van de Commissie </w:t>
      </w:r>
      <w:r>
        <w:rPr>
          <w:lang w:val="nl-NL"/>
        </w:rPr>
        <w:t>uit</w:t>
      </w:r>
      <w:r w:rsidRPr="00AF22A7">
        <w:rPr>
          <w:lang w:val="nl-NL"/>
        </w:rPr>
        <w:t xml:space="preserve"> 202</w:t>
      </w:r>
      <w:r>
        <w:rPr>
          <w:lang w:val="nl-NL"/>
        </w:rPr>
        <w:t>4</w:t>
      </w:r>
      <w:r w:rsidRPr="00AF22A7">
        <w:rPr>
          <w:lang w:val="nl-NL"/>
        </w:rPr>
        <w:t xml:space="preserve"> dat op verschillende vlakken voortgang is geboekt, zoals aangegeven in de Kabinetsappreciatie</w:t>
      </w:r>
      <w:r>
        <w:rPr>
          <w:lang w:val="nl-NL"/>
        </w:rPr>
        <w:t>.</w:t>
      </w:r>
      <w:r>
        <w:rPr>
          <w:rStyle w:val="FootnoteReference"/>
          <w:lang w:val="nl-NL"/>
        </w:rPr>
        <w:footnoteReference w:id="6"/>
      </w:r>
      <w:r w:rsidRPr="00AF22A7">
        <w:rPr>
          <w:lang w:val="nl-NL"/>
        </w:rPr>
        <w:t xml:space="preserve"> </w:t>
      </w:r>
      <w:r>
        <w:rPr>
          <w:lang w:val="nl-NL"/>
        </w:rPr>
        <w:t xml:space="preserve">Eventuele tekortkomingen </w:t>
      </w:r>
      <w:r w:rsidRPr="00AF22A7">
        <w:rPr>
          <w:lang w:val="nl-NL"/>
        </w:rPr>
        <w:t>zal Albanië gedurende de verschillende fases van het toetredingsproces moeten a</w:t>
      </w:r>
      <w:r>
        <w:rPr>
          <w:lang w:val="nl-NL"/>
        </w:rPr>
        <w:t>anpakken</w:t>
      </w:r>
      <w:r w:rsidRPr="00AF22A7">
        <w:rPr>
          <w:lang w:val="nl-NL"/>
        </w:rPr>
        <w:t xml:space="preserve">. </w:t>
      </w:r>
      <w:r w:rsidRPr="00BD6A35">
        <w:rPr>
          <w:lang w:val="nl-NL"/>
        </w:rPr>
        <w:t xml:space="preserve">Onder cluster 2 valt ook het vrij verkeer van werknemers. </w:t>
      </w:r>
      <w:r>
        <w:rPr>
          <w:lang w:val="nl-NL"/>
        </w:rPr>
        <w:t>Nederland</w:t>
      </w:r>
      <w:r w:rsidRPr="00BD6A35">
        <w:rPr>
          <w:lang w:val="nl-NL"/>
        </w:rPr>
        <w:t xml:space="preserve"> heeft</w:t>
      </w:r>
      <w:r>
        <w:rPr>
          <w:lang w:val="nl-NL"/>
        </w:rPr>
        <w:t>, conform</w:t>
      </w:r>
      <w:r w:rsidRPr="00BD6A35">
        <w:rPr>
          <w:lang w:val="nl-NL"/>
        </w:rPr>
        <w:t xml:space="preserve"> het ho</w:t>
      </w:r>
      <w:r>
        <w:rPr>
          <w:lang w:val="nl-NL"/>
        </w:rPr>
        <w:t>ofdlijnenakkoord,</w:t>
      </w:r>
      <w:r w:rsidRPr="00BD6A35">
        <w:rPr>
          <w:lang w:val="nl-NL"/>
        </w:rPr>
        <w:t xml:space="preserve"> </w:t>
      </w:r>
      <w:r>
        <w:rPr>
          <w:lang w:val="nl-NL"/>
        </w:rPr>
        <w:t>reeds</w:t>
      </w:r>
      <w:r w:rsidRPr="00BD6A35">
        <w:rPr>
          <w:lang w:val="nl-NL"/>
        </w:rPr>
        <w:t xml:space="preserve"> aangegeven op het daartoe geëigende moment, namelijk bij het onder voorbehoud sluiten van de individuele hoofdstukken, overgangsbepalingen </w:t>
      </w:r>
      <w:r>
        <w:rPr>
          <w:lang w:val="nl-NL"/>
        </w:rPr>
        <w:t>te</w:t>
      </w:r>
      <w:r w:rsidRPr="00BD6A35">
        <w:rPr>
          <w:lang w:val="nl-NL"/>
        </w:rPr>
        <w:t xml:space="preserve"> overwegen voor vrij verkeer van werknemers en diensten. Een besluit hierover is nu niet aan de orde.</w:t>
      </w:r>
    </w:p>
    <w:p w:rsidRPr="00AF22A7" w:rsidR="00F47817" w:rsidP="00CB5260" w:rsidRDefault="00F47817" w14:paraId="42308453" w14:textId="77777777">
      <w:pPr>
        <w:spacing w:line="276" w:lineRule="auto"/>
        <w:rPr>
          <w:lang w:val="nl-NL"/>
        </w:rPr>
      </w:pPr>
      <w:r w:rsidRPr="00AF22A7">
        <w:rPr>
          <w:lang w:val="nl-NL"/>
        </w:rPr>
        <w:t xml:space="preserve">Het kabinet staat zeer kritisch tegenover verdere uitbreiding van de EU, en houdt streng vast aan de eisen voor lidmaatschap van de EU, inclusief de zogenoemde Kopenhagen-criteria. Hervormingen op het gebied van goed bestuur, transparantie en de rechtsstaat zijn belangrijk en waar mogelijk ondersteunt Nederland daarbij. Er worden geen concessies gedaan aan deze criteria. </w:t>
      </w:r>
      <w:r>
        <w:rPr>
          <w:lang w:val="nl-NL"/>
        </w:rPr>
        <w:t>N</w:t>
      </w:r>
      <w:r w:rsidRPr="00AF22A7">
        <w:rPr>
          <w:lang w:val="nl-NL"/>
        </w:rPr>
        <w:t xml:space="preserve">adat </w:t>
      </w:r>
      <w:r>
        <w:rPr>
          <w:lang w:val="nl-NL"/>
        </w:rPr>
        <w:t xml:space="preserve">de gepaste </w:t>
      </w:r>
      <w:r>
        <w:rPr>
          <w:i/>
          <w:iCs/>
          <w:lang w:val="nl-NL"/>
        </w:rPr>
        <w:t>closing</w:t>
      </w:r>
      <w:r w:rsidRPr="00AF22A7">
        <w:rPr>
          <w:lang w:val="nl-NL"/>
        </w:rPr>
        <w:t xml:space="preserve"> </w:t>
      </w:r>
      <w:r w:rsidRPr="0056495D">
        <w:rPr>
          <w:i/>
          <w:lang w:val="nl-NL"/>
        </w:rPr>
        <w:t>benchmarks</w:t>
      </w:r>
      <w:r w:rsidRPr="00AF22A7">
        <w:rPr>
          <w:lang w:val="nl-NL"/>
        </w:rPr>
        <w:t xml:space="preserve"> door de Raad worden vastgesteld,</w:t>
      </w:r>
      <w:r>
        <w:rPr>
          <w:lang w:val="nl-NL"/>
        </w:rPr>
        <w:t xml:space="preserve"> kan c</w:t>
      </w:r>
      <w:r w:rsidRPr="00AF22A7">
        <w:rPr>
          <w:lang w:val="nl-NL"/>
        </w:rPr>
        <w:t>luster</w:t>
      </w:r>
      <w:r>
        <w:rPr>
          <w:lang w:val="nl-NL"/>
        </w:rPr>
        <w:t xml:space="preserve"> 2</w:t>
      </w:r>
      <w:r w:rsidRPr="00AF22A7">
        <w:rPr>
          <w:lang w:val="nl-NL"/>
        </w:rPr>
        <w:t xml:space="preserve"> worden geopend. Het kabinet heeft een positieve grondhouding ten aanzien van het openen van </w:t>
      </w:r>
      <w:r>
        <w:rPr>
          <w:lang w:val="nl-NL"/>
        </w:rPr>
        <w:t>c</w:t>
      </w:r>
      <w:r w:rsidRPr="00AF22A7">
        <w:rPr>
          <w:lang w:val="nl-NL"/>
        </w:rPr>
        <w:t xml:space="preserve">luster </w:t>
      </w:r>
      <w:r>
        <w:rPr>
          <w:lang w:val="nl-NL"/>
        </w:rPr>
        <w:t>2</w:t>
      </w:r>
      <w:r w:rsidRPr="00AF22A7">
        <w:rPr>
          <w:lang w:val="nl-NL"/>
        </w:rPr>
        <w:t xml:space="preserve">, mits de </w:t>
      </w:r>
      <w:r>
        <w:rPr>
          <w:lang w:val="nl-NL"/>
        </w:rPr>
        <w:t>aandachtspunten van het kabinet</w:t>
      </w:r>
      <w:r w:rsidRPr="00AF22A7">
        <w:rPr>
          <w:lang w:val="nl-NL"/>
        </w:rPr>
        <w:t xml:space="preserve"> in voldoende mate in de benchmarks verankerd zijn. Het krachtenveld in de Raad lijkt zich te bewegen richting unanieme steun voor deze stap.</w:t>
      </w:r>
    </w:p>
    <w:p w:rsidR="00F47817" w:rsidP="00CB5260" w:rsidRDefault="00CB5260" w14:paraId="5A5128EF" w14:textId="40BBB3C7">
      <w:pPr>
        <w:tabs>
          <w:tab w:val="left" w:pos="2187"/>
        </w:tabs>
        <w:spacing w:line="276" w:lineRule="auto"/>
        <w:rPr>
          <w:lang w:val="nl-NL"/>
        </w:rPr>
      </w:pPr>
      <w:r>
        <w:rPr>
          <w:lang w:val="nl-NL"/>
        </w:rPr>
        <w:tab/>
      </w:r>
    </w:p>
    <w:p w:rsidRPr="00EC3008" w:rsidR="00F47817" w:rsidP="00CB5260" w:rsidRDefault="00F47817" w14:paraId="769C4F48" w14:textId="77777777">
      <w:pPr>
        <w:spacing w:line="276" w:lineRule="auto"/>
        <w:rPr>
          <w:rFonts w:eastAsia="Malgun Gothic"/>
          <w:bCs/>
          <w:szCs w:val="18"/>
          <w:lang w:val="nl-NL" w:eastAsia="ko-KR"/>
        </w:rPr>
      </w:pPr>
    </w:p>
    <w:p w:rsidRPr="00F47817" w:rsidR="00EC3008" w:rsidP="00CB5260" w:rsidRDefault="00EC3008" w14:paraId="521EBAAB" w14:textId="63E93E12">
      <w:pPr>
        <w:spacing w:line="276" w:lineRule="auto"/>
        <w:rPr>
          <w:lang w:val="nl-NL"/>
        </w:rPr>
      </w:pPr>
    </w:p>
    <w:sectPr w:rsidRPr="00F47817" w:rsidR="00EC300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9ECC2" w14:textId="77777777" w:rsidR="003E101F" w:rsidRDefault="003E101F" w:rsidP="003E101F">
      <w:pPr>
        <w:spacing w:after="0"/>
      </w:pPr>
      <w:r>
        <w:separator/>
      </w:r>
    </w:p>
  </w:endnote>
  <w:endnote w:type="continuationSeparator" w:id="0">
    <w:p w14:paraId="5886A4E0" w14:textId="77777777" w:rsidR="003E101F" w:rsidRDefault="003E101F" w:rsidP="003E101F">
      <w:pPr>
        <w:spacing w:after="0"/>
      </w:pPr>
      <w:r>
        <w:continuationSeparator/>
      </w:r>
    </w:p>
  </w:endnote>
  <w:endnote w:type="continuationNotice" w:id="1">
    <w:p w14:paraId="24CF64F2" w14:textId="77777777" w:rsidR="002F2D0D" w:rsidRDefault="002F2D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F2C6" w14:textId="77777777" w:rsidR="003E101F" w:rsidRDefault="003E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3A2E"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EEB7" w14:textId="77777777" w:rsidR="003E101F" w:rsidRDefault="003E101F" w:rsidP="003E101F">
      <w:pPr>
        <w:spacing w:after="0"/>
      </w:pPr>
      <w:r>
        <w:separator/>
      </w:r>
    </w:p>
  </w:footnote>
  <w:footnote w:type="continuationSeparator" w:id="0">
    <w:p w14:paraId="6E43B854" w14:textId="77777777" w:rsidR="003E101F" w:rsidRDefault="003E101F" w:rsidP="003E101F">
      <w:pPr>
        <w:spacing w:after="0"/>
      </w:pPr>
      <w:r>
        <w:continuationSeparator/>
      </w:r>
    </w:p>
  </w:footnote>
  <w:footnote w:type="continuationNotice" w:id="1">
    <w:p w14:paraId="1665A114" w14:textId="77777777" w:rsidR="002F2D0D" w:rsidRDefault="002F2D0D">
      <w:pPr>
        <w:spacing w:after="0"/>
      </w:pPr>
    </w:p>
  </w:footnote>
  <w:footnote w:id="2">
    <w:p w14:paraId="659A8406" w14:textId="77777777" w:rsidR="00F47817" w:rsidRPr="00AF3720" w:rsidRDefault="00F47817" w:rsidP="00F47817">
      <w:pPr>
        <w:pStyle w:val="FootnoteText"/>
        <w:rPr>
          <w:lang w:val="nl-NL"/>
        </w:rPr>
      </w:pPr>
      <w:r w:rsidRPr="00893FB8">
        <w:rPr>
          <w:rStyle w:val="FootnoteReference"/>
          <w:sz w:val="18"/>
          <w:szCs w:val="18"/>
        </w:rPr>
        <w:footnoteRef/>
      </w:r>
      <w:r w:rsidRPr="00893FB8">
        <w:rPr>
          <w:sz w:val="18"/>
          <w:szCs w:val="18"/>
          <w:lang w:val="nl-NL"/>
        </w:rPr>
        <w:t xml:space="preserve"> </w:t>
      </w:r>
      <w:r w:rsidRPr="00893FB8">
        <w:rPr>
          <w:rFonts w:cs="Times New Roman"/>
          <w:sz w:val="16"/>
          <w:lang w:val="nl-NL" w:eastAsia="ja-JP"/>
        </w:rPr>
        <w:t>Kamerstuk 36 410-V, nr. 92</w:t>
      </w:r>
    </w:p>
  </w:footnote>
  <w:footnote w:id="3">
    <w:p w14:paraId="73C7D895" w14:textId="77777777" w:rsidR="00F47817" w:rsidRPr="00893FB8" w:rsidRDefault="00F47817" w:rsidP="00F47817">
      <w:pPr>
        <w:pStyle w:val="FootnoteText"/>
        <w:rPr>
          <w:sz w:val="16"/>
          <w:szCs w:val="16"/>
          <w:lang w:val="nl-NL"/>
        </w:rPr>
      </w:pPr>
      <w:r w:rsidRPr="00893FB8">
        <w:rPr>
          <w:rStyle w:val="FootnoteReference"/>
          <w:sz w:val="16"/>
          <w:szCs w:val="16"/>
        </w:rPr>
        <w:footnoteRef/>
      </w:r>
      <w:r w:rsidRPr="00893FB8">
        <w:rPr>
          <w:sz w:val="16"/>
          <w:szCs w:val="16"/>
          <w:lang w:val="nl-NL"/>
        </w:rPr>
        <w:t xml:space="preserve"> https://www.consilium.europa.eu/media/54412/final_declaration-en.pdf</w:t>
      </w:r>
    </w:p>
  </w:footnote>
  <w:footnote w:id="4">
    <w:p w14:paraId="54CCB660" w14:textId="77777777" w:rsidR="00F47817" w:rsidRPr="00056759" w:rsidRDefault="00F47817" w:rsidP="00F47817">
      <w:pPr>
        <w:pStyle w:val="FootnoteText"/>
        <w:rPr>
          <w:sz w:val="18"/>
          <w:szCs w:val="18"/>
          <w:lang w:val="nl-NL"/>
        </w:rPr>
      </w:pPr>
      <w:r w:rsidRPr="00893FB8">
        <w:rPr>
          <w:rStyle w:val="FootnoteReference"/>
          <w:sz w:val="16"/>
          <w:szCs w:val="16"/>
        </w:rPr>
        <w:footnoteRef/>
      </w:r>
      <w:r w:rsidRPr="00893FB8">
        <w:rPr>
          <w:sz w:val="16"/>
          <w:szCs w:val="16"/>
          <w:lang w:val="nl-NL"/>
        </w:rPr>
        <w:t xml:space="preserve"> Kamerstuk 21 501-02 nr. 3008</w:t>
      </w:r>
    </w:p>
  </w:footnote>
  <w:footnote w:id="5">
    <w:p w14:paraId="4C7D7098" w14:textId="77777777" w:rsidR="00F47817" w:rsidRPr="00893FB8" w:rsidRDefault="00F47817" w:rsidP="00F47817">
      <w:pPr>
        <w:pStyle w:val="FootnoteText"/>
        <w:rPr>
          <w:sz w:val="18"/>
          <w:szCs w:val="18"/>
          <w:lang w:val="nl-NL"/>
        </w:rPr>
      </w:pPr>
      <w:r w:rsidRPr="00893FB8">
        <w:rPr>
          <w:rStyle w:val="FootnoteReference"/>
          <w:sz w:val="18"/>
          <w:szCs w:val="18"/>
        </w:rPr>
        <w:footnoteRef/>
      </w:r>
      <w:r w:rsidRPr="00893FB8">
        <w:rPr>
          <w:sz w:val="18"/>
          <w:szCs w:val="18"/>
          <w:lang w:val="nl-NL"/>
        </w:rPr>
        <w:t xml:space="preserve"> </w:t>
      </w:r>
      <w:r w:rsidRPr="00893FB8">
        <w:rPr>
          <w:sz w:val="16"/>
          <w:szCs w:val="16"/>
          <w:lang w:val="nl-NL"/>
        </w:rPr>
        <w:t xml:space="preserve">Cluster 2 </w:t>
      </w:r>
      <w:r>
        <w:rPr>
          <w:sz w:val="16"/>
          <w:szCs w:val="16"/>
          <w:lang w:val="nl-NL"/>
        </w:rPr>
        <w:t>omvat</w:t>
      </w:r>
      <w:r w:rsidRPr="00893FB8">
        <w:rPr>
          <w:sz w:val="16"/>
          <w:szCs w:val="16"/>
          <w:lang w:val="nl-NL"/>
        </w:rPr>
        <w:t xml:space="preserve"> 9 hoofdstukken. Sinds de herziening van de uitbreidingsmethodologie in 2020 worden hoofdstukken vallend onder een cluster gezamenlijk geopend om de samenhang tussen de hoofdstukken en</w:t>
      </w:r>
      <w:r>
        <w:rPr>
          <w:sz w:val="16"/>
          <w:szCs w:val="16"/>
          <w:lang w:val="nl-NL"/>
        </w:rPr>
        <w:t xml:space="preserve"> de</w:t>
      </w:r>
      <w:r w:rsidRPr="00893FB8">
        <w:rPr>
          <w:sz w:val="16"/>
          <w:szCs w:val="16"/>
          <w:lang w:val="nl-NL"/>
        </w:rPr>
        <w:t xml:space="preserve"> door te voeren hervormingen te bevorderen. </w:t>
      </w:r>
    </w:p>
  </w:footnote>
  <w:footnote w:id="6">
    <w:p w14:paraId="03554A65" w14:textId="77777777" w:rsidR="00F47817" w:rsidRPr="008518A4" w:rsidRDefault="00F47817" w:rsidP="00F47817">
      <w:pPr>
        <w:pStyle w:val="FootnoteText"/>
        <w:rPr>
          <w:lang w:val="nl-NL"/>
        </w:rPr>
      </w:pPr>
      <w:r w:rsidRPr="00893FB8">
        <w:rPr>
          <w:rStyle w:val="FootnoteReference"/>
          <w:sz w:val="18"/>
          <w:szCs w:val="18"/>
        </w:rPr>
        <w:footnoteRef/>
      </w:r>
      <w:r w:rsidRPr="00893FB8">
        <w:rPr>
          <w:sz w:val="18"/>
          <w:szCs w:val="18"/>
          <w:lang w:val="nl-NL"/>
        </w:rPr>
        <w:t xml:space="preserve"> </w:t>
      </w:r>
      <w:r w:rsidRPr="00893FB8">
        <w:rPr>
          <w:sz w:val="16"/>
          <w:szCs w:val="16"/>
          <w:lang w:val="nl-NL"/>
        </w:rPr>
        <w:t xml:space="preserve">Kamerstuk 23987, nr. 397.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1D30" w14:textId="77777777" w:rsidR="003E101F" w:rsidRDefault="003E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64DC" w14:textId="77777777" w:rsidR="003E101F" w:rsidRDefault="003E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720F" w14:textId="77777777" w:rsidR="003E101F" w:rsidRDefault="003E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268A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DFF75FF"/>
    <w:multiLevelType w:val="hybridMultilevel"/>
    <w:tmpl w:val="455662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0661311">
    <w:abstractNumId w:val="1"/>
  </w:num>
  <w:num w:numId="2" w16cid:durableId="193169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B1"/>
    <w:rsid w:val="000101D1"/>
    <w:rsid w:val="000133ED"/>
    <w:rsid w:val="000138E9"/>
    <w:rsid w:val="00021A49"/>
    <w:rsid w:val="000338EE"/>
    <w:rsid w:val="00044F6B"/>
    <w:rsid w:val="00047A6E"/>
    <w:rsid w:val="00050245"/>
    <w:rsid w:val="00054928"/>
    <w:rsid w:val="00055BED"/>
    <w:rsid w:val="00056759"/>
    <w:rsid w:val="00057D25"/>
    <w:rsid w:val="0006727A"/>
    <w:rsid w:val="00070B71"/>
    <w:rsid w:val="000713F4"/>
    <w:rsid w:val="00074D50"/>
    <w:rsid w:val="00081A81"/>
    <w:rsid w:val="000877AE"/>
    <w:rsid w:val="000915F0"/>
    <w:rsid w:val="000A3B16"/>
    <w:rsid w:val="000A7E9B"/>
    <w:rsid w:val="000B1F4D"/>
    <w:rsid w:val="000B7543"/>
    <w:rsid w:val="000C02A6"/>
    <w:rsid w:val="000C1E00"/>
    <w:rsid w:val="000D0974"/>
    <w:rsid w:val="000D65A0"/>
    <w:rsid w:val="000E1B3C"/>
    <w:rsid w:val="000E6608"/>
    <w:rsid w:val="000F18E8"/>
    <w:rsid w:val="000F4BBC"/>
    <w:rsid w:val="001005B8"/>
    <w:rsid w:val="00101334"/>
    <w:rsid w:val="001073DF"/>
    <w:rsid w:val="00111B6C"/>
    <w:rsid w:val="00112BF6"/>
    <w:rsid w:val="001220EF"/>
    <w:rsid w:val="0012211D"/>
    <w:rsid w:val="00122F27"/>
    <w:rsid w:val="00123BD9"/>
    <w:rsid w:val="00124AF0"/>
    <w:rsid w:val="00125F75"/>
    <w:rsid w:val="00131218"/>
    <w:rsid w:val="00133A3C"/>
    <w:rsid w:val="00134505"/>
    <w:rsid w:val="001366C3"/>
    <w:rsid w:val="00137A5A"/>
    <w:rsid w:val="0016442E"/>
    <w:rsid w:val="00166241"/>
    <w:rsid w:val="00170906"/>
    <w:rsid w:val="00172267"/>
    <w:rsid w:val="0017379F"/>
    <w:rsid w:val="00173B08"/>
    <w:rsid w:val="001821A0"/>
    <w:rsid w:val="00195C1D"/>
    <w:rsid w:val="001A0A10"/>
    <w:rsid w:val="001A0B6C"/>
    <w:rsid w:val="001A3A50"/>
    <w:rsid w:val="001B2FE6"/>
    <w:rsid w:val="001B3156"/>
    <w:rsid w:val="001B6AB2"/>
    <w:rsid w:val="001B7CAC"/>
    <w:rsid w:val="001C0235"/>
    <w:rsid w:val="001C1C10"/>
    <w:rsid w:val="001C5794"/>
    <w:rsid w:val="001C7F4E"/>
    <w:rsid w:val="001D1F7B"/>
    <w:rsid w:val="001D30A2"/>
    <w:rsid w:val="001D38A9"/>
    <w:rsid w:val="001E0254"/>
    <w:rsid w:val="001E26F9"/>
    <w:rsid w:val="001E28C2"/>
    <w:rsid w:val="001E2D83"/>
    <w:rsid w:val="001E2F19"/>
    <w:rsid w:val="001E422C"/>
    <w:rsid w:val="001E605A"/>
    <w:rsid w:val="001E745C"/>
    <w:rsid w:val="001F273E"/>
    <w:rsid w:val="001F392A"/>
    <w:rsid w:val="002030C5"/>
    <w:rsid w:val="00203129"/>
    <w:rsid w:val="00203CDC"/>
    <w:rsid w:val="00212A61"/>
    <w:rsid w:val="00216AD7"/>
    <w:rsid w:val="00217127"/>
    <w:rsid w:val="002201D6"/>
    <w:rsid w:val="00221BC5"/>
    <w:rsid w:val="002435E3"/>
    <w:rsid w:val="00245BE4"/>
    <w:rsid w:val="002517A2"/>
    <w:rsid w:val="00257B79"/>
    <w:rsid w:val="002721D1"/>
    <w:rsid w:val="00274431"/>
    <w:rsid w:val="0027530E"/>
    <w:rsid w:val="00276F51"/>
    <w:rsid w:val="00277346"/>
    <w:rsid w:val="00277A36"/>
    <w:rsid w:val="00283330"/>
    <w:rsid w:val="00283D8D"/>
    <w:rsid w:val="0029123A"/>
    <w:rsid w:val="002959F3"/>
    <w:rsid w:val="002A108F"/>
    <w:rsid w:val="002A1E65"/>
    <w:rsid w:val="002A5860"/>
    <w:rsid w:val="002B1EDB"/>
    <w:rsid w:val="002B2E74"/>
    <w:rsid w:val="002B547F"/>
    <w:rsid w:val="002C1D95"/>
    <w:rsid w:val="002C1DA4"/>
    <w:rsid w:val="002C4F9F"/>
    <w:rsid w:val="002C6574"/>
    <w:rsid w:val="002C6B65"/>
    <w:rsid w:val="002C7981"/>
    <w:rsid w:val="002E4A09"/>
    <w:rsid w:val="002F2261"/>
    <w:rsid w:val="002F2D0D"/>
    <w:rsid w:val="003052E4"/>
    <w:rsid w:val="00306EC6"/>
    <w:rsid w:val="00307ABE"/>
    <w:rsid w:val="003111C0"/>
    <w:rsid w:val="003136AE"/>
    <w:rsid w:val="00315DA8"/>
    <w:rsid w:val="00324865"/>
    <w:rsid w:val="00325534"/>
    <w:rsid w:val="00332D6E"/>
    <w:rsid w:val="003341B5"/>
    <w:rsid w:val="00360A51"/>
    <w:rsid w:val="003633B7"/>
    <w:rsid w:val="00367648"/>
    <w:rsid w:val="00370B52"/>
    <w:rsid w:val="0037534D"/>
    <w:rsid w:val="00375B10"/>
    <w:rsid w:val="00377239"/>
    <w:rsid w:val="00377B6C"/>
    <w:rsid w:val="00382B7D"/>
    <w:rsid w:val="00384442"/>
    <w:rsid w:val="00385343"/>
    <w:rsid w:val="00386E0E"/>
    <w:rsid w:val="00387E59"/>
    <w:rsid w:val="00391272"/>
    <w:rsid w:val="003917EE"/>
    <w:rsid w:val="0039318C"/>
    <w:rsid w:val="00396D99"/>
    <w:rsid w:val="00396E90"/>
    <w:rsid w:val="003A34D1"/>
    <w:rsid w:val="003A4DF2"/>
    <w:rsid w:val="003A624C"/>
    <w:rsid w:val="003B21C4"/>
    <w:rsid w:val="003B40F5"/>
    <w:rsid w:val="003C0E0B"/>
    <w:rsid w:val="003C36AD"/>
    <w:rsid w:val="003C3BC3"/>
    <w:rsid w:val="003C7361"/>
    <w:rsid w:val="003E101F"/>
    <w:rsid w:val="003E544E"/>
    <w:rsid w:val="003F00FB"/>
    <w:rsid w:val="003F59AB"/>
    <w:rsid w:val="003F6F8F"/>
    <w:rsid w:val="00401C7D"/>
    <w:rsid w:val="00405A31"/>
    <w:rsid w:val="0040648D"/>
    <w:rsid w:val="004078A7"/>
    <w:rsid w:val="00413386"/>
    <w:rsid w:val="00422371"/>
    <w:rsid w:val="00427B57"/>
    <w:rsid w:val="00433013"/>
    <w:rsid w:val="004359E3"/>
    <w:rsid w:val="0043646C"/>
    <w:rsid w:val="0043654B"/>
    <w:rsid w:val="00445964"/>
    <w:rsid w:val="00446BC7"/>
    <w:rsid w:val="00451330"/>
    <w:rsid w:val="0045661A"/>
    <w:rsid w:val="00460D30"/>
    <w:rsid w:val="00466987"/>
    <w:rsid w:val="0047043C"/>
    <w:rsid w:val="004719C3"/>
    <w:rsid w:val="00483548"/>
    <w:rsid w:val="004858DB"/>
    <w:rsid w:val="004946C5"/>
    <w:rsid w:val="004A7CE6"/>
    <w:rsid w:val="004C0C53"/>
    <w:rsid w:val="004C14A9"/>
    <w:rsid w:val="004C30E7"/>
    <w:rsid w:val="004C34D5"/>
    <w:rsid w:val="004C4759"/>
    <w:rsid w:val="004C70C3"/>
    <w:rsid w:val="004C7694"/>
    <w:rsid w:val="004D56A4"/>
    <w:rsid w:val="004D5EC2"/>
    <w:rsid w:val="004D7365"/>
    <w:rsid w:val="004E12A9"/>
    <w:rsid w:val="004E2F57"/>
    <w:rsid w:val="004E4513"/>
    <w:rsid w:val="004F0B48"/>
    <w:rsid w:val="0050148E"/>
    <w:rsid w:val="005016D7"/>
    <w:rsid w:val="005022A8"/>
    <w:rsid w:val="00505F2A"/>
    <w:rsid w:val="005070B9"/>
    <w:rsid w:val="0051777E"/>
    <w:rsid w:val="00517B2A"/>
    <w:rsid w:val="00520EDD"/>
    <w:rsid w:val="00523817"/>
    <w:rsid w:val="005252AE"/>
    <w:rsid w:val="00525649"/>
    <w:rsid w:val="00526602"/>
    <w:rsid w:val="005334A1"/>
    <w:rsid w:val="00540838"/>
    <w:rsid w:val="005429EC"/>
    <w:rsid w:val="005443B0"/>
    <w:rsid w:val="00553188"/>
    <w:rsid w:val="005570BB"/>
    <w:rsid w:val="00561270"/>
    <w:rsid w:val="0056495D"/>
    <w:rsid w:val="0057013D"/>
    <w:rsid w:val="0057399F"/>
    <w:rsid w:val="00583FA9"/>
    <w:rsid w:val="00586834"/>
    <w:rsid w:val="005929B4"/>
    <w:rsid w:val="00594570"/>
    <w:rsid w:val="00594700"/>
    <w:rsid w:val="005A105B"/>
    <w:rsid w:val="005A6673"/>
    <w:rsid w:val="005C32EE"/>
    <w:rsid w:val="005C676B"/>
    <w:rsid w:val="005C6870"/>
    <w:rsid w:val="005D1BFB"/>
    <w:rsid w:val="005E0E70"/>
    <w:rsid w:val="005E14CA"/>
    <w:rsid w:val="005E2B94"/>
    <w:rsid w:val="005E4D73"/>
    <w:rsid w:val="005E5E20"/>
    <w:rsid w:val="005F19F4"/>
    <w:rsid w:val="005F729F"/>
    <w:rsid w:val="005F79F2"/>
    <w:rsid w:val="005F7BB7"/>
    <w:rsid w:val="00601E15"/>
    <w:rsid w:val="0060268D"/>
    <w:rsid w:val="0060332D"/>
    <w:rsid w:val="00603F17"/>
    <w:rsid w:val="006041AE"/>
    <w:rsid w:val="0060553E"/>
    <w:rsid w:val="0061708B"/>
    <w:rsid w:val="00620FF5"/>
    <w:rsid w:val="00625C92"/>
    <w:rsid w:val="00633DA3"/>
    <w:rsid w:val="006374A1"/>
    <w:rsid w:val="00641292"/>
    <w:rsid w:val="00645145"/>
    <w:rsid w:val="006451E9"/>
    <w:rsid w:val="0064675A"/>
    <w:rsid w:val="00654B86"/>
    <w:rsid w:val="00661398"/>
    <w:rsid w:val="00663BB2"/>
    <w:rsid w:val="00666F99"/>
    <w:rsid w:val="00667B00"/>
    <w:rsid w:val="00673417"/>
    <w:rsid w:val="00676525"/>
    <w:rsid w:val="00677EA5"/>
    <w:rsid w:val="0068013B"/>
    <w:rsid w:val="0068311F"/>
    <w:rsid w:val="00684CAA"/>
    <w:rsid w:val="006875BB"/>
    <w:rsid w:val="006908F3"/>
    <w:rsid w:val="006A1FDD"/>
    <w:rsid w:val="006B0363"/>
    <w:rsid w:val="006B2261"/>
    <w:rsid w:val="006B6C7F"/>
    <w:rsid w:val="006C1BF7"/>
    <w:rsid w:val="006C7533"/>
    <w:rsid w:val="006C77ED"/>
    <w:rsid w:val="006E14C3"/>
    <w:rsid w:val="006E75F2"/>
    <w:rsid w:val="006F3B62"/>
    <w:rsid w:val="006F61FF"/>
    <w:rsid w:val="007008C0"/>
    <w:rsid w:val="0070274B"/>
    <w:rsid w:val="00703B06"/>
    <w:rsid w:val="00712E3C"/>
    <w:rsid w:val="00716906"/>
    <w:rsid w:val="00716ABE"/>
    <w:rsid w:val="00717995"/>
    <w:rsid w:val="00717B95"/>
    <w:rsid w:val="007220F1"/>
    <w:rsid w:val="00722131"/>
    <w:rsid w:val="00723F3D"/>
    <w:rsid w:val="007250D5"/>
    <w:rsid w:val="00727331"/>
    <w:rsid w:val="0073146C"/>
    <w:rsid w:val="00736DC6"/>
    <w:rsid w:val="00737D1E"/>
    <w:rsid w:val="00744DAE"/>
    <w:rsid w:val="007465EF"/>
    <w:rsid w:val="00757469"/>
    <w:rsid w:val="00763346"/>
    <w:rsid w:val="00767071"/>
    <w:rsid w:val="00776E90"/>
    <w:rsid w:val="0078330C"/>
    <w:rsid w:val="00785895"/>
    <w:rsid w:val="007910B9"/>
    <w:rsid w:val="00792B7A"/>
    <w:rsid w:val="007A0017"/>
    <w:rsid w:val="007A02AE"/>
    <w:rsid w:val="007A32E4"/>
    <w:rsid w:val="007A4F7A"/>
    <w:rsid w:val="007A76EB"/>
    <w:rsid w:val="007B00DF"/>
    <w:rsid w:val="007C0D9F"/>
    <w:rsid w:val="007C1776"/>
    <w:rsid w:val="007C17AE"/>
    <w:rsid w:val="007C1BD3"/>
    <w:rsid w:val="007D681C"/>
    <w:rsid w:val="007E0750"/>
    <w:rsid w:val="007E3A08"/>
    <w:rsid w:val="007E4449"/>
    <w:rsid w:val="007E4644"/>
    <w:rsid w:val="007F149E"/>
    <w:rsid w:val="007F5F67"/>
    <w:rsid w:val="00805FBE"/>
    <w:rsid w:val="00806C9D"/>
    <w:rsid w:val="00807439"/>
    <w:rsid w:val="008111DA"/>
    <w:rsid w:val="0081348B"/>
    <w:rsid w:val="00817D0D"/>
    <w:rsid w:val="00824825"/>
    <w:rsid w:val="008254E0"/>
    <w:rsid w:val="00826F15"/>
    <w:rsid w:val="008323FC"/>
    <w:rsid w:val="00836626"/>
    <w:rsid w:val="0084331B"/>
    <w:rsid w:val="008463FB"/>
    <w:rsid w:val="008518A4"/>
    <w:rsid w:val="0086661D"/>
    <w:rsid w:val="00866A1E"/>
    <w:rsid w:val="0087233A"/>
    <w:rsid w:val="00875884"/>
    <w:rsid w:val="00882C7E"/>
    <w:rsid w:val="00883BDC"/>
    <w:rsid w:val="0088400C"/>
    <w:rsid w:val="0089095A"/>
    <w:rsid w:val="00891C67"/>
    <w:rsid w:val="00893FB8"/>
    <w:rsid w:val="008A0F9E"/>
    <w:rsid w:val="008A4B19"/>
    <w:rsid w:val="008A6967"/>
    <w:rsid w:val="008A6DB0"/>
    <w:rsid w:val="008B1FDC"/>
    <w:rsid w:val="008B2452"/>
    <w:rsid w:val="008B5B03"/>
    <w:rsid w:val="008C1CB3"/>
    <w:rsid w:val="008C4295"/>
    <w:rsid w:val="008C5044"/>
    <w:rsid w:val="008C5F50"/>
    <w:rsid w:val="008C7ECE"/>
    <w:rsid w:val="008D0F60"/>
    <w:rsid w:val="008D2341"/>
    <w:rsid w:val="008D33DD"/>
    <w:rsid w:val="008D58D5"/>
    <w:rsid w:val="008E257C"/>
    <w:rsid w:val="008E635D"/>
    <w:rsid w:val="008E7A54"/>
    <w:rsid w:val="008F277B"/>
    <w:rsid w:val="008F3655"/>
    <w:rsid w:val="008F77C8"/>
    <w:rsid w:val="00901285"/>
    <w:rsid w:val="009024DF"/>
    <w:rsid w:val="0090417E"/>
    <w:rsid w:val="0092121E"/>
    <w:rsid w:val="00922537"/>
    <w:rsid w:val="00925A1C"/>
    <w:rsid w:val="00933B93"/>
    <w:rsid w:val="00943A3A"/>
    <w:rsid w:val="00945C8A"/>
    <w:rsid w:val="00950F82"/>
    <w:rsid w:val="009521A1"/>
    <w:rsid w:val="00961169"/>
    <w:rsid w:val="00962A4F"/>
    <w:rsid w:val="00966896"/>
    <w:rsid w:val="009725A7"/>
    <w:rsid w:val="009810D5"/>
    <w:rsid w:val="00985624"/>
    <w:rsid w:val="00987836"/>
    <w:rsid w:val="00990239"/>
    <w:rsid w:val="00994D4F"/>
    <w:rsid w:val="009A6917"/>
    <w:rsid w:val="009B6A23"/>
    <w:rsid w:val="009C1EB1"/>
    <w:rsid w:val="009C3436"/>
    <w:rsid w:val="009C51B3"/>
    <w:rsid w:val="009C7C60"/>
    <w:rsid w:val="009D253D"/>
    <w:rsid w:val="009D412C"/>
    <w:rsid w:val="009E4EAB"/>
    <w:rsid w:val="009E6070"/>
    <w:rsid w:val="009F0F50"/>
    <w:rsid w:val="009F455F"/>
    <w:rsid w:val="009F4BD4"/>
    <w:rsid w:val="00A026C2"/>
    <w:rsid w:val="00A04CD4"/>
    <w:rsid w:val="00A06487"/>
    <w:rsid w:val="00A133F2"/>
    <w:rsid w:val="00A1439B"/>
    <w:rsid w:val="00A224E1"/>
    <w:rsid w:val="00A22FF4"/>
    <w:rsid w:val="00A24E65"/>
    <w:rsid w:val="00A36F44"/>
    <w:rsid w:val="00A370A4"/>
    <w:rsid w:val="00A37CF7"/>
    <w:rsid w:val="00A45955"/>
    <w:rsid w:val="00A5173F"/>
    <w:rsid w:val="00A53810"/>
    <w:rsid w:val="00A56C1A"/>
    <w:rsid w:val="00A57139"/>
    <w:rsid w:val="00A64E23"/>
    <w:rsid w:val="00A70032"/>
    <w:rsid w:val="00A7028C"/>
    <w:rsid w:val="00A71F0A"/>
    <w:rsid w:val="00A73AC8"/>
    <w:rsid w:val="00A77C55"/>
    <w:rsid w:val="00A86397"/>
    <w:rsid w:val="00A87B66"/>
    <w:rsid w:val="00A94330"/>
    <w:rsid w:val="00A9533C"/>
    <w:rsid w:val="00A96437"/>
    <w:rsid w:val="00AA6C4C"/>
    <w:rsid w:val="00AB231D"/>
    <w:rsid w:val="00AC0C2B"/>
    <w:rsid w:val="00AC32B7"/>
    <w:rsid w:val="00AC41B4"/>
    <w:rsid w:val="00AD3C95"/>
    <w:rsid w:val="00AE7326"/>
    <w:rsid w:val="00AF02BC"/>
    <w:rsid w:val="00AF22A7"/>
    <w:rsid w:val="00AF348B"/>
    <w:rsid w:val="00AF3720"/>
    <w:rsid w:val="00B022FB"/>
    <w:rsid w:val="00B06700"/>
    <w:rsid w:val="00B07019"/>
    <w:rsid w:val="00B07530"/>
    <w:rsid w:val="00B13B2C"/>
    <w:rsid w:val="00B21CDB"/>
    <w:rsid w:val="00B21D98"/>
    <w:rsid w:val="00B26EDB"/>
    <w:rsid w:val="00B30371"/>
    <w:rsid w:val="00B337E0"/>
    <w:rsid w:val="00B40363"/>
    <w:rsid w:val="00B42507"/>
    <w:rsid w:val="00B43D15"/>
    <w:rsid w:val="00B44FB9"/>
    <w:rsid w:val="00B515E5"/>
    <w:rsid w:val="00B55730"/>
    <w:rsid w:val="00B63799"/>
    <w:rsid w:val="00B71DE9"/>
    <w:rsid w:val="00B750B7"/>
    <w:rsid w:val="00B7665E"/>
    <w:rsid w:val="00B80232"/>
    <w:rsid w:val="00B82537"/>
    <w:rsid w:val="00B825E5"/>
    <w:rsid w:val="00B82F69"/>
    <w:rsid w:val="00B907E3"/>
    <w:rsid w:val="00B939DF"/>
    <w:rsid w:val="00B93FD8"/>
    <w:rsid w:val="00B96F60"/>
    <w:rsid w:val="00BA158F"/>
    <w:rsid w:val="00BA53C6"/>
    <w:rsid w:val="00BA55E6"/>
    <w:rsid w:val="00BB202C"/>
    <w:rsid w:val="00BB247A"/>
    <w:rsid w:val="00BB2D49"/>
    <w:rsid w:val="00BB3A9C"/>
    <w:rsid w:val="00BD0306"/>
    <w:rsid w:val="00BD0FF9"/>
    <w:rsid w:val="00BD19A6"/>
    <w:rsid w:val="00BD553B"/>
    <w:rsid w:val="00BD625C"/>
    <w:rsid w:val="00BD6A35"/>
    <w:rsid w:val="00BD7CB9"/>
    <w:rsid w:val="00BE4F18"/>
    <w:rsid w:val="00BE7BB3"/>
    <w:rsid w:val="00BF13A4"/>
    <w:rsid w:val="00BF6512"/>
    <w:rsid w:val="00BF67FE"/>
    <w:rsid w:val="00C00898"/>
    <w:rsid w:val="00C0281F"/>
    <w:rsid w:val="00C12FB8"/>
    <w:rsid w:val="00C144D3"/>
    <w:rsid w:val="00C167DC"/>
    <w:rsid w:val="00C2075F"/>
    <w:rsid w:val="00C2308B"/>
    <w:rsid w:val="00C2528D"/>
    <w:rsid w:val="00C25596"/>
    <w:rsid w:val="00C36825"/>
    <w:rsid w:val="00C379EA"/>
    <w:rsid w:val="00C44B73"/>
    <w:rsid w:val="00C4662B"/>
    <w:rsid w:val="00C5378B"/>
    <w:rsid w:val="00C540A1"/>
    <w:rsid w:val="00C552D8"/>
    <w:rsid w:val="00C57829"/>
    <w:rsid w:val="00C61586"/>
    <w:rsid w:val="00C62B4B"/>
    <w:rsid w:val="00C62FE9"/>
    <w:rsid w:val="00C63AB0"/>
    <w:rsid w:val="00C72806"/>
    <w:rsid w:val="00C72C40"/>
    <w:rsid w:val="00C74E23"/>
    <w:rsid w:val="00C8140E"/>
    <w:rsid w:val="00C81C5A"/>
    <w:rsid w:val="00C83A1C"/>
    <w:rsid w:val="00C85A1E"/>
    <w:rsid w:val="00C9008F"/>
    <w:rsid w:val="00CA11C5"/>
    <w:rsid w:val="00CA1F02"/>
    <w:rsid w:val="00CA299F"/>
    <w:rsid w:val="00CA5A26"/>
    <w:rsid w:val="00CA5CF9"/>
    <w:rsid w:val="00CB0C95"/>
    <w:rsid w:val="00CB2C3B"/>
    <w:rsid w:val="00CB372C"/>
    <w:rsid w:val="00CB5260"/>
    <w:rsid w:val="00CB7FD9"/>
    <w:rsid w:val="00CC3630"/>
    <w:rsid w:val="00CC4D1A"/>
    <w:rsid w:val="00CC714A"/>
    <w:rsid w:val="00CD0899"/>
    <w:rsid w:val="00CD09C7"/>
    <w:rsid w:val="00CD18F9"/>
    <w:rsid w:val="00CD24ED"/>
    <w:rsid w:val="00CD4914"/>
    <w:rsid w:val="00CD525A"/>
    <w:rsid w:val="00CD5DEA"/>
    <w:rsid w:val="00CD6D89"/>
    <w:rsid w:val="00CE2734"/>
    <w:rsid w:val="00CE318C"/>
    <w:rsid w:val="00CE48CA"/>
    <w:rsid w:val="00CE53B0"/>
    <w:rsid w:val="00CE5A7D"/>
    <w:rsid w:val="00CE6C96"/>
    <w:rsid w:val="00CE6F30"/>
    <w:rsid w:val="00CF1B26"/>
    <w:rsid w:val="00CF71E9"/>
    <w:rsid w:val="00D05281"/>
    <w:rsid w:val="00D05E45"/>
    <w:rsid w:val="00D06C9D"/>
    <w:rsid w:val="00D120BA"/>
    <w:rsid w:val="00D13479"/>
    <w:rsid w:val="00D16549"/>
    <w:rsid w:val="00D16D10"/>
    <w:rsid w:val="00D201F9"/>
    <w:rsid w:val="00D20AF9"/>
    <w:rsid w:val="00D2378E"/>
    <w:rsid w:val="00D242FC"/>
    <w:rsid w:val="00D24E0B"/>
    <w:rsid w:val="00D24EC9"/>
    <w:rsid w:val="00D2547F"/>
    <w:rsid w:val="00D300A6"/>
    <w:rsid w:val="00D309B7"/>
    <w:rsid w:val="00D41222"/>
    <w:rsid w:val="00D467FF"/>
    <w:rsid w:val="00D47FA1"/>
    <w:rsid w:val="00D709C4"/>
    <w:rsid w:val="00D77D5A"/>
    <w:rsid w:val="00D8058E"/>
    <w:rsid w:val="00D805B1"/>
    <w:rsid w:val="00D81568"/>
    <w:rsid w:val="00D81E5B"/>
    <w:rsid w:val="00D82D9F"/>
    <w:rsid w:val="00D84B02"/>
    <w:rsid w:val="00D859D6"/>
    <w:rsid w:val="00DA12F8"/>
    <w:rsid w:val="00DA58F7"/>
    <w:rsid w:val="00DB0952"/>
    <w:rsid w:val="00DB7BF9"/>
    <w:rsid w:val="00DB7CF8"/>
    <w:rsid w:val="00DC4ABC"/>
    <w:rsid w:val="00DC5F3D"/>
    <w:rsid w:val="00DD1841"/>
    <w:rsid w:val="00DD2C9A"/>
    <w:rsid w:val="00DD2D58"/>
    <w:rsid w:val="00DD7899"/>
    <w:rsid w:val="00DE3443"/>
    <w:rsid w:val="00DE37DF"/>
    <w:rsid w:val="00DE76A2"/>
    <w:rsid w:val="00DF0AF8"/>
    <w:rsid w:val="00DF1737"/>
    <w:rsid w:val="00DF55D0"/>
    <w:rsid w:val="00DF6DB4"/>
    <w:rsid w:val="00E02572"/>
    <w:rsid w:val="00E03473"/>
    <w:rsid w:val="00E038B0"/>
    <w:rsid w:val="00E10A80"/>
    <w:rsid w:val="00E21DB6"/>
    <w:rsid w:val="00E2434A"/>
    <w:rsid w:val="00E2596A"/>
    <w:rsid w:val="00E315DA"/>
    <w:rsid w:val="00E327E7"/>
    <w:rsid w:val="00E34092"/>
    <w:rsid w:val="00E34A05"/>
    <w:rsid w:val="00E375F5"/>
    <w:rsid w:val="00E468F5"/>
    <w:rsid w:val="00E5122C"/>
    <w:rsid w:val="00E5517D"/>
    <w:rsid w:val="00E60D5B"/>
    <w:rsid w:val="00E71A34"/>
    <w:rsid w:val="00E76C30"/>
    <w:rsid w:val="00E76C99"/>
    <w:rsid w:val="00E770C8"/>
    <w:rsid w:val="00E82AEC"/>
    <w:rsid w:val="00E863FA"/>
    <w:rsid w:val="00E96706"/>
    <w:rsid w:val="00E96B69"/>
    <w:rsid w:val="00EA08BC"/>
    <w:rsid w:val="00EC3008"/>
    <w:rsid w:val="00EC4297"/>
    <w:rsid w:val="00EC77F4"/>
    <w:rsid w:val="00ED0096"/>
    <w:rsid w:val="00ED3C2B"/>
    <w:rsid w:val="00ED568D"/>
    <w:rsid w:val="00EE69A7"/>
    <w:rsid w:val="00EF20E8"/>
    <w:rsid w:val="00EF5730"/>
    <w:rsid w:val="00F101CD"/>
    <w:rsid w:val="00F15BC2"/>
    <w:rsid w:val="00F20485"/>
    <w:rsid w:val="00F21C33"/>
    <w:rsid w:val="00F22052"/>
    <w:rsid w:val="00F27E16"/>
    <w:rsid w:val="00F27EDA"/>
    <w:rsid w:val="00F442A1"/>
    <w:rsid w:val="00F4673D"/>
    <w:rsid w:val="00F47817"/>
    <w:rsid w:val="00F5161E"/>
    <w:rsid w:val="00F56A27"/>
    <w:rsid w:val="00F62A88"/>
    <w:rsid w:val="00F635A9"/>
    <w:rsid w:val="00F64FF8"/>
    <w:rsid w:val="00F72552"/>
    <w:rsid w:val="00F738F3"/>
    <w:rsid w:val="00F779E5"/>
    <w:rsid w:val="00F90E70"/>
    <w:rsid w:val="00F93178"/>
    <w:rsid w:val="00F941BF"/>
    <w:rsid w:val="00FA08F6"/>
    <w:rsid w:val="00FA71E5"/>
    <w:rsid w:val="00FB08B0"/>
    <w:rsid w:val="00FB21CD"/>
    <w:rsid w:val="00FB48CC"/>
    <w:rsid w:val="00FB4D91"/>
    <w:rsid w:val="00FB7940"/>
    <w:rsid w:val="00FC5612"/>
    <w:rsid w:val="00FC7C37"/>
    <w:rsid w:val="00FD48A0"/>
    <w:rsid w:val="00FD48BB"/>
    <w:rsid w:val="00FE170D"/>
    <w:rsid w:val="00FE6995"/>
    <w:rsid w:val="00FF414F"/>
    <w:rsid w:val="00FF7E33"/>
    <w:rsid w:val="02101CB6"/>
    <w:rsid w:val="27486F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table" w:styleId="TableGrid">
    <w:name w:val="Table Grid"/>
    <w:basedOn w:val="TableNormal"/>
    <w:uiPriority w:val="59"/>
    <w:rsid w:val="00B075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DB7BF9"/>
    <w:pPr>
      <w:autoSpaceDN w:val="0"/>
      <w:spacing w:after="0" w:line="240" w:lineRule="exact"/>
      <w:ind w:left="720"/>
      <w:contextualSpacing/>
      <w:textAlignment w:val="baseline"/>
    </w:pPr>
    <w:rPr>
      <w:rFonts w:eastAsia="DejaVu Sans" w:cs="Lohit Hindi"/>
      <w:color w:val="000000"/>
      <w:szCs w:val="18"/>
      <w:lang w:val="nl-NL"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DB7BF9"/>
    <w:rPr>
      <w:rFonts w:eastAsia="DejaVu Sans" w:cs="Lohit Hindi"/>
      <w:color w:val="000000"/>
      <w:szCs w:val="18"/>
      <w:lang w:val="nl-NL" w:eastAsia="nl-NL"/>
    </w:rPr>
  </w:style>
  <w:style w:type="paragraph" w:styleId="FootnoteText">
    <w:name w:val="footnote text"/>
    <w:basedOn w:val="Normal"/>
    <w:link w:val="FootnoteTextChar"/>
    <w:uiPriority w:val="99"/>
    <w:semiHidden/>
    <w:unhideWhenUsed/>
    <w:rsid w:val="00C63AB0"/>
    <w:pPr>
      <w:spacing w:after="0"/>
    </w:pPr>
    <w:rPr>
      <w:sz w:val="20"/>
      <w:szCs w:val="20"/>
    </w:rPr>
  </w:style>
  <w:style w:type="character" w:customStyle="1" w:styleId="FootnoteTextChar">
    <w:name w:val="Footnote Text Char"/>
    <w:basedOn w:val="DefaultParagraphFont"/>
    <w:link w:val="FootnoteText"/>
    <w:uiPriority w:val="99"/>
    <w:semiHidden/>
    <w:rsid w:val="00C63AB0"/>
    <w:rPr>
      <w:sz w:val="20"/>
      <w:szCs w:val="20"/>
    </w:rPr>
  </w:style>
  <w:style w:type="character" w:styleId="FootnoteReference">
    <w:name w:val="footnote reference"/>
    <w:basedOn w:val="DefaultParagraphFont"/>
    <w:uiPriority w:val="99"/>
    <w:semiHidden/>
    <w:unhideWhenUsed/>
    <w:rsid w:val="00C63AB0"/>
    <w:rPr>
      <w:vertAlign w:val="superscript"/>
    </w:rPr>
  </w:style>
  <w:style w:type="paragraph" w:styleId="Revision">
    <w:name w:val="Revision"/>
    <w:hidden/>
    <w:uiPriority w:val="99"/>
    <w:semiHidden/>
    <w:rsid w:val="002F2D0D"/>
    <w:pPr>
      <w:spacing w:after="0"/>
    </w:pPr>
  </w:style>
  <w:style w:type="character" w:styleId="CommentReference">
    <w:name w:val="annotation reference"/>
    <w:basedOn w:val="DefaultParagraphFont"/>
    <w:uiPriority w:val="99"/>
    <w:semiHidden/>
    <w:unhideWhenUsed/>
    <w:rsid w:val="002F2D0D"/>
    <w:rPr>
      <w:sz w:val="16"/>
      <w:szCs w:val="16"/>
    </w:rPr>
  </w:style>
  <w:style w:type="paragraph" w:styleId="CommentText">
    <w:name w:val="annotation text"/>
    <w:basedOn w:val="Normal"/>
    <w:link w:val="CommentTextChar"/>
    <w:uiPriority w:val="99"/>
    <w:unhideWhenUsed/>
    <w:rsid w:val="002F2D0D"/>
    <w:rPr>
      <w:sz w:val="20"/>
      <w:szCs w:val="20"/>
    </w:rPr>
  </w:style>
  <w:style w:type="character" w:customStyle="1" w:styleId="CommentTextChar">
    <w:name w:val="Comment Text Char"/>
    <w:basedOn w:val="DefaultParagraphFont"/>
    <w:link w:val="CommentText"/>
    <w:uiPriority w:val="99"/>
    <w:rsid w:val="002F2D0D"/>
    <w:rPr>
      <w:sz w:val="20"/>
      <w:szCs w:val="20"/>
    </w:rPr>
  </w:style>
  <w:style w:type="paragraph" w:styleId="CommentSubject">
    <w:name w:val="annotation subject"/>
    <w:basedOn w:val="CommentText"/>
    <w:next w:val="CommentText"/>
    <w:link w:val="CommentSubjectChar"/>
    <w:uiPriority w:val="99"/>
    <w:semiHidden/>
    <w:unhideWhenUsed/>
    <w:rsid w:val="002F2D0D"/>
    <w:rPr>
      <w:b/>
      <w:bCs/>
    </w:rPr>
  </w:style>
  <w:style w:type="character" w:customStyle="1" w:styleId="CommentSubjectChar">
    <w:name w:val="Comment Subject Char"/>
    <w:basedOn w:val="CommentTextChar"/>
    <w:link w:val="CommentSubject"/>
    <w:uiPriority w:val="99"/>
    <w:semiHidden/>
    <w:rsid w:val="002F2D0D"/>
    <w:rPr>
      <w:b/>
      <w:bCs/>
      <w:sz w:val="20"/>
      <w:szCs w:val="20"/>
    </w:rPr>
  </w:style>
  <w:style w:type="paragraph" w:styleId="ListBullet">
    <w:name w:val="List Bullet"/>
    <w:basedOn w:val="Normal"/>
    <w:uiPriority w:val="99"/>
    <w:unhideWhenUsed/>
    <w:rsid w:val="00B55730"/>
    <w:pPr>
      <w:numPr>
        <w:numId w:val="2"/>
      </w:numPr>
      <w:contextualSpacing/>
    </w:pPr>
  </w:style>
  <w:style w:type="character" w:styleId="Hyperlink">
    <w:name w:val="Hyperlink"/>
    <w:basedOn w:val="DefaultParagraphFont"/>
    <w:uiPriority w:val="99"/>
    <w:unhideWhenUsed/>
    <w:rsid w:val="005C676B"/>
    <w:rPr>
      <w:color w:val="0000FF" w:themeColor="hyperlink"/>
      <w:u w:val="single"/>
    </w:rPr>
  </w:style>
  <w:style w:type="character" w:styleId="UnresolvedMention">
    <w:name w:val="Unresolved Mention"/>
    <w:basedOn w:val="DefaultParagraphFont"/>
    <w:uiPriority w:val="99"/>
    <w:semiHidden/>
    <w:unhideWhenUsed/>
    <w:rsid w:val="005C6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25438">
      <w:bodyDiv w:val="1"/>
      <w:marLeft w:val="0"/>
      <w:marRight w:val="0"/>
      <w:marTop w:val="0"/>
      <w:marBottom w:val="0"/>
      <w:divBdr>
        <w:top w:val="none" w:sz="0" w:space="0" w:color="auto"/>
        <w:left w:val="none" w:sz="0" w:space="0" w:color="auto"/>
        <w:bottom w:val="none" w:sz="0" w:space="0" w:color="auto"/>
        <w:right w:val="none" w:sz="0" w:space="0" w:color="auto"/>
      </w:divBdr>
    </w:div>
    <w:div w:id="965505686">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152988599">
      <w:bodyDiv w:val="1"/>
      <w:marLeft w:val="0"/>
      <w:marRight w:val="0"/>
      <w:marTop w:val="0"/>
      <w:marBottom w:val="0"/>
      <w:divBdr>
        <w:top w:val="none" w:sz="0" w:space="0" w:color="auto"/>
        <w:left w:val="none" w:sz="0" w:space="0" w:color="auto"/>
        <w:bottom w:val="none" w:sz="0" w:space="0" w:color="auto"/>
        <w:right w:val="none" w:sz="0" w:space="0" w:color="auto"/>
      </w:divBdr>
    </w:div>
    <w:div w:id="1154568153">
      <w:bodyDiv w:val="1"/>
      <w:marLeft w:val="0"/>
      <w:marRight w:val="0"/>
      <w:marTop w:val="0"/>
      <w:marBottom w:val="0"/>
      <w:divBdr>
        <w:top w:val="none" w:sz="0" w:space="0" w:color="auto"/>
        <w:left w:val="none" w:sz="0" w:space="0" w:color="auto"/>
        <w:bottom w:val="none" w:sz="0" w:space="0" w:color="auto"/>
        <w:right w:val="none" w:sz="0" w:space="0" w:color="auto"/>
      </w:divBdr>
    </w:div>
    <w:div w:id="1522355326">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1608</ap:Words>
  <ap:Characters>8847</ap:Characters>
  <ap:DocSecurity>0</ap:DocSecurity>
  <ap:Lines>73</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2025-04-02T10:40:00.0000000Z</lastPrinted>
  <dcterms:created xsi:type="dcterms:W3CDTF">2025-04-04T06:59:00.0000000Z</dcterms:created>
  <dcterms:modified xsi:type="dcterms:W3CDTF">2025-04-04T06:59:00.0000000Z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54b2e05a-1663-4160-911f-59d520dc106a</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_docset_NoMedatataSyncRequired">
    <vt:lpwstr>False</vt:lpwstr>
  </property>
</Properties>
</file>