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909" w:rsidP="003B1909" w:rsidRDefault="00AD5501" w14:paraId="179BA8A1" w14:textId="7B43B99D">
      <w:pPr>
        <w:rPr>
          <w:lang w:val="nl-NL"/>
        </w:rPr>
      </w:pPr>
      <w:r>
        <w:rPr>
          <w:b/>
          <w:bCs/>
          <w:lang w:val="nl-NL"/>
        </w:rPr>
        <w:t xml:space="preserve">Bijlage 1. </w:t>
      </w:r>
      <w:r w:rsidR="003B1909">
        <w:rPr>
          <w:b/>
          <w:bCs/>
          <w:lang w:val="nl-NL"/>
        </w:rPr>
        <w:t xml:space="preserve">Verslag Formele Raad Werkgelegenheid en Sociaal Beleid </w:t>
      </w:r>
    </w:p>
    <w:p w:rsidR="003B1909" w:rsidP="003B1909" w:rsidRDefault="003B1909" w14:paraId="49A0DD76" w14:textId="0E35D6CC">
      <w:pPr>
        <w:rPr>
          <w:lang w:val="nl-NL"/>
        </w:rPr>
      </w:pPr>
      <w:r>
        <w:rPr>
          <w:lang w:val="nl-NL"/>
        </w:rPr>
        <w:t xml:space="preserve">Op de agenda van de Formele Raad Werkgelegenheid en Sociaal Beleid van 10 maart jl. </w:t>
      </w:r>
      <w:r w:rsidR="00F27C1C">
        <w:rPr>
          <w:lang w:val="nl-NL"/>
        </w:rPr>
        <w:t xml:space="preserve">in Brussel </w:t>
      </w:r>
      <w:r>
        <w:rPr>
          <w:lang w:val="nl-NL"/>
        </w:rPr>
        <w:t>stond</w:t>
      </w:r>
      <w:r w:rsidR="004C0468">
        <w:rPr>
          <w:lang w:val="nl-NL"/>
        </w:rPr>
        <w:t>en</w:t>
      </w:r>
      <w:r>
        <w:rPr>
          <w:lang w:val="nl-NL"/>
        </w:rPr>
        <w:t xml:space="preserve"> een beleidsdebat over het Europees Semester en de aanname van</w:t>
      </w:r>
      <w:r w:rsidR="00FF2206">
        <w:rPr>
          <w:lang w:val="nl-NL"/>
        </w:rPr>
        <w:t xml:space="preserve"> diverse</w:t>
      </w:r>
      <w:r>
        <w:rPr>
          <w:lang w:val="nl-NL"/>
        </w:rPr>
        <w:t xml:space="preserve"> stukken</w:t>
      </w:r>
      <w:r w:rsidR="00C4553D">
        <w:rPr>
          <w:lang w:val="nl-NL"/>
        </w:rPr>
        <w:t xml:space="preserve"> gerelateerd aan het Herfstpakket </w:t>
      </w:r>
      <w:r w:rsidR="00FF2206">
        <w:rPr>
          <w:lang w:val="nl-NL"/>
        </w:rPr>
        <w:t>die voortkomen uit</w:t>
      </w:r>
      <w:r w:rsidR="00C4553D">
        <w:rPr>
          <w:lang w:val="nl-NL"/>
        </w:rPr>
        <w:t xml:space="preserve"> het Europees Semester</w:t>
      </w:r>
      <w:r>
        <w:rPr>
          <w:lang w:val="nl-NL"/>
        </w:rPr>
        <w:t xml:space="preserve"> op de agenda.  </w:t>
      </w:r>
    </w:p>
    <w:p w:rsidR="003B1909" w:rsidP="003B1909" w:rsidRDefault="003B1909" w14:paraId="3B5CE1D1" w14:textId="10975E99">
      <w:pPr>
        <w:rPr>
          <w:lang w:val="nl-NL"/>
        </w:rPr>
      </w:pPr>
      <w:r>
        <w:rPr>
          <w:lang w:val="nl-NL"/>
        </w:rPr>
        <w:t xml:space="preserve">Naast de plenaire Raadsbijeenkomst </w:t>
      </w:r>
      <w:r w:rsidR="00A17789">
        <w:rPr>
          <w:lang w:val="nl-NL"/>
        </w:rPr>
        <w:t xml:space="preserve">had </w:t>
      </w:r>
      <w:r>
        <w:rPr>
          <w:lang w:val="nl-NL"/>
        </w:rPr>
        <w:t xml:space="preserve">ik een aantal bilaterale ontmoetingen met collega-ministers uit andere lidstaten. Tijdens deze gesprekken heb ik onder meer de Nederlandse prioriteiten op het sociaal- en werkgelegenheidsgebied onder de aandacht gebracht, waaronder het in goede banen leiden van arbeidsmigratie in de EU. Hiermee geef ik </w:t>
      </w:r>
      <w:r w:rsidR="00423AE5">
        <w:rPr>
          <w:lang w:val="nl-NL"/>
        </w:rPr>
        <w:t>mede invulling</w:t>
      </w:r>
      <w:r>
        <w:rPr>
          <w:lang w:val="nl-NL"/>
        </w:rPr>
        <w:t xml:space="preserve"> aan de motie Bikker</w:t>
      </w:r>
      <w:r>
        <w:rPr>
          <w:rStyle w:val="Voetnootmarkering"/>
          <w:lang w:val="nl-NL"/>
        </w:rPr>
        <w:footnoteReference w:id="1"/>
      </w:r>
      <w:r>
        <w:rPr>
          <w:lang w:val="nl-NL"/>
        </w:rPr>
        <w:t xml:space="preserve"> en de motie Van Kent/Ceder</w:t>
      </w:r>
      <w:r>
        <w:rPr>
          <w:rStyle w:val="Voetnootmarkering"/>
          <w:lang w:val="nl-NL"/>
        </w:rPr>
        <w:footnoteReference w:id="2"/>
      </w:r>
      <w:r>
        <w:rPr>
          <w:lang w:val="nl-NL"/>
        </w:rPr>
        <w:t xml:space="preserve">. </w:t>
      </w:r>
    </w:p>
    <w:p w:rsidR="003B1909" w:rsidP="003B1909" w:rsidRDefault="003B1909" w14:paraId="48333675" w14:textId="77777777">
      <w:pPr>
        <w:rPr>
          <w:b/>
          <w:bCs/>
          <w:lang w:val="nl-NL"/>
        </w:rPr>
      </w:pPr>
      <w:r>
        <w:rPr>
          <w:b/>
          <w:bCs/>
          <w:lang w:val="nl-NL"/>
        </w:rPr>
        <w:t xml:space="preserve">Agendapunt: beleidsdebat Europees Semester </w:t>
      </w:r>
    </w:p>
    <w:p w:rsidR="003B1909" w:rsidP="003B1909" w:rsidRDefault="003B1909" w14:paraId="55FADF43" w14:textId="5FB6DAB9">
      <w:pPr>
        <w:rPr>
          <w:lang w:val="nl-NL"/>
        </w:rPr>
      </w:pPr>
      <w:r>
        <w:rPr>
          <w:lang w:val="nl-NL"/>
        </w:rPr>
        <w:t xml:space="preserve">De Raad hield een beleidsdebat over </w:t>
      </w:r>
      <w:r w:rsidRPr="003B1909">
        <w:rPr>
          <w:lang w:val="nl-NL"/>
        </w:rPr>
        <w:t xml:space="preserve">het stimuleren van </w:t>
      </w:r>
      <w:r>
        <w:rPr>
          <w:lang w:val="nl-NL"/>
        </w:rPr>
        <w:t>arbeidsparticipatie</w:t>
      </w:r>
      <w:r w:rsidRPr="003B1909">
        <w:rPr>
          <w:lang w:val="nl-NL"/>
        </w:rPr>
        <w:t xml:space="preserve"> van ouderen</w:t>
      </w:r>
      <w:r>
        <w:rPr>
          <w:lang w:val="nl-NL"/>
        </w:rPr>
        <w:t xml:space="preserve">. </w:t>
      </w:r>
      <w:r w:rsidRPr="003B1909">
        <w:rPr>
          <w:lang w:val="nl-NL"/>
        </w:rPr>
        <w:t>Tijdens het beleidsdebat is gesproken over de uitdagingen die vergrijzing met zich meebrengt voor de Europese arbeidsmarkt</w:t>
      </w:r>
      <w:r>
        <w:rPr>
          <w:lang w:val="nl-NL"/>
        </w:rPr>
        <w:t>en</w:t>
      </w:r>
      <w:r w:rsidRPr="003B1909">
        <w:rPr>
          <w:lang w:val="nl-NL"/>
        </w:rPr>
        <w:t>. De focus lag op het stimuleren van langer werken en het waarborgen van een inclusieve arbeidsmarkt voor ouderen.</w:t>
      </w:r>
      <w:r>
        <w:rPr>
          <w:lang w:val="nl-NL"/>
        </w:rPr>
        <w:t xml:space="preserve"> Alle lidstaten benoemden het belang van het i</w:t>
      </w:r>
      <w:r w:rsidRPr="003B1909">
        <w:rPr>
          <w:lang w:val="nl-NL"/>
        </w:rPr>
        <w:t>nvester</w:t>
      </w:r>
      <w:r>
        <w:rPr>
          <w:lang w:val="nl-NL"/>
        </w:rPr>
        <w:t>e</w:t>
      </w:r>
      <w:r w:rsidRPr="003B1909">
        <w:rPr>
          <w:lang w:val="nl-NL"/>
        </w:rPr>
        <w:t xml:space="preserve">n in scholing en een leven lang leren </w:t>
      </w:r>
      <w:r>
        <w:rPr>
          <w:lang w:val="nl-NL"/>
        </w:rPr>
        <w:t xml:space="preserve">om zo </w:t>
      </w:r>
      <w:r w:rsidRPr="003B1909">
        <w:rPr>
          <w:lang w:val="nl-NL"/>
        </w:rPr>
        <w:t xml:space="preserve">de inzetbaarheid van ouderen </w:t>
      </w:r>
      <w:r>
        <w:rPr>
          <w:lang w:val="nl-NL"/>
        </w:rPr>
        <w:t xml:space="preserve">te </w:t>
      </w:r>
      <w:r w:rsidRPr="003B1909">
        <w:rPr>
          <w:lang w:val="nl-NL"/>
        </w:rPr>
        <w:t>vergroten.</w:t>
      </w:r>
      <w:r>
        <w:rPr>
          <w:lang w:val="nl-NL"/>
        </w:rPr>
        <w:t xml:space="preserve"> </w:t>
      </w:r>
      <w:r w:rsidR="00C20CCB">
        <w:rPr>
          <w:lang w:val="nl-NL"/>
        </w:rPr>
        <w:t xml:space="preserve">Ook vroegen veel lidstaten aandacht voor duurzame inzetbaarheid en kwaliteitsbanen, zodat werkenden in goede gezondheid actief blijven op de arbeidsmarkt. </w:t>
      </w:r>
      <w:r>
        <w:rPr>
          <w:lang w:val="nl-NL"/>
        </w:rPr>
        <w:t>Sommige l</w:t>
      </w:r>
      <w:r w:rsidRPr="003B1909">
        <w:rPr>
          <w:lang w:val="nl-NL"/>
        </w:rPr>
        <w:t xml:space="preserve">idstaten </w:t>
      </w:r>
      <w:r>
        <w:rPr>
          <w:lang w:val="nl-NL"/>
        </w:rPr>
        <w:t>vroegen aandacht voor het gebruik</w:t>
      </w:r>
      <w:r w:rsidRPr="003B1909">
        <w:rPr>
          <w:lang w:val="nl-NL"/>
        </w:rPr>
        <w:t xml:space="preserve"> van flexibele pensioenregelingen, waarbij ouderen kunnen blijven werken naast hun pensioen.</w:t>
      </w:r>
      <w:r>
        <w:rPr>
          <w:lang w:val="nl-NL"/>
        </w:rPr>
        <w:t xml:space="preserve"> Ook vroeg </w:t>
      </w:r>
      <w:r w:rsidR="00C20CCB">
        <w:rPr>
          <w:lang w:val="nl-NL"/>
        </w:rPr>
        <w:t>een aantal l</w:t>
      </w:r>
      <w:r>
        <w:rPr>
          <w:lang w:val="nl-NL"/>
        </w:rPr>
        <w:t>idstaten</w:t>
      </w:r>
      <w:r w:rsidRPr="003B1909">
        <w:rPr>
          <w:lang w:val="nl-NL"/>
        </w:rPr>
        <w:t xml:space="preserve"> aandacht voor sectorale verschillen</w:t>
      </w:r>
      <w:r>
        <w:rPr>
          <w:lang w:val="nl-NL"/>
        </w:rPr>
        <w:t xml:space="preserve">, </w:t>
      </w:r>
      <w:r w:rsidR="003D1F5F">
        <w:rPr>
          <w:lang w:val="nl-NL"/>
        </w:rPr>
        <w:t>aan</w:t>
      </w:r>
      <w:r>
        <w:rPr>
          <w:lang w:val="nl-NL"/>
        </w:rPr>
        <w:t>gezien</w:t>
      </w:r>
      <w:r w:rsidRPr="003B1909">
        <w:rPr>
          <w:lang w:val="nl-NL"/>
        </w:rPr>
        <w:t xml:space="preserve"> fysieke en mentale belasting van werk varieert per </w:t>
      </w:r>
      <w:r>
        <w:rPr>
          <w:lang w:val="nl-NL"/>
        </w:rPr>
        <w:t>sector</w:t>
      </w:r>
      <w:r w:rsidRPr="003B1909">
        <w:rPr>
          <w:lang w:val="nl-NL"/>
        </w:rPr>
        <w:t>.</w:t>
      </w:r>
    </w:p>
    <w:p w:rsidR="003B1909" w:rsidP="003B1909" w:rsidRDefault="003B1909" w14:paraId="2C41DD6B" w14:textId="0A5C5B90">
      <w:pPr>
        <w:rPr>
          <w:lang w:val="nl-NL"/>
        </w:rPr>
      </w:pPr>
      <w:r>
        <w:rPr>
          <w:lang w:val="nl-NL"/>
        </w:rPr>
        <w:t xml:space="preserve">Namens Nederland heb ik benadrukt dat </w:t>
      </w:r>
      <w:r w:rsidRPr="003B1909">
        <w:rPr>
          <w:lang w:val="nl-NL"/>
        </w:rPr>
        <w:t>het ver</w:t>
      </w:r>
      <w:r>
        <w:rPr>
          <w:lang w:val="nl-NL"/>
        </w:rPr>
        <w:t xml:space="preserve">hogen </w:t>
      </w:r>
      <w:r w:rsidRPr="003B1909">
        <w:rPr>
          <w:lang w:val="nl-NL"/>
        </w:rPr>
        <w:t xml:space="preserve">van de arbeidsparticipatie, met name die van ouderen, een belangrijk element </w:t>
      </w:r>
      <w:r>
        <w:rPr>
          <w:lang w:val="nl-NL"/>
        </w:rPr>
        <w:t xml:space="preserve">is </w:t>
      </w:r>
      <w:r w:rsidRPr="003B1909">
        <w:rPr>
          <w:lang w:val="nl-NL"/>
        </w:rPr>
        <w:t>om de vergrijzing van de beroepsbevolking en de tekorten op de arbeidsmarkt</w:t>
      </w:r>
      <w:r>
        <w:rPr>
          <w:lang w:val="nl-NL"/>
        </w:rPr>
        <w:t xml:space="preserve"> te ondervangen. </w:t>
      </w:r>
      <w:r w:rsidRPr="00C20CCB" w:rsidR="00C20CCB">
        <w:rPr>
          <w:lang w:val="nl-NL"/>
        </w:rPr>
        <w:t>Ik</w:t>
      </w:r>
      <w:r w:rsidR="00C20CCB">
        <w:rPr>
          <w:lang w:val="nl-NL"/>
        </w:rPr>
        <w:t xml:space="preserve"> heb toegelicht dat i</w:t>
      </w:r>
      <w:r w:rsidRPr="00C20CCB" w:rsidR="00C20CCB">
        <w:rPr>
          <w:lang w:val="nl-NL"/>
        </w:rPr>
        <w:t>n Nederland de afgelopen jaren verschillende maatregelen zijn genomen om mensen langer door te laten werken, passend bij de stijgende levensverwachting. Een voorbeeld hiervan is de 2/3-koppeling van de AOW-leeftijd aan de levensverwachting. Daarbij gaat het kabinet uit van een brede aanpak rond gezond langer doorwerken met als stip op de horizon dat uiteindelijk iedereen gezond werkend zijn of haar pensioen kan halen. Die aanpak is in de eerste plaats gericht op duurzame inzetbaarheid, bijvoorbeeld via de subsidie duurzame inzetbaarheid voor bedrijven (MDIEU). Voor mensen met zwaar werk die nog niet gezond kunnen doorwerken tot de AOW</w:t>
      </w:r>
      <w:r w:rsidR="00C20CCB">
        <w:rPr>
          <w:lang w:val="nl-NL"/>
        </w:rPr>
        <w:t>-</w:t>
      </w:r>
      <w:r w:rsidRPr="00C20CCB" w:rsidR="00C20CCB">
        <w:rPr>
          <w:lang w:val="nl-NL"/>
        </w:rPr>
        <w:t>leeftijd, en die op basis van hun inkomen niet zelf de middelen hebben om eerder te kunnen stoppen met werken, ziet het kabinet ruimte voor een voortzetting van een gerichte regeling vervroegd uittreden</w:t>
      </w:r>
      <w:r w:rsidR="00C20CCB">
        <w:rPr>
          <w:lang w:val="nl-NL"/>
        </w:rPr>
        <w:t>. Sin</w:t>
      </w:r>
      <w:r w:rsidRPr="00C20CCB" w:rsidR="00C20CCB">
        <w:rPr>
          <w:lang w:val="nl-NL"/>
        </w:rPr>
        <w:t>ds 1 januari 2016</w:t>
      </w:r>
      <w:r w:rsidR="00A17789">
        <w:rPr>
          <w:lang w:val="nl-NL"/>
        </w:rPr>
        <w:t xml:space="preserve"> is het </w:t>
      </w:r>
      <w:r w:rsidRPr="00C20CCB" w:rsidR="00C20CCB">
        <w:rPr>
          <w:lang w:val="nl-NL"/>
        </w:rPr>
        <w:t>door de Wet werken na de AOW</w:t>
      </w:r>
      <w:r w:rsidR="00C20CCB">
        <w:rPr>
          <w:lang w:val="nl-NL"/>
        </w:rPr>
        <w:t>-</w:t>
      </w:r>
      <w:r w:rsidRPr="00C20CCB" w:rsidR="00C20CCB">
        <w:rPr>
          <w:lang w:val="nl-NL"/>
        </w:rPr>
        <w:t>gerechtigde leeftijd, aantrekkelijker geworden voor werkgevers om werknemers die de AOW-leeftijd hebben bereikt in dienst te nemen of te houden. Er is daarmee veel mogelijk voor hen die langer willen doorwerken en voor werkgevers.</w:t>
      </w:r>
    </w:p>
    <w:p w:rsidR="00C4553D" w:rsidP="003B1909" w:rsidRDefault="00C4553D" w14:paraId="72B35F6C" w14:textId="56E1AC40">
      <w:pPr>
        <w:rPr>
          <w:b/>
          <w:bCs/>
          <w:lang w:val="nl-NL"/>
        </w:rPr>
      </w:pPr>
      <w:r>
        <w:rPr>
          <w:b/>
          <w:bCs/>
          <w:lang w:val="nl-NL"/>
        </w:rPr>
        <w:t xml:space="preserve">Agendapunt: aanname </w:t>
      </w:r>
      <w:r w:rsidR="00A857A9">
        <w:rPr>
          <w:b/>
          <w:bCs/>
          <w:lang w:val="nl-NL"/>
        </w:rPr>
        <w:t xml:space="preserve">diverse </w:t>
      </w:r>
      <w:r>
        <w:rPr>
          <w:b/>
          <w:bCs/>
          <w:lang w:val="nl-NL"/>
        </w:rPr>
        <w:t>stukken gerelateerd aan het Herfstpakket van het Europees Semester</w:t>
      </w:r>
    </w:p>
    <w:p w:rsidR="00AC5554" w:rsidP="003B1909" w:rsidRDefault="00034522" w14:paraId="73678D81" w14:textId="77777777">
      <w:pPr>
        <w:rPr>
          <w:lang w:val="nl-NL"/>
        </w:rPr>
      </w:pPr>
      <w:r>
        <w:rPr>
          <w:lang w:val="nl-NL"/>
        </w:rPr>
        <w:t>Op de agenda van de Raad stonden diverse stukken geagendeerd die voortkomen uit het Herfstpakket van het Europees Semester</w:t>
      </w:r>
      <w:r>
        <w:rPr>
          <w:rStyle w:val="Voetnootmarkering"/>
          <w:lang w:val="nl-NL"/>
        </w:rPr>
        <w:footnoteReference w:id="3"/>
      </w:r>
      <w:r>
        <w:rPr>
          <w:lang w:val="nl-NL"/>
        </w:rPr>
        <w:t xml:space="preserve">. </w:t>
      </w:r>
      <w:r w:rsidR="00C4553D">
        <w:rPr>
          <w:lang w:val="nl-NL"/>
        </w:rPr>
        <w:t>De Raad keurde d</w:t>
      </w:r>
      <w:r w:rsidRPr="00C4553D" w:rsidR="00C4553D">
        <w:rPr>
          <w:lang w:val="nl-NL"/>
        </w:rPr>
        <w:t>e werkgelegenheids- en sociale aspecten van het voorstel van de Europese Commissie voor de aanbevelingen van de Raad voor het economisch beleid van de eurozone in 2025 en 2026</w:t>
      </w:r>
      <w:r w:rsidR="00C4553D">
        <w:rPr>
          <w:lang w:val="nl-NL"/>
        </w:rPr>
        <w:t xml:space="preserve"> goed</w:t>
      </w:r>
      <w:r w:rsidRPr="00C4553D" w:rsidR="00C4553D">
        <w:rPr>
          <w:lang w:val="nl-NL"/>
        </w:rPr>
        <w:t>.</w:t>
      </w:r>
      <w:r w:rsidR="00C4553D">
        <w:rPr>
          <w:lang w:val="nl-NL"/>
        </w:rPr>
        <w:t xml:space="preserve"> </w:t>
      </w:r>
      <w:r w:rsidRPr="00AC5554" w:rsidR="00AC5554">
        <w:rPr>
          <w:lang w:val="nl-NL"/>
        </w:rPr>
        <w:t xml:space="preserve">Hierin worden de gezamenlijke (beleids-)uitdagingen voor het eurogebied geïdentificeerd. </w:t>
      </w:r>
    </w:p>
    <w:p w:rsidR="00C4553D" w:rsidP="00AC5554" w:rsidRDefault="00C4553D" w14:paraId="53B36444" w14:textId="4196AF2E">
      <w:pPr>
        <w:rPr>
          <w:lang w:val="nl-NL"/>
        </w:rPr>
      </w:pPr>
      <w:r>
        <w:rPr>
          <w:lang w:val="nl-NL"/>
        </w:rPr>
        <w:t>Tevens b</w:t>
      </w:r>
      <w:r w:rsidRPr="00C4553D">
        <w:rPr>
          <w:lang w:val="nl-NL"/>
        </w:rPr>
        <w:t>ekrachtig</w:t>
      </w:r>
      <w:r>
        <w:rPr>
          <w:lang w:val="nl-NL"/>
        </w:rPr>
        <w:t xml:space="preserve">de de Raad </w:t>
      </w:r>
      <w:r w:rsidRPr="00C4553D">
        <w:rPr>
          <w:lang w:val="nl-NL"/>
        </w:rPr>
        <w:t xml:space="preserve">het voorstel voor het Gezamenlijk Werkgelegenheidsrapport 2025 en </w:t>
      </w:r>
      <w:r>
        <w:rPr>
          <w:lang w:val="nl-NL"/>
        </w:rPr>
        <w:t>nam de Raad</w:t>
      </w:r>
      <w:r w:rsidRPr="00C4553D">
        <w:rPr>
          <w:lang w:val="nl-NL"/>
        </w:rPr>
        <w:t xml:space="preserve"> </w:t>
      </w:r>
      <w:r>
        <w:rPr>
          <w:lang w:val="nl-NL"/>
        </w:rPr>
        <w:t>de</w:t>
      </w:r>
      <w:r w:rsidRPr="00C4553D">
        <w:rPr>
          <w:lang w:val="nl-NL"/>
        </w:rPr>
        <w:t xml:space="preserve"> Raadsconclusies over het Gezamenlijk Werkgelegenheidsrapport 2025</w:t>
      </w:r>
      <w:r>
        <w:rPr>
          <w:lang w:val="nl-NL"/>
        </w:rPr>
        <w:t xml:space="preserve"> aan.</w:t>
      </w:r>
      <w:r w:rsidR="00AC5554">
        <w:rPr>
          <w:lang w:val="nl-NL"/>
        </w:rPr>
        <w:t xml:space="preserve"> </w:t>
      </w:r>
      <w:r w:rsidRPr="00AC5554" w:rsidR="00AC5554">
        <w:rPr>
          <w:lang w:val="nl-NL"/>
        </w:rPr>
        <w:t>Het Gezamenlijk Werkgelegenheidsrapport schetst de belangrijkste ontwikkelingen en uitdagingen voor werkgelegenheid en sociaal beleid in de lidstaten.</w:t>
      </w:r>
      <w:r w:rsidR="00AC5554">
        <w:rPr>
          <w:lang w:val="nl-NL"/>
        </w:rPr>
        <w:t xml:space="preserve"> </w:t>
      </w:r>
      <w:r w:rsidRPr="00FF2206" w:rsidR="00AC5554">
        <w:rPr>
          <w:lang w:val="nl-NL"/>
        </w:rPr>
        <w:t xml:space="preserve">De Raadsconclusies onderstrepen de hoofdboodschappen van het </w:t>
      </w:r>
      <w:r w:rsidR="00A17789">
        <w:rPr>
          <w:lang w:val="nl-NL"/>
        </w:rPr>
        <w:t>rapport</w:t>
      </w:r>
      <w:r w:rsidRPr="00FF2206" w:rsidR="00A17789">
        <w:rPr>
          <w:lang w:val="nl-NL"/>
        </w:rPr>
        <w:t xml:space="preserve"> </w:t>
      </w:r>
      <w:r w:rsidRPr="00FF2206" w:rsidR="00AC5554">
        <w:rPr>
          <w:lang w:val="nl-NL"/>
        </w:rPr>
        <w:t>en benadrukken het belang van opwaartse sociaaleconomische convergentie.</w:t>
      </w:r>
    </w:p>
    <w:p w:rsidR="00423AE5" w:rsidRDefault="00423AE5" w14:paraId="1830EAF1" w14:textId="77777777">
      <w:pPr>
        <w:spacing w:line="259" w:lineRule="auto"/>
        <w:rPr>
          <w:b/>
          <w:bCs/>
          <w:lang w:val="nl-NL"/>
        </w:rPr>
      </w:pPr>
      <w:r>
        <w:rPr>
          <w:b/>
          <w:bCs/>
          <w:lang w:val="nl-NL"/>
        </w:rPr>
        <w:br w:type="page"/>
      </w:r>
    </w:p>
    <w:p w:rsidR="00234EF5" w:rsidP="00AC5554" w:rsidRDefault="00234EF5" w14:paraId="7DA4B620" w14:textId="2F923CBD">
      <w:pPr>
        <w:rPr>
          <w:b/>
          <w:bCs/>
          <w:lang w:val="nl-NL"/>
        </w:rPr>
      </w:pPr>
      <w:r w:rsidRPr="00234EF5">
        <w:rPr>
          <w:b/>
          <w:bCs/>
          <w:lang w:val="nl-NL"/>
        </w:rPr>
        <w:lastRenderedPageBreak/>
        <w:t>W.v.t.t.k</w:t>
      </w:r>
      <w:r w:rsidR="00A17789">
        <w:rPr>
          <w:b/>
          <w:bCs/>
          <w:lang w:val="nl-NL"/>
        </w:rPr>
        <w:t>.</w:t>
      </w:r>
      <w:r w:rsidRPr="00234EF5">
        <w:rPr>
          <w:b/>
          <w:bCs/>
          <w:lang w:val="nl-NL"/>
        </w:rPr>
        <w:t>: Richt</w:t>
      </w:r>
      <w:r>
        <w:rPr>
          <w:b/>
          <w:bCs/>
          <w:lang w:val="nl-NL"/>
        </w:rPr>
        <w:t>lijnvoorstel Gelijke behandeling buiten arbeid (art. 19 VWEU)</w:t>
      </w:r>
    </w:p>
    <w:p w:rsidR="00234EF5" w:rsidP="00AC5554" w:rsidRDefault="00234EF5" w14:paraId="60A1F9C7" w14:textId="40662F96">
      <w:pPr>
        <w:rPr>
          <w:lang w:val="nl-NL"/>
        </w:rPr>
      </w:pPr>
      <w:r>
        <w:rPr>
          <w:lang w:val="nl-NL"/>
        </w:rPr>
        <w:t xml:space="preserve">Op verzoek van Frankrijk sprak de Raad over het voornemen van de Commissie om het Richtlijnvoorstel Gelijke behandeling buiten arbeid </w:t>
      </w:r>
      <w:r w:rsidRPr="00234EF5">
        <w:rPr>
          <w:lang w:val="nl-NL"/>
        </w:rPr>
        <w:t xml:space="preserve">ongeacht godsdienst of levensovertuiging, handicap, leeftijd of seksuele gerichtheid (COM 2008/426) </w:t>
      </w:r>
      <w:r>
        <w:rPr>
          <w:lang w:val="nl-NL"/>
        </w:rPr>
        <w:t xml:space="preserve">in te trekken. Dit dossier valt onder de beleidsverantwoordelijkheid van de </w:t>
      </w:r>
      <w:r w:rsidR="00A17789">
        <w:rPr>
          <w:lang w:val="nl-NL"/>
        </w:rPr>
        <w:t>m</w:t>
      </w:r>
      <w:r>
        <w:rPr>
          <w:lang w:val="nl-NL"/>
        </w:rPr>
        <w:t xml:space="preserve">inister van Binnenlandse Zaken en Koninkrijksrelaties. De Commissie heeft dit voornemen kenbaar gemaakt </w:t>
      </w:r>
      <w:r w:rsidRPr="00234EF5">
        <w:rPr>
          <w:lang w:val="nl-NL"/>
        </w:rPr>
        <w:t>vanwege het ontbreken van zicht op een akkoord. Het richtlijnvoorstel stamt uit 2008 en ligt, ondanks meerdere pogingen om tot een akkoord te komen, vanwege de vereiste unanimiteit in de Raad vast door een blokkade van enkele lidstaten.</w:t>
      </w:r>
      <w:r>
        <w:rPr>
          <w:lang w:val="nl-NL"/>
        </w:rPr>
        <w:t xml:space="preserve"> </w:t>
      </w:r>
      <w:r w:rsidR="00A17789">
        <w:rPr>
          <w:lang w:val="nl-NL"/>
        </w:rPr>
        <w:t>E</w:t>
      </w:r>
      <w:r>
        <w:rPr>
          <w:lang w:val="nl-NL"/>
        </w:rPr>
        <w:t>en grote groep lidstaten</w:t>
      </w:r>
      <w:r w:rsidR="00A17789">
        <w:rPr>
          <w:lang w:val="nl-NL"/>
        </w:rPr>
        <w:t xml:space="preserve"> (België, Estland, Frankrijk, Griekenland, Ierland, Malta, Nederland, Litouwen, Luxemburg, Slovenië, Spanje en Zweden)</w:t>
      </w:r>
      <w:r>
        <w:rPr>
          <w:lang w:val="nl-NL"/>
        </w:rPr>
        <w:t xml:space="preserve"> </w:t>
      </w:r>
      <w:r w:rsidR="00BF205B">
        <w:rPr>
          <w:lang w:val="nl-NL"/>
        </w:rPr>
        <w:t xml:space="preserve">heeft aangegeven grote waarde te hechten </w:t>
      </w:r>
      <w:r w:rsidRPr="004C0468" w:rsidR="00BF205B">
        <w:rPr>
          <w:lang w:val="nl-NL"/>
        </w:rPr>
        <w:t xml:space="preserve">aan de </w:t>
      </w:r>
      <w:r w:rsidRPr="00423AE5" w:rsidR="00BF205B">
        <w:rPr>
          <w:lang w:val="nl-NL"/>
        </w:rPr>
        <w:t>bescherming van fundamentele rechten, waaronder het recht op gelijke behandeling. Deze lidstaten hebben</w:t>
      </w:r>
      <w:r w:rsidRPr="004C0468" w:rsidR="00BF205B">
        <w:rPr>
          <w:lang w:val="nl-NL"/>
        </w:rPr>
        <w:t xml:space="preserve"> </w:t>
      </w:r>
      <w:r w:rsidR="00BF205B">
        <w:rPr>
          <w:lang w:val="nl-NL"/>
        </w:rPr>
        <w:t>de Commissie opgeroepen om de intrekking te heroverwegen of</w:t>
      </w:r>
      <w:r>
        <w:rPr>
          <w:lang w:val="nl-NL"/>
        </w:rPr>
        <w:t xml:space="preserve"> om </w:t>
      </w:r>
      <w:r w:rsidRPr="00234EF5">
        <w:rPr>
          <w:lang w:val="nl-NL"/>
        </w:rPr>
        <w:t xml:space="preserve">een alternatieve aanpak </w:t>
      </w:r>
      <w:r>
        <w:rPr>
          <w:lang w:val="nl-NL"/>
        </w:rPr>
        <w:t>te schetsen</w:t>
      </w:r>
      <w:r w:rsidRPr="00234EF5">
        <w:rPr>
          <w:lang w:val="nl-NL"/>
        </w:rPr>
        <w:t xml:space="preserve"> om de doelstellingen van de </w:t>
      </w:r>
      <w:r>
        <w:rPr>
          <w:lang w:val="nl-NL"/>
        </w:rPr>
        <w:t>R</w:t>
      </w:r>
      <w:r w:rsidRPr="00234EF5">
        <w:rPr>
          <w:lang w:val="nl-NL"/>
        </w:rPr>
        <w:t>ichtlijn te</w:t>
      </w:r>
      <w:r>
        <w:rPr>
          <w:lang w:val="nl-NL"/>
        </w:rPr>
        <w:t xml:space="preserve"> kunnen</w:t>
      </w:r>
      <w:r w:rsidRPr="00234EF5">
        <w:rPr>
          <w:lang w:val="nl-NL"/>
        </w:rPr>
        <w:t xml:space="preserve"> verwezenlijken.</w:t>
      </w:r>
    </w:p>
    <w:p w:rsidRPr="009636F4" w:rsidR="00BF205B" w:rsidP="00BF205B" w:rsidRDefault="00BF205B" w14:paraId="1DD18AEA" w14:textId="77777777">
      <w:pPr>
        <w:rPr>
          <w:b/>
          <w:bCs/>
          <w:lang w:val="nl-NL"/>
        </w:rPr>
      </w:pPr>
      <w:r w:rsidRPr="009636F4">
        <w:rPr>
          <w:b/>
          <w:bCs/>
          <w:lang w:val="nl-NL"/>
        </w:rPr>
        <w:t>Update: Herziening van de Coördinatieverordening Sociale Zekerheid (883/2004)</w:t>
      </w:r>
    </w:p>
    <w:p w:rsidRPr="00602476" w:rsidR="00BF205B" w:rsidP="00BF205B" w:rsidRDefault="00BF205B" w14:paraId="0ACAF94B" w14:textId="2B3C562D">
      <w:pPr>
        <w:rPr>
          <w:lang w:val="nl-NL"/>
        </w:rPr>
      </w:pPr>
      <w:r w:rsidRPr="00602476">
        <w:rPr>
          <w:lang w:val="nl-NL"/>
        </w:rPr>
        <w:t xml:space="preserve">Zoals vermeld in de Geannoteerde Agenda van deze Raad, was het Poolse voorzitterschap voornemens de herziening van Verordening 883/2004 te bespreken tijdens een Coreper-overleg. </w:t>
      </w:r>
      <w:r>
        <w:rPr>
          <w:lang w:val="nl-NL"/>
        </w:rPr>
        <w:t>D</w:t>
      </w:r>
      <w:r w:rsidRPr="00602476">
        <w:rPr>
          <w:lang w:val="nl-NL"/>
        </w:rPr>
        <w:t xml:space="preserve">eze bespreking </w:t>
      </w:r>
      <w:r>
        <w:rPr>
          <w:lang w:val="nl-NL"/>
        </w:rPr>
        <w:t xml:space="preserve">heeft </w:t>
      </w:r>
      <w:r w:rsidRPr="00602476">
        <w:rPr>
          <w:lang w:val="nl-NL"/>
        </w:rPr>
        <w:t>plaatsgevonden op 19 maart jl. Het overleg, dat oriënterend van aard was, bood lidstaten de gelegenheid richting te geven aan het verdere proces</w:t>
      </w:r>
      <w:r>
        <w:rPr>
          <w:rStyle w:val="Voetnootmarkering"/>
          <w:lang w:val="nl-NL"/>
        </w:rPr>
        <w:footnoteReference w:id="4"/>
      </w:r>
      <w:r w:rsidRPr="00602476">
        <w:rPr>
          <w:lang w:val="nl-NL"/>
        </w:rPr>
        <w:t>.</w:t>
      </w:r>
    </w:p>
    <w:p w:rsidRPr="00602476" w:rsidR="00BF205B" w:rsidP="00BF205B" w:rsidRDefault="00BF205B" w14:paraId="27CA7442" w14:textId="77777777">
      <w:pPr>
        <w:rPr>
          <w:lang w:val="nl-NL"/>
        </w:rPr>
      </w:pPr>
      <w:r w:rsidRPr="00602476">
        <w:rPr>
          <w:lang w:val="nl-NL"/>
        </w:rPr>
        <w:t>Voorafgaand aan het overleg werd een brief gedeeld van twaalf lidstaten: Bulgarije, Kroatië, Tsjechië, Estland, Frankrijk, Italië, Litouwen, Portugal, Roemenië, Slowakije, Slovenië en Spanje. In deze brief onderstreepten zij het belang om tot een akkoord te komen en riepen zij het voorzitterschap op om een nieuw Raadsmandaat te formaliseren om de onderhandelingen met het Europees Parlement voort te zetten in de triloogfase.</w:t>
      </w:r>
    </w:p>
    <w:p w:rsidRPr="001F7578" w:rsidR="00BF205B" w:rsidP="00BF205B" w:rsidRDefault="00BF205B" w14:paraId="143B3EEB" w14:textId="646270E7">
      <w:pPr>
        <w:rPr>
          <w:lang w:val="nl-NL"/>
        </w:rPr>
      </w:pPr>
      <w:r w:rsidRPr="00602476">
        <w:rPr>
          <w:lang w:val="nl-NL"/>
        </w:rPr>
        <w:t>Nederland</w:t>
      </w:r>
      <w:r>
        <w:rPr>
          <w:lang w:val="nl-NL"/>
        </w:rPr>
        <w:t xml:space="preserve"> heeft aangegeven </w:t>
      </w:r>
      <w:r w:rsidRPr="00602476">
        <w:rPr>
          <w:lang w:val="nl-NL"/>
        </w:rPr>
        <w:t>dat het huidige voorstel tekortschiet in het bereiken van de gewenste modernisering.</w:t>
      </w:r>
      <w:r>
        <w:rPr>
          <w:lang w:val="nl-NL"/>
        </w:rPr>
        <w:t xml:space="preserve"> Sinds de totstandkoming van het herzieningsvoorstel, is de arbeidsmarkt significant veranderd door </w:t>
      </w:r>
      <w:r w:rsidRPr="00602476">
        <w:rPr>
          <w:lang w:val="nl-NL"/>
        </w:rPr>
        <w:t>factoren zoals flexibilisering, digitalisering en de toename van grensoverschrijdend werk</w:t>
      </w:r>
      <w:r>
        <w:rPr>
          <w:lang w:val="nl-NL"/>
        </w:rPr>
        <w:t>.</w:t>
      </w:r>
      <w:r w:rsidRPr="00602476">
        <w:rPr>
          <w:lang w:val="nl-NL"/>
        </w:rPr>
        <w:t xml:space="preserve"> Dit leidt tot een toename van het aantal en de complexiteit van grensoverschrijdende sociale zekerheidsvraagstukke</w:t>
      </w:r>
      <w:r>
        <w:rPr>
          <w:lang w:val="nl-NL"/>
        </w:rPr>
        <w:t xml:space="preserve">n. </w:t>
      </w:r>
      <w:r w:rsidRPr="00602476">
        <w:rPr>
          <w:lang w:val="nl-NL"/>
        </w:rPr>
        <w:t xml:space="preserve">In dit kader heeft Nederland </w:t>
      </w:r>
      <w:r>
        <w:rPr>
          <w:lang w:val="nl-NL"/>
        </w:rPr>
        <w:t>verwezen naar haar</w:t>
      </w:r>
      <w:r w:rsidRPr="00602476">
        <w:rPr>
          <w:lang w:val="nl-NL"/>
        </w:rPr>
        <w:t xml:space="preserve"> non-paper </w:t>
      </w:r>
      <w:r>
        <w:rPr>
          <w:lang w:val="nl-NL"/>
        </w:rPr>
        <w:t xml:space="preserve">met daarin een eerste set aan </w:t>
      </w:r>
      <w:r w:rsidRPr="001F7578">
        <w:rPr>
          <w:lang w:val="nl-NL"/>
        </w:rPr>
        <w:t>knelpunten en oplossingsrichtingen voor een toekomstig voorstel</w:t>
      </w:r>
      <w:r w:rsidR="00423AE5">
        <w:rPr>
          <w:rStyle w:val="Voetnootmarkering"/>
          <w:lang w:val="nl-NL"/>
        </w:rPr>
        <w:footnoteReference w:id="5"/>
      </w:r>
      <w:r w:rsidRPr="001F7578">
        <w:rPr>
          <w:lang w:val="nl-NL"/>
        </w:rPr>
        <w:t xml:space="preserve">. Daarnaast heeft Nederland ingebracht niet te kunnen instemmen met de voorgestelde verruiming van de export van werkloosheidsuitkeringen. </w:t>
      </w:r>
      <w:r w:rsidRPr="00423AE5">
        <w:rPr>
          <w:lang w:val="nl-NL"/>
        </w:rPr>
        <w:t>Daarbij heeft Nederland ook het belang benadrukt van effectieve afspraken over de begeleiding naar werk en controle op de rechtmatigheid van de geëxporteerde uitkering.</w:t>
      </w:r>
    </w:p>
    <w:p w:rsidRPr="00602476" w:rsidR="00BF205B" w:rsidP="00BF205B" w:rsidRDefault="00BF205B" w14:paraId="3FE9878D" w14:textId="26CAF2A7">
      <w:pPr>
        <w:rPr>
          <w:lang w:val="nl-NL"/>
        </w:rPr>
      </w:pPr>
      <w:r w:rsidRPr="001F7578">
        <w:rPr>
          <w:lang w:val="nl-NL"/>
        </w:rPr>
        <w:t xml:space="preserve">Het </w:t>
      </w:r>
      <w:r w:rsidRPr="00423AE5">
        <w:rPr>
          <w:lang w:val="nl-NL"/>
        </w:rPr>
        <w:t xml:space="preserve">voorzitterschap beraadt zich nu op vervolgstappen. </w:t>
      </w:r>
      <w:r w:rsidRPr="00423AE5" w:rsidR="001F7578">
        <w:rPr>
          <w:lang w:val="nl-NL"/>
        </w:rPr>
        <w:t xml:space="preserve">Het krachtenveld blijft vanuit Nederlands perspectief zeer uitdagend. </w:t>
      </w:r>
      <w:r w:rsidRPr="00423AE5">
        <w:rPr>
          <w:lang w:val="nl-NL"/>
        </w:rPr>
        <w:t>Bij</w:t>
      </w:r>
      <w:r w:rsidRPr="00602476">
        <w:rPr>
          <w:lang w:val="nl-NL"/>
        </w:rPr>
        <w:t xml:space="preserve"> verdere ontwikkelingen wordt u </w:t>
      </w:r>
      <w:r w:rsidR="001F7578">
        <w:rPr>
          <w:lang w:val="nl-NL"/>
        </w:rPr>
        <w:t xml:space="preserve">nader </w:t>
      </w:r>
      <w:r w:rsidRPr="00602476">
        <w:rPr>
          <w:lang w:val="nl-NL"/>
        </w:rPr>
        <w:t>geïnformeerd.</w:t>
      </w:r>
    </w:p>
    <w:p w:rsidR="00A17789" w:rsidP="00AC5554" w:rsidRDefault="00A17789" w14:paraId="59ADA799" w14:textId="77777777">
      <w:pPr>
        <w:rPr>
          <w:lang w:val="nl-NL"/>
        </w:rPr>
      </w:pPr>
    </w:p>
    <w:sectPr w:rsidR="00A17789"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B705" w14:textId="77777777" w:rsidR="00C851EC" w:rsidRDefault="00C851EC" w:rsidP="003B1909">
      <w:pPr>
        <w:spacing w:after="0" w:line="240" w:lineRule="auto"/>
      </w:pPr>
      <w:r>
        <w:separator/>
      </w:r>
    </w:p>
  </w:endnote>
  <w:endnote w:type="continuationSeparator" w:id="0">
    <w:p w14:paraId="48FADC1B" w14:textId="77777777" w:rsidR="00C851EC" w:rsidRDefault="00C851EC" w:rsidP="003B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4D62" w14:textId="77777777" w:rsidR="001C792F" w:rsidRDefault="001C79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70F2" w14:textId="77777777" w:rsidR="001C792F" w:rsidRDefault="001C79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1E65" w14:textId="77777777" w:rsidR="001C792F" w:rsidRDefault="001C79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711F" w14:textId="77777777" w:rsidR="00C851EC" w:rsidRDefault="00C851EC" w:rsidP="003B1909">
      <w:pPr>
        <w:spacing w:after="0" w:line="240" w:lineRule="auto"/>
      </w:pPr>
      <w:r>
        <w:separator/>
      </w:r>
    </w:p>
  </w:footnote>
  <w:footnote w:type="continuationSeparator" w:id="0">
    <w:p w14:paraId="12B8DCA2" w14:textId="77777777" w:rsidR="00C851EC" w:rsidRDefault="00C851EC" w:rsidP="003B1909">
      <w:pPr>
        <w:spacing w:after="0" w:line="240" w:lineRule="auto"/>
      </w:pPr>
      <w:r>
        <w:continuationSeparator/>
      </w:r>
    </w:p>
  </w:footnote>
  <w:footnote w:id="1">
    <w:p w14:paraId="524D7E9C" w14:textId="01E517A4" w:rsidR="003B1909" w:rsidRPr="00476FAB" w:rsidRDefault="003B1909" w:rsidP="00476FAB">
      <w:pPr>
        <w:pStyle w:val="Voetnoottekst"/>
        <w:rPr>
          <w:sz w:val="16"/>
          <w:szCs w:val="16"/>
          <w:lang w:val="nl-NL"/>
        </w:rPr>
      </w:pPr>
      <w:r w:rsidRPr="00476FAB">
        <w:rPr>
          <w:rStyle w:val="Voetnootmarkering"/>
          <w:sz w:val="16"/>
          <w:szCs w:val="16"/>
        </w:rPr>
        <w:footnoteRef/>
      </w:r>
      <w:r w:rsidRPr="00234EF5">
        <w:rPr>
          <w:sz w:val="16"/>
          <w:szCs w:val="16"/>
          <w:lang w:val="nl-NL"/>
        </w:rPr>
        <w:t xml:space="preserve"> </w:t>
      </w:r>
      <w:r w:rsidR="00476FAB" w:rsidRPr="00234EF5">
        <w:rPr>
          <w:sz w:val="16"/>
          <w:szCs w:val="16"/>
          <w:lang w:val="nl-NL"/>
        </w:rPr>
        <w:t>Kamerstukken II, 2024/25, 36410, nr. 118.</w:t>
      </w:r>
    </w:p>
  </w:footnote>
  <w:footnote w:id="2">
    <w:p w14:paraId="32E19D04" w14:textId="272C2DA7" w:rsidR="003B1909" w:rsidRPr="00476FAB" w:rsidRDefault="003B1909" w:rsidP="00476FAB">
      <w:pPr>
        <w:pStyle w:val="Voetnoottekst"/>
        <w:rPr>
          <w:sz w:val="16"/>
          <w:szCs w:val="16"/>
          <w:lang w:val="nl-NL"/>
        </w:rPr>
      </w:pPr>
      <w:r w:rsidRPr="00476FAB">
        <w:rPr>
          <w:rStyle w:val="Voetnootmarkering"/>
          <w:sz w:val="16"/>
          <w:szCs w:val="16"/>
        </w:rPr>
        <w:footnoteRef/>
      </w:r>
      <w:r w:rsidRPr="00234EF5">
        <w:rPr>
          <w:sz w:val="16"/>
          <w:szCs w:val="16"/>
          <w:lang w:val="nl-NL"/>
        </w:rPr>
        <w:t xml:space="preserve"> </w:t>
      </w:r>
      <w:r w:rsidR="00476FAB" w:rsidRPr="00234EF5">
        <w:rPr>
          <w:sz w:val="16"/>
          <w:szCs w:val="16"/>
          <w:lang w:val="nl-NL"/>
        </w:rPr>
        <w:t>Kamerstukken II, 2024/25, 26448, nr. 805.</w:t>
      </w:r>
    </w:p>
  </w:footnote>
  <w:footnote w:id="3">
    <w:p w14:paraId="1EC587D7" w14:textId="1958E897" w:rsidR="00034522" w:rsidRPr="00034522" w:rsidRDefault="00034522">
      <w:pPr>
        <w:pStyle w:val="Voetnoottekst"/>
        <w:rPr>
          <w:sz w:val="16"/>
          <w:szCs w:val="16"/>
          <w:lang w:val="nl-NL"/>
        </w:rPr>
      </w:pPr>
      <w:r w:rsidRPr="00034522">
        <w:rPr>
          <w:rStyle w:val="Voetnootmarkering"/>
          <w:sz w:val="16"/>
          <w:szCs w:val="16"/>
        </w:rPr>
        <w:footnoteRef/>
      </w:r>
      <w:r w:rsidRPr="004C0468">
        <w:rPr>
          <w:sz w:val="16"/>
          <w:szCs w:val="16"/>
          <w:lang w:val="nl-NL"/>
        </w:rPr>
        <w:t xml:space="preserve"> Kamerstukken II, 2024/25, 21501-07, nr. 2087.</w:t>
      </w:r>
    </w:p>
  </w:footnote>
  <w:footnote w:id="4">
    <w:p w14:paraId="724FA7A9" w14:textId="77777777" w:rsidR="00BF205B" w:rsidRPr="00E81B23" w:rsidRDefault="00BF205B" w:rsidP="00BF205B">
      <w:pPr>
        <w:pStyle w:val="Voetnoottekst"/>
        <w:rPr>
          <w:lang w:val="nl-NL"/>
        </w:rPr>
      </w:pPr>
      <w:r w:rsidRPr="00423AE5">
        <w:rPr>
          <w:rStyle w:val="Voetnootmarkering"/>
          <w:sz w:val="16"/>
          <w:szCs w:val="16"/>
        </w:rPr>
        <w:footnoteRef/>
      </w:r>
      <w:r w:rsidRPr="00423AE5">
        <w:rPr>
          <w:sz w:val="16"/>
          <w:szCs w:val="16"/>
          <w:lang w:val="nl-NL"/>
        </w:rPr>
        <w:t xml:space="preserve"> Graag verwijs ik u naar de Steering Note nr. ST 6157 2025 INIT, beschikbaar op het Delegates Portal. Dit document heeft de markering ’Limité’. Dat betekent dat door vroegtijdige openbaarmaking van het document, of onderdelen daarvan, het onderhandelingsproces nadelig zou kunnen worden beïnvloed. De leden van de Eerste en de</w:t>
      </w:r>
      <w:r w:rsidRPr="00E62F3F">
        <w:rPr>
          <w:sz w:val="16"/>
          <w:szCs w:val="16"/>
          <w:lang w:val="nl-NL"/>
        </w:rPr>
        <w:t xml:space="preserve"> Tweede Kamer hebben toegang tot Limité-documenten via het ‘Delegates Portal’ wanneer de documenten het niveau van Coreper hebben bereikt.</w:t>
      </w:r>
    </w:p>
  </w:footnote>
  <w:footnote w:id="5">
    <w:p w14:paraId="587E75D9" w14:textId="7E92A65C" w:rsidR="00423AE5" w:rsidRPr="00423AE5" w:rsidRDefault="00423AE5">
      <w:pPr>
        <w:pStyle w:val="Voetnoottekst"/>
        <w:rPr>
          <w:sz w:val="16"/>
          <w:szCs w:val="16"/>
          <w:lang w:val="nl-NL"/>
        </w:rPr>
      </w:pPr>
      <w:r w:rsidRPr="00423AE5">
        <w:rPr>
          <w:rStyle w:val="Voetnootmarkering"/>
          <w:sz w:val="16"/>
          <w:szCs w:val="16"/>
        </w:rPr>
        <w:footnoteRef/>
      </w:r>
      <w:r w:rsidRPr="004C0468">
        <w:rPr>
          <w:sz w:val="16"/>
          <w:szCs w:val="16"/>
          <w:lang w:val="nl-NL"/>
        </w:rPr>
        <w:t xml:space="preserve"> Zie voor verdere toelichting: Kamerstukken II, 2024/25, 29861, nr. 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690E" w14:textId="77777777" w:rsidR="001C792F" w:rsidRDefault="001C79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F838" w14:textId="77777777" w:rsidR="001C792F" w:rsidRDefault="001C79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414E" w14:textId="77777777" w:rsidR="001C792F" w:rsidRDefault="001C79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36"/>
    <w:rsid w:val="00034522"/>
    <w:rsid w:val="001A6E28"/>
    <w:rsid w:val="001C792F"/>
    <w:rsid w:val="001E6A24"/>
    <w:rsid w:val="001F7578"/>
    <w:rsid w:val="00234EF5"/>
    <w:rsid w:val="00261F5D"/>
    <w:rsid w:val="00271002"/>
    <w:rsid w:val="003B1909"/>
    <w:rsid w:val="003D1F5F"/>
    <w:rsid w:val="003E6BC3"/>
    <w:rsid w:val="00423AE5"/>
    <w:rsid w:val="00476FAB"/>
    <w:rsid w:val="004C0468"/>
    <w:rsid w:val="007C1F19"/>
    <w:rsid w:val="00A17789"/>
    <w:rsid w:val="00A857A9"/>
    <w:rsid w:val="00AC5554"/>
    <w:rsid w:val="00AD5501"/>
    <w:rsid w:val="00B06701"/>
    <w:rsid w:val="00BC6DCF"/>
    <w:rsid w:val="00BF205B"/>
    <w:rsid w:val="00C20CCB"/>
    <w:rsid w:val="00C4553D"/>
    <w:rsid w:val="00C72766"/>
    <w:rsid w:val="00C851EC"/>
    <w:rsid w:val="00E43736"/>
    <w:rsid w:val="00E839C7"/>
    <w:rsid w:val="00F27C1C"/>
    <w:rsid w:val="00FF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7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1909"/>
    <w:pPr>
      <w:spacing w:line="256" w:lineRule="auto"/>
    </w:pPr>
  </w:style>
  <w:style w:type="paragraph" w:styleId="Kop1">
    <w:name w:val="heading 1"/>
    <w:basedOn w:val="Standaard"/>
    <w:next w:val="Standaard"/>
    <w:link w:val="Kop1Char"/>
    <w:uiPriority w:val="9"/>
    <w:qFormat/>
    <w:rsid w:val="00E437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437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4373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4373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43736"/>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E437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4373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4373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4373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373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4373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43736"/>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E43736"/>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E43736"/>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E4373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4373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4373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4373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43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37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37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373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437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3736"/>
    <w:rPr>
      <w:i/>
      <w:iCs/>
      <w:color w:val="404040" w:themeColor="text1" w:themeTint="BF"/>
    </w:rPr>
  </w:style>
  <w:style w:type="paragraph" w:styleId="Lijstalinea">
    <w:name w:val="List Paragraph"/>
    <w:basedOn w:val="Standaard"/>
    <w:uiPriority w:val="34"/>
    <w:qFormat/>
    <w:rsid w:val="00E43736"/>
    <w:pPr>
      <w:ind w:left="720"/>
      <w:contextualSpacing/>
    </w:pPr>
  </w:style>
  <w:style w:type="character" w:styleId="Intensievebenadrukking">
    <w:name w:val="Intense Emphasis"/>
    <w:basedOn w:val="Standaardalinea-lettertype"/>
    <w:uiPriority w:val="21"/>
    <w:qFormat/>
    <w:rsid w:val="00E43736"/>
    <w:rPr>
      <w:i/>
      <w:iCs/>
      <w:color w:val="2E74B5" w:themeColor="accent1" w:themeShade="BF"/>
    </w:rPr>
  </w:style>
  <w:style w:type="paragraph" w:styleId="Duidelijkcitaat">
    <w:name w:val="Intense Quote"/>
    <w:basedOn w:val="Standaard"/>
    <w:next w:val="Standaard"/>
    <w:link w:val="DuidelijkcitaatChar"/>
    <w:uiPriority w:val="30"/>
    <w:qFormat/>
    <w:rsid w:val="00E437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43736"/>
    <w:rPr>
      <w:i/>
      <w:iCs/>
      <w:color w:val="2E74B5" w:themeColor="accent1" w:themeShade="BF"/>
    </w:rPr>
  </w:style>
  <w:style w:type="character" w:styleId="Intensieveverwijzing">
    <w:name w:val="Intense Reference"/>
    <w:basedOn w:val="Standaardalinea-lettertype"/>
    <w:uiPriority w:val="32"/>
    <w:qFormat/>
    <w:rsid w:val="00E43736"/>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3B190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B1909"/>
    <w:rPr>
      <w:sz w:val="20"/>
      <w:szCs w:val="20"/>
    </w:rPr>
  </w:style>
  <w:style w:type="character" w:styleId="Voetnootmarkering">
    <w:name w:val="footnote reference"/>
    <w:basedOn w:val="Standaardalinea-lettertype"/>
    <w:uiPriority w:val="99"/>
    <w:semiHidden/>
    <w:unhideWhenUsed/>
    <w:rsid w:val="003B1909"/>
    <w:rPr>
      <w:vertAlign w:val="superscript"/>
    </w:rPr>
  </w:style>
  <w:style w:type="character" w:styleId="Verwijzingopmerking">
    <w:name w:val="annotation reference"/>
    <w:basedOn w:val="Standaardalinea-lettertype"/>
    <w:uiPriority w:val="99"/>
    <w:semiHidden/>
    <w:unhideWhenUsed/>
    <w:rsid w:val="00234EF5"/>
    <w:rPr>
      <w:sz w:val="16"/>
      <w:szCs w:val="16"/>
    </w:rPr>
  </w:style>
  <w:style w:type="paragraph" w:styleId="Tekstopmerking">
    <w:name w:val="annotation text"/>
    <w:basedOn w:val="Standaard"/>
    <w:link w:val="TekstopmerkingChar"/>
    <w:uiPriority w:val="99"/>
    <w:unhideWhenUsed/>
    <w:rsid w:val="00234EF5"/>
    <w:pPr>
      <w:spacing w:line="240" w:lineRule="auto"/>
    </w:pPr>
    <w:rPr>
      <w:sz w:val="20"/>
      <w:szCs w:val="20"/>
    </w:rPr>
  </w:style>
  <w:style w:type="character" w:customStyle="1" w:styleId="TekstopmerkingChar">
    <w:name w:val="Tekst opmerking Char"/>
    <w:basedOn w:val="Standaardalinea-lettertype"/>
    <w:link w:val="Tekstopmerking"/>
    <w:uiPriority w:val="99"/>
    <w:rsid w:val="00234EF5"/>
    <w:rPr>
      <w:sz w:val="20"/>
      <w:szCs w:val="20"/>
    </w:rPr>
  </w:style>
  <w:style w:type="paragraph" w:styleId="Onderwerpvanopmerking">
    <w:name w:val="annotation subject"/>
    <w:basedOn w:val="Tekstopmerking"/>
    <w:next w:val="Tekstopmerking"/>
    <w:link w:val="OnderwerpvanopmerkingChar"/>
    <w:uiPriority w:val="99"/>
    <w:semiHidden/>
    <w:unhideWhenUsed/>
    <w:rsid w:val="00234EF5"/>
    <w:rPr>
      <w:b/>
      <w:bCs/>
    </w:rPr>
  </w:style>
  <w:style w:type="character" w:customStyle="1" w:styleId="OnderwerpvanopmerkingChar">
    <w:name w:val="Onderwerp van opmerking Char"/>
    <w:basedOn w:val="TekstopmerkingChar"/>
    <w:link w:val="Onderwerpvanopmerking"/>
    <w:uiPriority w:val="99"/>
    <w:semiHidden/>
    <w:rsid w:val="00234EF5"/>
    <w:rPr>
      <w:b/>
      <w:bCs/>
      <w:sz w:val="20"/>
      <w:szCs w:val="20"/>
    </w:rPr>
  </w:style>
  <w:style w:type="paragraph" w:styleId="Revisie">
    <w:name w:val="Revision"/>
    <w:hidden/>
    <w:uiPriority w:val="99"/>
    <w:semiHidden/>
    <w:rsid w:val="00A17789"/>
    <w:pPr>
      <w:spacing w:after="0" w:line="240" w:lineRule="auto"/>
    </w:pPr>
  </w:style>
  <w:style w:type="paragraph" w:styleId="Koptekst">
    <w:name w:val="header"/>
    <w:basedOn w:val="Standaard"/>
    <w:link w:val="KoptekstChar"/>
    <w:uiPriority w:val="99"/>
    <w:unhideWhenUsed/>
    <w:rsid w:val="001C79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792F"/>
  </w:style>
  <w:style w:type="paragraph" w:styleId="Voettekst">
    <w:name w:val="footer"/>
    <w:basedOn w:val="Standaard"/>
    <w:link w:val="VoettekstChar"/>
    <w:uiPriority w:val="99"/>
    <w:unhideWhenUsed/>
    <w:rsid w:val="001C79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7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3712">
      <w:bodyDiv w:val="1"/>
      <w:marLeft w:val="0"/>
      <w:marRight w:val="0"/>
      <w:marTop w:val="0"/>
      <w:marBottom w:val="0"/>
      <w:divBdr>
        <w:top w:val="none" w:sz="0" w:space="0" w:color="auto"/>
        <w:left w:val="none" w:sz="0" w:space="0" w:color="auto"/>
        <w:bottom w:val="none" w:sz="0" w:space="0" w:color="auto"/>
        <w:right w:val="none" w:sz="0" w:space="0" w:color="auto"/>
      </w:divBdr>
    </w:div>
    <w:div w:id="358891414">
      <w:bodyDiv w:val="1"/>
      <w:marLeft w:val="0"/>
      <w:marRight w:val="0"/>
      <w:marTop w:val="0"/>
      <w:marBottom w:val="0"/>
      <w:divBdr>
        <w:top w:val="none" w:sz="0" w:space="0" w:color="auto"/>
        <w:left w:val="none" w:sz="0" w:space="0" w:color="auto"/>
        <w:bottom w:val="none" w:sz="0" w:space="0" w:color="auto"/>
        <w:right w:val="none" w:sz="0" w:space="0" w:color="auto"/>
      </w:divBdr>
    </w:div>
    <w:div w:id="1234120602">
      <w:bodyDiv w:val="1"/>
      <w:marLeft w:val="0"/>
      <w:marRight w:val="0"/>
      <w:marTop w:val="0"/>
      <w:marBottom w:val="0"/>
      <w:divBdr>
        <w:top w:val="none" w:sz="0" w:space="0" w:color="auto"/>
        <w:left w:val="none" w:sz="0" w:space="0" w:color="auto"/>
        <w:bottom w:val="none" w:sz="0" w:space="0" w:color="auto"/>
        <w:right w:val="none" w:sz="0" w:space="0" w:color="auto"/>
      </w:divBdr>
    </w:div>
    <w:div w:id="2071296442">
      <w:bodyDiv w:val="1"/>
      <w:marLeft w:val="0"/>
      <w:marRight w:val="0"/>
      <w:marTop w:val="0"/>
      <w:marBottom w:val="0"/>
      <w:divBdr>
        <w:top w:val="none" w:sz="0" w:space="0" w:color="auto"/>
        <w:left w:val="none" w:sz="0" w:space="0" w:color="auto"/>
        <w:bottom w:val="none" w:sz="0" w:space="0" w:color="auto"/>
        <w:right w:val="none" w:sz="0" w:space="0" w:color="auto"/>
      </w:divBdr>
    </w:div>
    <w:div w:id="207311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1101</ap:Words>
  <ap:Characters>6060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2025-03-18T18:35:00.0000000Z</dcterms:created>
  <dcterms:modified xsi:type="dcterms:W3CDTF">2025-03-25T13:52:00.0000000Z</dcterms:modified>
  <version/>
  <category/>
</coreProperties>
</file>