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9230C6" w14:paraId="258EB843" w14:textId="3F082D4D">
                            <w:pPr>
                              <w:pStyle w:val="Huisstijl-Agendatitel"/>
                              <w:ind w:left="0" w:firstLine="0"/>
                              <w:jc w:val="right"/>
                            </w:pPr>
                            <w:r>
                              <w:t>3</w:t>
                            </w:r>
                            <w:r w:rsidR="007971ED">
                              <w:t xml:space="preserve"> </w:t>
                            </w:r>
                            <w:r w:rsidR="00094AEA">
                              <w:t>maart</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9230C6" w14:paraId="258EB843" w14:textId="3F082D4D">
                      <w:pPr>
                        <w:pStyle w:val="Huisstijl-Agendatitel"/>
                        <w:ind w:left="0" w:firstLine="0"/>
                        <w:jc w:val="right"/>
                      </w:pPr>
                      <w:r>
                        <w:t>3</w:t>
                      </w:r>
                      <w:r w:rsidR="007971ED">
                        <w:t xml:space="preserve"> </w:t>
                      </w:r>
                      <w:r w:rsidR="00094AEA">
                        <w:t>maart</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0D6D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230C6" w:rsidR="000D6D50" w:rsidTr="00BB0A53" w14:paraId="39679516" w14:textId="77777777">
        <w:tc>
          <w:tcPr>
            <w:tcW w:w="1035" w:type="dxa"/>
          </w:tcPr>
          <w:p w:rsidRPr="00A9227F" w:rsidR="000D6D50" w:rsidP="00BB0A53" w:rsidRDefault="000D6D50" w14:paraId="48B6ADA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230C6" w:rsidR="000D6D50" w:rsidP="00BB0A53" w:rsidRDefault="000D6D50" w14:paraId="57C9ED62" w14:textId="77777777">
            <w:pPr>
              <w:rPr>
                <w:szCs w:val="18"/>
                <w:lang w:val="en-US"/>
              </w:rPr>
            </w:pPr>
            <w:r w:rsidRPr="004264EA">
              <w:rPr>
                <w:szCs w:val="18"/>
                <w:lang w:val="en-US"/>
              </w:rPr>
              <w:t xml:space="preserve">Proposal for a REGULATION OF THE EUROPEAN PARLIAMENT AND OF THE COUNCIL amending Regulation (EU) No 909/2014 as regards a shorter settlement cycle in the Union </w:t>
            </w:r>
            <w:hyperlink w:history="1" r:id="rId15">
              <w:r w:rsidRPr="004264EA">
                <w:rPr>
                  <w:rStyle w:val="Hyperlink"/>
                  <w:szCs w:val="18"/>
                  <w:lang w:val="en-US"/>
                </w:rPr>
                <w:t>COM(2025)38</w:t>
              </w:r>
            </w:hyperlink>
          </w:p>
          <w:p w:rsidRPr="0056106A" w:rsidR="0014288C" w:rsidP="00BB0A53" w:rsidRDefault="0014288C" w14:paraId="233167CB" w14:textId="35F1464B">
            <w:pPr>
              <w:rPr>
                <w:szCs w:val="18"/>
                <w:lang w:val="en-US"/>
              </w:rPr>
            </w:pPr>
          </w:p>
        </w:tc>
      </w:tr>
      <w:tr w:rsidRPr="00A9227F" w:rsidR="000D6D50" w:rsidTr="00BB0A53" w14:paraId="5063E41D" w14:textId="77777777">
        <w:tc>
          <w:tcPr>
            <w:tcW w:w="1035" w:type="dxa"/>
          </w:tcPr>
          <w:p w:rsidRPr="00A9227F" w:rsidR="000D6D50" w:rsidP="00BB0A53" w:rsidRDefault="000D6D50" w14:paraId="55CF4BA0" w14:textId="77777777">
            <w:pPr>
              <w:spacing w:after="240"/>
              <w:rPr>
                <w:szCs w:val="18"/>
              </w:rPr>
            </w:pPr>
            <w:r w:rsidRPr="00A9227F">
              <w:rPr>
                <w:szCs w:val="18"/>
              </w:rPr>
              <w:t>Voorstel</w:t>
            </w:r>
          </w:p>
        </w:tc>
        <w:tc>
          <w:tcPr>
            <w:tcW w:w="6529" w:type="dxa"/>
          </w:tcPr>
          <w:p w:rsidRPr="00A9227F" w:rsidR="000C15DA" w:rsidP="00BB0A53" w:rsidRDefault="000C15DA" w14:paraId="0C9522C7" w14:textId="5B0FFB0E">
            <w:pPr>
              <w:spacing w:after="240"/>
              <w:rPr>
                <w:szCs w:val="18"/>
              </w:rPr>
            </w:pPr>
            <w:r w:rsidRPr="000C15DA">
              <w:rPr>
                <w:szCs w:val="18"/>
              </w:rPr>
              <w:t>Na ommekomst van BNC-fiche agenderen voor een schriftelijk overleg (conform de gebruikelijke werkwijze van de commissie Financiën)</w:t>
            </w:r>
          </w:p>
        </w:tc>
      </w:tr>
      <w:tr w:rsidRPr="00C66E98" w:rsidR="000D6D50" w:rsidTr="00BB0A53" w14:paraId="27FD4F3A" w14:textId="77777777">
        <w:tc>
          <w:tcPr>
            <w:tcW w:w="1035" w:type="dxa"/>
          </w:tcPr>
          <w:p w:rsidRPr="00A9227F" w:rsidR="000D6D50" w:rsidP="00BB0A53" w:rsidRDefault="000D6D50" w14:paraId="233312B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D6D50" w:rsidP="00AA5F94" w:rsidRDefault="0044508B" w14:paraId="263DB2B3" w14:textId="40BAFBF0">
            <w:pPr>
              <w:spacing w:after="240"/>
              <w:rPr>
                <w:color w:val="595959" w:themeColor="text1" w:themeTint="A6"/>
                <w:szCs w:val="18"/>
              </w:rPr>
            </w:pPr>
            <w:r w:rsidRPr="0044508B">
              <w:rPr>
                <w:color w:val="595959" w:themeColor="text1" w:themeTint="A6"/>
                <w:szCs w:val="18"/>
              </w:rPr>
              <w:t>Clearing en </w:t>
            </w:r>
            <w:proofErr w:type="spellStart"/>
            <w:r w:rsidRPr="0044508B">
              <w:rPr>
                <w:color w:val="595959" w:themeColor="text1" w:themeTint="A6"/>
                <w:szCs w:val="18"/>
              </w:rPr>
              <w:t>settlement</w:t>
            </w:r>
            <w:proofErr w:type="spellEnd"/>
            <w:r w:rsidR="00924D52">
              <w:rPr>
                <w:color w:val="595959" w:themeColor="text1" w:themeTint="A6"/>
                <w:szCs w:val="18"/>
              </w:rPr>
              <w:t xml:space="preserve"> (verrekening en verevening) duidt op het proces waarmee transacties </w:t>
            </w:r>
            <w:r w:rsidR="00A146D2">
              <w:rPr>
                <w:color w:val="595959" w:themeColor="text1" w:themeTint="A6"/>
                <w:szCs w:val="18"/>
              </w:rPr>
              <w:t>van effecten worden afgewikkeld</w:t>
            </w:r>
            <w:r w:rsidR="00287206">
              <w:rPr>
                <w:color w:val="595959" w:themeColor="text1" w:themeTint="A6"/>
                <w:szCs w:val="18"/>
              </w:rPr>
              <w:t>. Gespecialiseerde platforms</w:t>
            </w:r>
            <w:r w:rsidR="00CC6A8E">
              <w:rPr>
                <w:color w:val="595959" w:themeColor="text1" w:themeTint="A6"/>
                <w:szCs w:val="18"/>
              </w:rPr>
              <w:t>,</w:t>
            </w:r>
            <w:r w:rsidR="00287206">
              <w:rPr>
                <w:color w:val="595959" w:themeColor="text1" w:themeTint="A6"/>
                <w:szCs w:val="18"/>
              </w:rPr>
              <w:t xml:space="preserve"> </w:t>
            </w:r>
            <w:proofErr w:type="spellStart"/>
            <w:r w:rsidR="000775A2">
              <w:rPr>
                <w:color w:val="595959" w:themeColor="text1" w:themeTint="A6"/>
                <w:szCs w:val="18"/>
              </w:rPr>
              <w:t>central</w:t>
            </w:r>
            <w:proofErr w:type="spellEnd"/>
            <w:r w:rsidR="000775A2">
              <w:rPr>
                <w:color w:val="595959" w:themeColor="text1" w:themeTint="A6"/>
                <w:szCs w:val="18"/>
              </w:rPr>
              <w:t xml:space="preserve"> </w:t>
            </w:r>
            <w:proofErr w:type="spellStart"/>
            <w:r w:rsidR="000775A2">
              <w:rPr>
                <w:color w:val="595959" w:themeColor="text1" w:themeTint="A6"/>
                <w:szCs w:val="18"/>
              </w:rPr>
              <w:t>securities</w:t>
            </w:r>
            <w:proofErr w:type="spellEnd"/>
            <w:r w:rsidR="000775A2">
              <w:rPr>
                <w:color w:val="595959" w:themeColor="text1" w:themeTint="A6"/>
                <w:szCs w:val="18"/>
              </w:rPr>
              <w:t xml:space="preserve"> </w:t>
            </w:r>
            <w:proofErr w:type="spellStart"/>
            <w:r w:rsidR="000775A2">
              <w:rPr>
                <w:color w:val="595959" w:themeColor="text1" w:themeTint="A6"/>
                <w:szCs w:val="18"/>
              </w:rPr>
              <w:t>depositories</w:t>
            </w:r>
            <w:proofErr w:type="spellEnd"/>
            <w:r w:rsidR="000775A2">
              <w:rPr>
                <w:color w:val="595959" w:themeColor="text1" w:themeTint="A6"/>
                <w:szCs w:val="18"/>
              </w:rPr>
              <w:t xml:space="preserve"> (CDS)</w:t>
            </w:r>
            <w:r w:rsidR="00CC6A8E">
              <w:rPr>
                <w:color w:val="595959" w:themeColor="text1" w:themeTint="A6"/>
                <w:szCs w:val="18"/>
              </w:rPr>
              <w:t xml:space="preserve">, </w:t>
            </w:r>
            <w:r w:rsidR="00287206">
              <w:rPr>
                <w:color w:val="595959" w:themeColor="text1" w:themeTint="A6"/>
                <w:szCs w:val="18"/>
              </w:rPr>
              <w:t>spelen daarin een sleutelrol</w:t>
            </w:r>
            <w:r w:rsidR="00A146D2">
              <w:rPr>
                <w:color w:val="595959" w:themeColor="text1" w:themeTint="A6"/>
                <w:szCs w:val="18"/>
              </w:rPr>
              <w:t xml:space="preserve">. </w:t>
            </w:r>
            <w:r w:rsidRPr="00574B96" w:rsidR="00A146D2">
              <w:rPr>
                <w:color w:val="595959" w:themeColor="text1" w:themeTint="A6"/>
                <w:szCs w:val="18"/>
              </w:rPr>
              <w:t xml:space="preserve">Met het onderhavige voorstel wil de </w:t>
            </w:r>
            <w:r w:rsidRPr="00574B96" w:rsidR="00574B96">
              <w:rPr>
                <w:color w:val="595959" w:themeColor="text1" w:themeTint="A6"/>
                <w:szCs w:val="18"/>
              </w:rPr>
              <w:t>Commissie</w:t>
            </w:r>
            <w:r w:rsidR="00CC6A8E">
              <w:rPr>
                <w:color w:val="595959" w:themeColor="text1" w:themeTint="A6"/>
                <w:szCs w:val="18"/>
              </w:rPr>
              <w:t xml:space="preserve"> voor CDS</w:t>
            </w:r>
            <w:r w:rsidRPr="00574B96" w:rsidR="00574B96">
              <w:rPr>
                <w:color w:val="595959" w:themeColor="text1" w:themeTint="A6"/>
                <w:szCs w:val="18"/>
              </w:rPr>
              <w:t xml:space="preserve"> de </w:t>
            </w:r>
            <w:proofErr w:type="spellStart"/>
            <w:r w:rsidRPr="00574B96" w:rsidR="00574B96">
              <w:rPr>
                <w:color w:val="595959" w:themeColor="text1" w:themeTint="A6"/>
                <w:szCs w:val="18"/>
              </w:rPr>
              <w:t>settlement</w:t>
            </w:r>
            <w:proofErr w:type="spellEnd"/>
            <w:r w:rsidRPr="00574B96" w:rsidR="00574B96">
              <w:rPr>
                <w:color w:val="595959" w:themeColor="text1" w:themeTint="A6"/>
                <w:szCs w:val="18"/>
              </w:rPr>
              <w:t xml:space="preserve"> c</w:t>
            </w:r>
            <w:r w:rsidR="00574B96">
              <w:rPr>
                <w:color w:val="595959" w:themeColor="text1" w:themeTint="A6"/>
                <w:szCs w:val="18"/>
              </w:rPr>
              <w:t xml:space="preserve">yclus </w:t>
            </w:r>
            <w:r w:rsidR="001F73F7">
              <w:rPr>
                <w:color w:val="595959" w:themeColor="text1" w:themeTint="A6"/>
                <w:szCs w:val="18"/>
              </w:rPr>
              <w:t xml:space="preserve">verkorten van </w:t>
            </w:r>
            <w:r w:rsidR="00F21A77">
              <w:rPr>
                <w:color w:val="595959" w:themeColor="text1" w:themeTint="A6"/>
                <w:szCs w:val="18"/>
              </w:rPr>
              <w:t xml:space="preserve">een maximum van ‘T+2’ </w:t>
            </w:r>
            <w:r w:rsidR="00516A54">
              <w:rPr>
                <w:color w:val="595959" w:themeColor="text1" w:themeTint="A6"/>
                <w:szCs w:val="18"/>
              </w:rPr>
              <w:t>(</w:t>
            </w:r>
            <w:r w:rsidR="00F01F92">
              <w:rPr>
                <w:color w:val="595959" w:themeColor="text1" w:themeTint="A6"/>
                <w:szCs w:val="18"/>
              </w:rPr>
              <w:t xml:space="preserve">verevening </w:t>
            </w:r>
            <w:r w:rsidR="00516A54">
              <w:rPr>
                <w:color w:val="595959" w:themeColor="text1" w:themeTint="A6"/>
                <w:szCs w:val="18"/>
              </w:rPr>
              <w:t xml:space="preserve">binnen twee werkdagen na </w:t>
            </w:r>
            <w:r w:rsidR="00355ACA">
              <w:rPr>
                <w:color w:val="595959" w:themeColor="text1" w:themeTint="A6"/>
                <w:szCs w:val="18"/>
              </w:rPr>
              <w:t>de verhandelingsdatum</w:t>
            </w:r>
            <w:r w:rsidR="00516A54">
              <w:rPr>
                <w:color w:val="595959" w:themeColor="text1" w:themeTint="A6"/>
                <w:szCs w:val="18"/>
              </w:rPr>
              <w:t xml:space="preserve">) naar </w:t>
            </w:r>
            <w:r w:rsidR="00CC6A8E">
              <w:rPr>
                <w:color w:val="595959" w:themeColor="text1" w:themeTint="A6"/>
                <w:szCs w:val="18"/>
              </w:rPr>
              <w:t xml:space="preserve">‘T+1’ (binnen </w:t>
            </w:r>
            <w:r w:rsidR="005603E2">
              <w:rPr>
                <w:color w:val="595959" w:themeColor="text1" w:themeTint="A6"/>
                <w:szCs w:val="18"/>
              </w:rPr>
              <w:t>één werkdag na de transactie).</w:t>
            </w:r>
            <w:r w:rsidR="00C66E98">
              <w:rPr>
                <w:color w:val="595959" w:themeColor="text1" w:themeTint="A6"/>
                <w:szCs w:val="18"/>
              </w:rPr>
              <w:t xml:space="preserve"> Daarmee zou de </w:t>
            </w:r>
            <w:proofErr w:type="spellStart"/>
            <w:r w:rsidR="00C66E98">
              <w:rPr>
                <w:color w:val="595959" w:themeColor="text1" w:themeTint="A6"/>
                <w:szCs w:val="18"/>
              </w:rPr>
              <w:t>settlement</w:t>
            </w:r>
            <w:proofErr w:type="spellEnd"/>
            <w:r w:rsidR="00C66E98">
              <w:rPr>
                <w:color w:val="595959" w:themeColor="text1" w:themeTint="A6"/>
                <w:szCs w:val="18"/>
              </w:rPr>
              <w:t xml:space="preserve"> cyclus in lijn worden gebracht zoals die in andere jurisdicties zoals de VS.</w:t>
            </w:r>
          </w:p>
        </w:tc>
      </w:tr>
    </w:tbl>
    <w:p w:rsidRPr="00C66E98" w:rsidR="000D6D50" w:rsidP="000D6D50" w:rsidRDefault="000D6D50" w14:paraId="6120F728" w14:textId="77777777">
      <w:pPr>
        <w:pStyle w:val="Lijstalinea"/>
        <w:rPr>
          <w:b/>
          <w:szCs w:val="18"/>
        </w:rPr>
      </w:pPr>
    </w:p>
    <w:p w:rsidRPr="00C66E98"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p w:rsidRPr="00A9227F" w:rsidR="00465C0D" w:rsidP="006F2511" w:rsidRDefault="00465C0D" w14:paraId="497BDC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9230C6"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6106A" w:rsidR="002A4BD8" w:rsidP="0056106A" w:rsidRDefault="003F5BBE" w14:paraId="0C5E3C92" w14:textId="4C5DBFE2">
            <w:pPr>
              <w:rPr>
                <w:szCs w:val="18"/>
                <w:lang w:val="en-US"/>
              </w:rPr>
            </w:pPr>
            <w:r w:rsidRPr="0087721F">
              <w:rPr>
                <w:szCs w:val="18"/>
                <w:lang w:val="en-US"/>
              </w:rPr>
              <w:t xml:space="preserve">Proposal for a COUNCIL IMPLEMENTING DECISION amending Implementing Decision (EU) (ST 11046/21 INIT; ST 11046/21 ADD 1) of 8 September 2021 on the approval of the assessment of the recovery and resilience plan for Ireland </w:t>
            </w:r>
            <w:hyperlink w:history="1" r:id="rId16">
              <w:r w:rsidRPr="0087721F">
                <w:rPr>
                  <w:rStyle w:val="Hyperlink"/>
                  <w:szCs w:val="18"/>
                  <w:lang w:val="en-US"/>
                </w:rPr>
                <w:t>COM(2025)56</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56106A" w:rsidR="002A4BD8" w:rsidP="003A21AA" w:rsidRDefault="002A4BD8" w14:paraId="230BAF7C" w14:textId="77777777">
            <w:pPr>
              <w:spacing w:after="240"/>
              <w:rPr>
                <w:szCs w:val="18"/>
                <w:lang w:val="en-US"/>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DE7957" w14:paraId="505F4BE9" w14:textId="6166D105">
            <w:pPr>
              <w:spacing w:after="240"/>
              <w:rPr>
                <w:szCs w:val="18"/>
              </w:rPr>
            </w:pPr>
            <w:r>
              <w:rPr>
                <w:szCs w:val="18"/>
              </w:rPr>
              <w:t>Desgewenst betrekken bij commissiedebat Eurogroep/</w:t>
            </w:r>
            <w:proofErr w:type="spellStart"/>
            <w:r>
              <w:rPr>
                <w:szCs w:val="18"/>
              </w:rPr>
              <w:t>Ecofinraad</w:t>
            </w:r>
            <w:proofErr w:type="spellEnd"/>
            <w:r>
              <w:rPr>
                <w:szCs w:val="18"/>
              </w:rPr>
              <w:t xml:space="preserve"> van </w:t>
            </w:r>
            <w:r w:rsidR="00092D35">
              <w:rPr>
                <w:szCs w:val="18"/>
              </w:rPr>
              <w:t>5 maart</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01315A" w:rsidR="00C66E98" w:rsidP="00C66E98" w:rsidRDefault="00092D35" w14:paraId="28168866" w14:textId="77777777">
            <w:r w:rsidRPr="351056FE">
              <w:rPr>
                <w:rFonts w:eastAsia="Verdana" w:cs="Verdana"/>
                <w:szCs w:val="18"/>
              </w:rPr>
              <w:t xml:space="preserve">De Commissie heeft op 17 februari het voorstel tot aanpassing van het uitvoeringsbesluit van de Raad ter goedkeuring van het Ierse HVP gepubliceerd. Ierland maakt gebruik van de mogelijkheid om het HVP aan te passen op grond van objectieve omstandigheden. </w:t>
            </w:r>
            <w:r w:rsidRPr="351056FE" w:rsidR="00C66E98">
              <w:rPr>
                <w:rFonts w:eastAsia="Verdana" w:cs="Verdana"/>
                <w:szCs w:val="18"/>
              </w:rPr>
              <w:t>Nederland is daarom voornemens om in te stemmen met het voorstel tot aanpassing van het uitvoeringsbesluit van de Raad.</w:t>
            </w:r>
          </w:p>
          <w:p w:rsidR="00C66E98" w:rsidP="00092D35" w:rsidRDefault="00C66E98" w14:paraId="7039917F" w14:textId="2A1FE4C3">
            <w:pPr>
              <w:rPr>
                <w:rFonts w:eastAsia="Verdana" w:cs="Verdana"/>
                <w:szCs w:val="18"/>
              </w:rPr>
            </w:pPr>
            <w:r>
              <w:rPr>
                <w:rFonts w:eastAsia="Verdana" w:cs="Verdana"/>
                <w:szCs w:val="18"/>
              </w:rPr>
              <w:lastRenderedPageBreak/>
              <w:t xml:space="preserve">Zie voor een uitgebreide toelichting de </w:t>
            </w:r>
            <w:hyperlink w:history="1" r:id="rId17">
              <w:r w:rsidRPr="00D415FF">
                <w:rPr>
                  <w:rStyle w:val="Hyperlink"/>
                  <w:rFonts w:eastAsia="Verdana" w:cs="Verdana"/>
                  <w:szCs w:val="18"/>
                </w:rPr>
                <w:t>geannoteerde agenda</w:t>
              </w:r>
            </w:hyperlink>
            <w:r>
              <w:rPr>
                <w:rFonts w:eastAsia="Verdana" w:cs="Verdana"/>
                <w:szCs w:val="18"/>
              </w:rPr>
              <w:t xml:space="preserve"> voor de Eurogroep en </w:t>
            </w:r>
            <w:proofErr w:type="spellStart"/>
            <w:r>
              <w:rPr>
                <w:rFonts w:eastAsia="Verdana" w:cs="Verdana"/>
                <w:szCs w:val="18"/>
              </w:rPr>
              <w:t>Ecofinraad</w:t>
            </w:r>
            <w:proofErr w:type="spellEnd"/>
            <w:r>
              <w:rPr>
                <w:rFonts w:eastAsia="Verdana" w:cs="Verdana"/>
                <w:szCs w:val="18"/>
              </w:rPr>
              <w:t xml:space="preserve"> van 10 en 11 maart. </w:t>
            </w:r>
          </w:p>
          <w:p w:rsidRPr="00A9227F" w:rsidR="002A4BD8" w:rsidP="00C66E98" w:rsidRDefault="002A4BD8" w14:paraId="3E288C2D" w14:textId="406D9BA3">
            <w:pPr>
              <w:rPr>
                <w:color w:val="595959" w:themeColor="text1" w:themeTint="A6"/>
                <w:szCs w:val="18"/>
              </w:rPr>
            </w:pP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94AEA"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7721F" w:rsidR="00860128" w:rsidP="00860128" w:rsidRDefault="00860128" w14:paraId="7D4E49C3" w14:textId="77777777">
            <w:pPr>
              <w:rPr>
                <w:szCs w:val="18"/>
              </w:rPr>
            </w:pPr>
            <w:r w:rsidRPr="0087721F">
              <w:rPr>
                <w:szCs w:val="18"/>
              </w:rPr>
              <w:t xml:space="preserve">Voorstel voor een UITVOERINGSBESLUIT VAN DE RAAD waarbij Frankrijk overeenkomstig artikel 19 van Richtlijn 2003/96/EG wordt gemachtigd een verlaagd belastingtarief toe te passen op loodvrije benzine die in de </w:t>
            </w:r>
            <w:proofErr w:type="spellStart"/>
            <w:r w:rsidRPr="0087721F">
              <w:rPr>
                <w:szCs w:val="18"/>
              </w:rPr>
              <w:t>Corsicaanse</w:t>
            </w:r>
            <w:proofErr w:type="spellEnd"/>
            <w:r w:rsidRPr="0087721F">
              <w:rPr>
                <w:szCs w:val="18"/>
              </w:rPr>
              <w:t xml:space="preserve"> departementen tot verbruik wordt uitgeslagen om daar als motorbrandstof te worden gebruikt</w:t>
            </w:r>
          </w:p>
          <w:p w:rsidRPr="002227E3" w:rsidR="002A4BD8" w:rsidP="00860128" w:rsidRDefault="00860128" w14:paraId="29CB7480" w14:textId="3F70A9D0">
            <w:pPr>
              <w:spacing w:after="240"/>
              <w:rPr>
                <w:b/>
                <w:color w:val="595959" w:themeColor="text1" w:themeTint="A6"/>
                <w:szCs w:val="18"/>
                <w:lang w:val="en-US"/>
              </w:rPr>
            </w:pPr>
            <w:hyperlink w:history="1" r:id="rId18">
              <w:r w:rsidRPr="0087721F">
                <w:rPr>
                  <w:rStyle w:val="Hyperlink"/>
                  <w:szCs w:val="18"/>
                </w:rPr>
                <w:t>COM(2025)55</w:t>
              </w:r>
            </w:hyperlink>
          </w:p>
        </w:tc>
      </w:tr>
      <w:tr w:rsidRPr="00A9227F" w:rsidR="00083030"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2227E3" w:rsidR="00083030" w:rsidP="00083030" w:rsidRDefault="00083030" w14:paraId="4862F65F" w14:textId="77777777">
            <w:pPr>
              <w:spacing w:after="240"/>
              <w:rPr>
                <w:szCs w:val="18"/>
                <w:lang w:val="en-US"/>
              </w:rPr>
            </w:pPr>
          </w:p>
        </w:tc>
        <w:tc>
          <w:tcPr>
            <w:tcW w:w="1035" w:type="dxa"/>
          </w:tcPr>
          <w:p w:rsidRPr="00A9227F" w:rsidR="00083030" w:rsidP="00083030" w:rsidRDefault="00083030" w14:paraId="17927D7F" w14:textId="77777777">
            <w:pPr>
              <w:spacing w:after="240"/>
              <w:rPr>
                <w:szCs w:val="18"/>
              </w:rPr>
            </w:pPr>
            <w:r w:rsidRPr="00A9227F">
              <w:rPr>
                <w:szCs w:val="18"/>
              </w:rPr>
              <w:t>Voorstel</w:t>
            </w:r>
          </w:p>
        </w:tc>
        <w:tc>
          <w:tcPr>
            <w:tcW w:w="6529" w:type="dxa"/>
          </w:tcPr>
          <w:p w:rsidRPr="00A9227F" w:rsidR="00083030" w:rsidP="00083030" w:rsidRDefault="00860128" w14:paraId="69E52296" w14:textId="1F49D28A">
            <w:pPr>
              <w:spacing w:after="240"/>
              <w:rPr>
                <w:szCs w:val="18"/>
              </w:rPr>
            </w:pPr>
            <w:r>
              <w:rPr>
                <w:szCs w:val="18"/>
              </w:rPr>
              <w:t>Voor kennisgeving aannemen</w:t>
            </w:r>
          </w:p>
        </w:tc>
      </w:tr>
      <w:tr w:rsidRPr="00A9227F" w:rsidR="00083030"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083030" w:rsidP="00083030" w:rsidRDefault="00083030" w14:paraId="677C0A18" w14:textId="77777777">
            <w:pPr>
              <w:spacing w:after="240"/>
              <w:rPr>
                <w:color w:val="595959" w:themeColor="text1" w:themeTint="A6"/>
                <w:szCs w:val="18"/>
              </w:rPr>
            </w:pPr>
          </w:p>
        </w:tc>
        <w:tc>
          <w:tcPr>
            <w:tcW w:w="1035" w:type="dxa"/>
          </w:tcPr>
          <w:p w:rsidRPr="00A9227F" w:rsidR="00083030" w:rsidP="00083030" w:rsidRDefault="00083030"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E12439" w:rsidR="00E12439" w:rsidP="00E12439" w:rsidRDefault="00001811" w14:paraId="492CCFD7" w14:textId="241CA6BE">
            <w:pPr>
              <w:spacing w:after="240"/>
              <w:rPr>
                <w:color w:val="595959" w:themeColor="text1" w:themeTint="A6"/>
                <w:szCs w:val="18"/>
              </w:rPr>
            </w:pPr>
            <w:r>
              <w:rPr>
                <w:color w:val="595959" w:themeColor="text1" w:themeTint="A6"/>
                <w:szCs w:val="18"/>
              </w:rPr>
              <w:t xml:space="preserve">De Commissie stelt voor </w:t>
            </w:r>
            <w:r w:rsidR="00E12439">
              <w:rPr>
                <w:color w:val="595959" w:themeColor="text1" w:themeTint="A6"/>
                <w:szCs w:val="18"/>
              </w:rPr>
              <w:t xml:space="preserve">om </w:t>
            </w:r>
            <w:r w:rsidR="00730C18">
              <w:rPr>
                <w:color w:val="595959" w:themeColor="text1" w:themeTint="A6"/>
                <w:szCs w:val="18"/>
              </w:rPr>
              <w:t xml:space="preserve">voor </w:t>
            </w:r>
            <w:r>
              <w:rPr>
                <w:color w:val="595959" w:themeColor="text1" w:themeTint="A6"/>
                <w:szCs w:val="18"/>
              </w:rPr>
              <w:t xml:space="preserve">Frankrijk </w:t>
            </w:r>
            <w:r w:rsidR="00730C18">
              <w:rPr>
                <w:color w:val="595959" w:themeColor="text1" w:themeTint="A6"/>
                <w:szCs w:val="18"/>
              </w:rPr>
              <w:t xml:space="preserve">een derogatie van de energiebelastingrichtlijn te verlengen. Deze derogatie </w:t>
            </w:r>
            <w:r w:rsidR="001D7897">
              <w:rPr>
                <w:color w:val="595959" w:themeColor="text1" w:themeTint="A6"/>
                <w:szCs w:val="18"/>
              </w:rPr>
              <w:t>machtigt Frankrijk</w:t>
            </w:r>
            <w:r w:rsidRPr="00E12439" w:rsidR="00E12439">
              <w:rPr>
                <w:color w:val="595959" w:themeColor="text1" w:themeTint="A6"/>
                <w:szCs w:val="18"/>
              </w:rPr>
              <w:t xml:space="preserve"> een verlaagd belastingtarief te blijven toepassen op loodvrije benzine die in de </w:t>
            </w:r>
            <w:proofErr w:type="spellStart"/>
            <w:r w:rsidRPr="00E12439" w:rsidR="00E12439">
              <w:rPr>
                <w:color w:val="595959" w:themeColor="text1" w:themeTint="A6"/>
                <w:szCs w:val="18"/>
              </w:rPr>
              <w:t>Corsicaanse</w:t>
            </w:r>
            <w:proofErr w:type="spellEnd"/>
            <w:r w:rsidRPr="00E12439" w:rsidR="00E12439">
              <w:rPr>
                <w:color w:val="595959" w:themeColor="text1" w:themeTint="A6"/>
                <w:szCs w:val="18"/>
              </w:rPr>
              <w:t xml:space="preserve"> departementen tot verbruik wordt uitgeslagen om daar als motorbrandstof te worden gebruikt</w:t>
            </w:r>
            <w:r w:rsidR="001D7897">
              <w:rPr>
                <w:color w:val="595959" w:themeColor="text1" w:themeTint="A6"/>
                <w:szCs w:val="18"/>
              </w:rPr>
              <w:t>. Dit ter</w:t>
            </w:r>
            <w:r w:rsidRPr="00E12439" w:rsidR="00E12439">
              <w:rPr>
                <w:color w:val="595959" w:themeColor="text1" w:themeTint="A6"/>
                <w:szCs w:val="18"/>
              </w:rPr>
              <w:t xml:space="preserve"> gedeeltelijke compensatie voor de extra kosten die het gevolg zijn van de afgelegen ligging van en de moeilijke aanvoer naar het eiland.</w:t>
            </w:r>
          </w:p>
          <w:p w:rsidRPr="00A9227F" w:rsidR="00E12439" w:rsidP="00083030" w:rsidRDefault="00E12439" w14:paraId="2D4BA6EA" w14:textId="385CA3B8">
            <w:pPr>
              <w:spacing w:after="240"/>
              <w:rPr>
                <w:color w:val="595959" w:themeColor="text1" w:themeTint="A6"/>
                <w:szCs w:val="18"/>
              </w:rPr>
            </w:pP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60128"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60128" w:rsidR="002A4BD8" w:rsidP="003A21AA" w:rsidRDefault="00860128" w14:paraId="099195DA" w14:textId="3D8249AD">
            <w:pPr>
              <w:spacing w:after="240"/>
              <w:rPr>
                <w:b/>
                <w:color w:val="595959" w:themeColor="text1" w:themeTint="A6"/>
                <w:szCs w:val="18"/>
              </w:rPr>
            </w:pPr>
            <w:r w:rsidRPr="00953B00">
              <w:rPr>
                <w:szCs w:val="18"/>
              </w:rPr>
              <w:t>MEDEDELING VAN DE COMMISSIE AAN HET EUROPEES PARLEMENT, DE RAAD EN DE EUROPESE CENTRALE BANK over de tussentijdse evaluatie van het programma inzake uitwisselingen, bijstand en opleiding voor de bescherming van de euro tegen valsemunterij (“</w:t>
            </w:r>
            <w:proofErr w:type="spellStart"/>
            <w:r w:rsidRPr="00953B00">
              <w:rPr>
                <w:szCs w:val="18"/>
              </w:rPr>
              <w:t>Pericles</w:t>
            </w:r>
            <w:proofErr w:type="spellEnd"/>
            <w:r w:rsidRPr="00953B00">
              <w:rPr>
                <w:szCs w:val="18"/>
              </w:rPr>
              <w:t xml:space="preserve"> IV”-programma</w:t>
            </w:r>
            <w:hyperlink w:history="1" r:id="rId19">
              <w:r w:rsidRPr="00953B00">
                <w:rPr>
                  <w:rStyle w:val="Hyperlink"/>
                  <w:szCs w:val="18"/>
                </w:rPr>
                <w:t>) COM(2025)54</w:t>
              </w:r>
            </w:hyperlink>
          </w:p>
        </w:tc>
      </w:tr>
      <w:tr w:rsidRPr="00A9227F" w:rsidR="00083030"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860128" w:rsidR="00083030" w:rsidP="00083030" w:rsidRDefault="00083030" w14:paraId="6306B713" w14:textId="77777777">
            <w:pPr>
              <w:spacing w:after="240"/>
              <w:rPr>
                <w:szCs w:val="18"/>
              </w:rPr>
            </w:pPr>
          </w:p>
        </w:tc>
        <w:tc>
          <w:tcPr>
            <w:tcW w:w="1035" w:type="dxa"/>
          </w:tcPr>
          <w:p w:rsidRPr="00A9227F" w:rsidR="00083030" w:rsidP="00083030" w:rsidRDefault="00083030" w14:paraId="13AA2E6B" w14:textId="77777777">
            <w:pPr>
              <w:spacing w:after="240"/>
              <w:rPr>
                <w:szCs w:val="18"/>
              </w:rPr>
            </w:pPr>
            <w:r w:rsidRPr="00A9227F">
              <w:rPr>
                <w:szCs w:val="18"/>
              </w:rPr>
              <w:t>Voorstel</w:t>
            </w:r>
          </w:p>
        </w:tc>
        <w:tc>
          <w:tcPr>
            <w:tcW w:w="6529" w:type="dxa"/>
          </w:tcPr>
          <w:p w:rsidRPr="00A9227F" w:rsidR="00083030" w:rsidP="00083030" w:rsidRDefault="00860128" w14:paraId="02C38289" w14:textId="0494E2B9">
            <w:pPr>
              <w:spacing w:after="240"/>
              <w:rPr>
                <w:szCs w:val="18"/>
              </w:rPr>
            </w:pPr>
            <w:r>
              <w:rPr>
                <w:szCs w:val="18"/>
              </w:rPr>
              <w:t>Voor kennisgeving aannemen</w:t>
            </w:r>
          </w:p>
        </w:tc>
      </w:tr>
      <w:tr w:rsidRPr="00A9227F" w:rsidR="00083030"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083030" w:rsidP="00083030" w:rsidRDefault="00083030" w14:paraId="65856223" w14:textId="77777777">
            <w:pPr>
              <w:spacing w:after="240"/>
              <w:rPr>
                <w:color w:val="595959" w:themeColor="text1" w:themeTint="A6"/>
                <w:szCs w:val="18"/>
              </w:rPr>
            </w:pPr>
          </w:p>
        </w:tc>
        <w:tc>
          <w:tcPr>
            <w:tcW w:w="1035" w:type="dxa"/>
          </w:tcPr>
          <w:p w:rsidRPr="00A9227F" w:rsidR="00083030" w:rsidP="00083030" w:rsidRDefault="00083030"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083030" w:rsidP="00ED19CF" w:rsidRDefault="00792970" w14:paraId="6FAEA85B" w14:textId="485043B3">
            <w:pPr>
              <w:spacing w:after="240"/>
              <w:rPr>
                <w:color w:val="595959" w:themeColor="text1" w:themeTint="A6"/>
                <w:szCs w:val="18"/>
              </w:rPr>
            </w:pPr>
            <w:r w:rsidRPr="00792970">
              <w:rPr>
                <w:color w:val="595959" w:themeColor="text1" w:themeTint="A6"/>
                <w:szCs w:val="18"/>
              </w:rPr>
              <w:t xml:space="preserve">Het </w:t>
            </w:r>
            <w:proofErr w:type="spellStart"/>
            <w:r w:rsidRPr="00792970">
              <w:rPr>
                <w:color w:val="595959" w:themeColor="text1" w:themeTint="A6"/>
                <w:szCs w:val="18"/>
              </w:rPr>
              <w:t>Pericles</w:t>
            </w:r>
            <w:proofErr w:type="spellEnd"/>
            <w:r w:rsidRPr="00792970">
              <w:rPr>
                <w:color w:val="595959" w:themeColor="text1" w:themeTint="A6"/>
                <w:szCs w:val="18"/>
              </w:rPr>
              <w:t> IV-programma</w:t>
            </w:r>
            <w:r w:rsidR="006D194C">
              <w:rPr>
                <w:color w:val="595959" w:themeColor="text1" w:themeTint="A6"/>
                <w:szCs w:val="18"/>
              </w:rPr>
              <w:t xml:space="preserve"> dient ter</w:t>
            </w:r>
            <w:r w:rsidRPr="00792970">
              <w:rPr>
                <w:color w:val="595959" w:themeColor="text1" w:themeTint="A6"/>
                <w:szCs w:val="18"/>
              </w:rPr>
              <w:t xml:space="preserve"> voorkomen en bestrijden van eurovalsemunterij en daarmee verband houdende fraude en het beschermen van de integriteit van eurobankbiljetten en -munten.</w:t>
            </w:r>
            <w:r w:rsidR="00ED19CF">
              <w:rPr>
                <w:color w:val="595959" w:themeColor="text1" w:themeTint="A6"/>
                <w:szCs w:val="18"/>
              </w:rPr>
              <w:t xml:space="preserve"> Onderhavige mededeling betreft een tussentijdse evaluatie door de Europese Commissie van dit programma.</w:t>
            </w:r>
            <w:r w:rsidRPr="00792970">
              <w:rPr>
                <w:color w:val="595959" w:themeColor="text1" w:themeTint="A6"/>
                <w:szCs w:val="18"/>
              </w:rPr>
              <w:t xml:space="preserve"> </w:t>
            </w:r>
          </w:p>
        </w:tc>
      </w:tr>
    </w:tbl>
    <w:p w:rsidRPr="00A9227F" w:rsidR="002A4BD8" w:rsidP="002A4BD8" w:rsidRDefault="002A4BD8" w14:paraId="6014D29F" w14:textId="522DF1FD">
      <w:pPr>
        <w:rPr>
          <w:szCs w:val="18"/>
        </w:rPr>
      </w:pPr>
    </w:p>
    <w:p w:rsidRPr="00A9227F" w:rsidR="006E5214" w:rsidP="002A4BD8" w:rsidRDefault="006E5214" w14:paraId="354AC484" w14:textId="77777777">
      <w:pPr>
        <w:rPr>
          <w:szCs w:val="18"/>
        </w:rPr>
      </w:pPr>
    </w:p>
    <w:sectPr w:rsidRPr="00A9227F" w:rsidR="006E521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B254" w14:textId="77777777" w:rsidR="00967713" w:rsidRDefault="00967713">
      <w:r>
        <w:separator/>
      </w:r>
    </w:p>
  </w:endnote>
  <w:endnote w:type="continuationSeparator" w:id="0">
    <w:p w14:paraId="33FAC6A9" w14:textId="77777777" w:rsidR="00967713" w:rsidRDefault="0096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50FA" w14:textId="77777777" w:rsidR="00967713" w:rsidRDefault="00967713">
      <w:r>
        <w:separator/>
      </w:r>
    </w:p>
  </w:footnote>
  <w:footnote w:type="continuationSeparator" w:id="0">
    <w:p w14:paraId="25E854F6" w14:textId="77777777" w:rsidR="00967713" w:rsidRDefault="00967713">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37E5"/>
    <w:rsid w:val="00004383"/>
    <w:rsid w:val="000044C7"/>
    <w:rsid w:val="00006780"/>
    <w:rsid w:val="00007BE8"/>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75A2"/>
    <w:rsid w:val="00083030"/>
    <w:rsid w:val="00084262"/>
    <w:rsid w:val="00084302"/>
    <w:rsid w:val="00085FA1"/>
    <w:rsid w:val="00087299"/>
    <w:rsid w:val="00087FDE"/>
    <w:rsid w:val="00092D35"/>
    <w:rsid w:val="00094546"/>
    <w:rsid w:val="00094A9B"/>
    <w:rsid w:val="00094AEA"/>
    <w:rsid w:val="000A1C2B"/>
    <w:rsid w:val="000A23C5"/>
    <w:rsid w:val="000B2192"/>
    <w:rsid w:val="000B7C51"/>
    <w:rsid w:val="000B7F23"/>
    <w:rsid w:val="000C15DA"/>
    <w:rsid w:val="000C43D2"/>
    <w:rsid w:val="000C44F1"/>
    <w:rsid w:val="000C757C"/>
    <w:rsid w:val="000C7A3D"/>
    <w:rsid w:val="000D1563"/>
    <w:rsid w:val="000D3187"/>
    <w:rsid w:val="000D6D50"/>
    <w:rsid w:val="000E4330"/>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288C"/>
    <w:rsid w:val="001445D4"/>
    <w:rsid w:val="00147017"/>
    <w:rsid w:val="00151AC8"/>
    <w:rsid w:val="001545B9"/>
    <w:rsid w:val="00154EC0"/>
    <w:rsid w:val="001555A9"/>
    <w:rsid w:val="00160E6E"/>
    <w:rsid w:val="00161D1B"/>
    <w:rsid w:val="001706B1"/>
    <w:rsid w:val="00170AFB"/>
    <w:rsid w:val="001715CC"/>
    <w:rsid w:val="0017367F"/>
    <w:rsid w:val="00186C91"/>
    <w:rsid w:val="00187402"/>
    <w:rsid w:val="0018775E"/>
    <w:rsid w:val="00192F0E"/>
    <w:rsid w:val="00193DF4"/>
    <w:rsid w:val="001959F4"/>
    <w:rsid w:val="001A3995"/>
    <w:rsid w:val="001A4097"/>
    <w:rsid w:val="001B2F65"/>
    <w:rsid w:val="001B7CAE"/>
    <w:rsid w:val="001C14DB"/>
    <w:rsid w:val="001C3467"/>
    <w:rsid w:val="001D08B2"/>
    <w:rsid w:val="001D3CD3"/>
    <w:rsid w:val="001D7897"/>
    <w:rsid w:val="001D7B39"/>
    <w:rsid w:val="001E143A"/>
    <w:rsid w:val="001E1C84"/>
    <w:rsid w:val="001E39BA"/>
    <w:rsid w:val="001F1517"/>
    <w:rsid w:val="001F4221"/>
    <w:rsid w:val="001F7012"/>
    <w:rsid w:val="001F73F7"/>
    <w:rsid w:val="002048D9"/>
    <w:rsid w:val="00210705"/>
    <w:rsid w:val="00211391"/>
    <w:rsid w:val="00216C27"/>
    <w:rsid w:val="00221D6B"/>
    <w:rsid w:val="002227E3"/>
    <w:rsid w:val="0022374D"/>
    <w:rsid w:val="00224294"/>
    <w:rsid w:val="00227D85"/>
    <w:rsid w:val="00235B3D"/>
    <w:rsid w:val="00241DE4"/>
    <w:rsid w:val="00245D08"/>
    <w:rsid w:val="00251996"/>
    <w:rsid w:val="002538C7"/>
    <w:rsid w:val="00262A1B"/>
    <w:rsid w:val="00266365"/>
    <w:rsid w:val="00271075"/>
    <w:rsid w:val="0028208B"/>
    <w:rsid w:val="002826C8"/>
    <w:rsid w:val="00287206"/>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2F7FEC"/>
    <w:rsid w:val="003023F3"/>
    <w:rsid w:val="0030416C"/>
    <w:rsid w:val="003066D7"/>
    <w:rsid w:val="0031228D"/>
    <w:rsid w:val="00313734"/>
    <w:rsid w:val="003154A8"/>
    <w:rsid w:val="0031630D"/>
    <w:rsid w:val="003214FD"/>
    <w:rsid w:val="00322A38"/>
    <w:rsid w:val="00323B5A"/>
    <w:rsid w:val="00324A4E"/>
    <w:rsid w:val="0032616D"/>
    <w:rsid w:val="00326A27"/>
    <w:rsid w:val="00326C25"/>
    <w:rsid w:val="00331729"/>
    <w:rsid w:val="00331CCE"/>
    <w:rsid w:val="0033344D"/>
    <w:rsid w:val="003354DB"/>
    <w:rsid w:val="003410ED"/>
    <w:rsid w:val="00346125"/>
    <w:rsid w:val="00352A08"/>
    <w:rsid w:val="00355ACA"/>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5BBE"/>
    <w:rsid w:val="003F628A"/>
    <w:rsid w:val="00403FAF"/>
    <w:rsid w:val="00405747"/>
    <w:rsid w:val="0041042A"/>
    <w:rsid w:val="00411808"/>
    <w:rsid w:val="0041634B"/>
    <w:rsid w:val="00416E67"/>
    <w:rsid w:val="00420882"/>
    <w:rsid w:val="00424531"/>
    <w:rsid w:val="00424D04"/>
    <w:rsid w:val="004264EA"/>
    <w:rsid w:val="004265B2"/>
    <w:rsid w:val="00427600"/>
    <w:rsid w:val="0043382C"/>
    <w:rsid w:val="0043446E"/>
    <w:rsid w:val="00434BC6"/>
    <w:rsid w:val="00441745"/>
    <w:rsid w:val="00442D7A"/>
    <w:rsid w:val="0044508B"/>
    <w:rsid w:val="004521E2"/>
    <w:rsid w:val="00455D0F"/>
    <w:rsid w:val="004573F4"/>
    <w:rsid w:val="004577D5"/>
    <w:rsid w:val="004605A4"/>
    <w:rsid w:val="00461756"/>
    <w:rsid w:val="0046311A"/>
    <w:rsid w:val="00464184"/>
    <w:rsid w:val="00465C0D"/>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6DD4"/>
    <w:rsid w:val="004C7B01"/>
    <w:rsid w:val="004E1C09"/>
    <w:rsid w:val="004E3424"/>
    <w:rsid w:val="004E426E"/>
    <w:rsid w:val="004E5595"/>
    <w:rsid w:val="00505F93"/>
    <w:rsid w:val="00507A41"/>
    <w:rsid w:val="00511442"/>
    <w:rsid w:val="005115F8"/>
    <w:rsid w:val="005142E0"/>
    <w:rsid w:val="005158C0"/>
    <w:rsid w:val="0051638F"/>
    <w:rsid w:val="00516A54"/>
    <w:rsid w:val="00520D88"/>
    <w:rsid w:val="00521E24"/>
    <w:rsid w:val="00522540"/>
    <w:rsid w:val="00525BF3"/>
    <w:rsid w:val="00525CAA"/>
    <w:rsid w:val="00526065"/>
    <w:rsid w:val="00527428"/>
    <w:rsid w:val="005324DF"/>
    <w:rsid w:val="005376B8"/>
    <w:rsid w:val="00540F78"/>
    <w:rsid w:val="00543233"/>
    <w:rsid w:val="00543BB4"/>
    <w:rsid w:val="00554CBF"/>
    <w:rsid w:val="005603E2"/>
    <w:rsid w:val="0056106A"/>
    <w:rsid w:val="00565011"/>
    <w:rsid w:val="00574B96"/>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5F5D06"/>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0E5D"/>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C63DA"/>
    <w:rsid w:val="006D194C"/>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918"/>
    <w:rsid w:val="00723DF8"/>
    <w:rsid w:val="007248BC"/>
    <w:rsid w:val="00726354"/>
    <w:rsid w:val="00730C18"/>
    <w:rsid w:val="00736908"/>
    <w:rsid w:val="007417AC"/>
    <w:rsid w:val="007439D7"/>
    <w:rsid w:val="00745D31"/>
    <w:rsid w:val="00755534"/>
    <w:rsid w:val="00757AA5"/>
    <w:rsid w:val="007642F9"/>
    <w:rsid w:val="00770A61"/>
    <w:rsid w:val="00773074"/>
    <w:rsid w:val="00773C33"/>
    <w:rsid w:val="00781A50"/>
    <w:rsid w:val="007876BC"/>
    <w:rsid w:val="00787C51"/>
    <w:rsid w:val="00792970"/>
    <w:rsid w:val="0079316B"/>
    <w:rsid w:val="00794A22"/>
    <w:rsid w:val="00796433"/>
    <w:rsid w:val="00796B75"/>
    <w:rsid w:val="007971ED"/>
    <w:rsid w:val="007A03BA"/>
    <w:rsid w:val="007A4A53"/>
    <w:rsid w:val="007A6CDA"/>
    <w:rsid w:val="007B02DE"/>
    <w:rsid w:val="007D49C7"/>
    <w:rsid w:val="007D53AA"/>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37913"/>
    <w:rsid w:val="00840FA0"/>
    <w:rsid w:val="00843FBB"/>
    <w:rsid w:val="008454D2"/>
    <w:rsid w:val="00845DEC"/>
    <w:rsid w:val="0085294F"/>
    <w:rsid w:val="00860128"/>
    <w:rsid w:val="00866593"/>
    <w:rsid w:val="00870719"/>
    <w:rsid w:val="0087721F"/>
    <w:rsid w:val="00892314"/>
    <w:rsid w:val="0089371C"/>
    <w:rsid w:val="008A4075"/>
    <w:rsid w:val="008A5C07"/>
    <w:rsid w:val="008A5F82"/>
    <w:rsid w:val="008B33EB"/>
    <w:rsid w:val="008B3ABC"/>
    <w:rsid w:val="008B4B43"/>
    <w:rsid w:val="008B5E4B"/>
    <w:rsid w:val="008B7783"/>
    <w:rsid w:val="008C43A5"/>
    <w:rsid w:val="008C4443"/>
    <w:rsid w:val="008C58E0"/>
    <w:rsid w:val="008E1635"/>
    <w:rsid w:val="008E1DAE"/>
    <w:rsid w:val="008E363B"/>
    <w:rsid w:val="008E3821"/>
    <w:rsid w:val="008E7DAC"/>
    <w:rsid w:val="00901055"/>
    <w:rsid w:val="0090730F"/>
    <w:rsid w:val="0091479F"/>
    <w:rsid w:val="00914C45"/>
    <w:rsid w:val="00916678"/>
    <w:rsid w:val="0091744E"/>
    <w:rsid w:val="00922C5B"/>
    <w:rsid w:val="009230C6"/>
    <w:rsid w:val="00924D52"/>
    <w:rsid w:val="00927826"/>
    <w:rsid w:val="00930D89"/>
    <w:rsid w:val="00935201"/>
    <w:rsid w:val="00935FD0"/>
    <w:rsid w:val="0093711F"/>
    <w:rsid w:val="009373A1"/>
    <w:rsid w:val="009411C2"/>
    <w:rsid w:val="00942CDE"/>
    <w:rsid w:val="00946E0E"/>
    <w:rsid w:val="009531A4"/>
    <w:rsid w:val="00953B00"/>
    <w:rsid w:val="00956342"/>
    <w:rsid w:val="009575DB"/>
    <w:rsid w:val="00962A95"/>
    <w:rsid w:val="009647CC"/>
    <w:rsid w:val="00967713"/>
    <w:rsid w:val="00970CA0"/>
    <w:rsid w:val="0097614E"/>
    <w:rsid w:val="00981B9B"/>
    <w:rsid w:val="00986DA2"/>
    <w:rsid w:val="009870EA"/>
    <w:rsid w:val="009874C6"/>
    <w:rsid w:val="00990B28"/>
    <w:rsid w:val="0099243E"/>
    <w:rsid w:val="00994BC2"/>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6D2"/>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A5F9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E4CAA"/>
    <w:rsid w:val="00BF2DEC"/>
    <w:rsid w:val="00BF464F"/>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66E98"/>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A7CBB"/>
    <w:rsid w:val="00CB6655"/>
    <w:rsid w:val="00CB6D12"/>
    <w:rsid w:val="00CC06B3"/>
    <w:rsid w:val="00CC0D76"/>
    <w:rsid w:val="00CC14BA"/>
    <w:rsid w:val="00CC1F4A"/>
    <w:rsid w:val="00CC4922"/>
    <w:rsid w:val="00CC6A8E"/>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15FF"/>
    <w:rsid w:val="00D4444E"/>
    <w:rsid w:val="00D46679"/>
    <w:rsid w:val="00D467E2"/>
    <w:rsid w:val="00D5115C"/>
    <w:rsid w:val="00D5774F"/>
    <w:rsid w:val="00D64CF8"/>
    <w:rsid w:val="00D64F93"/>
    <w:rsid w:val="00D6591C"/>
    <w:rsid w:val="00D67F7F"/>
    <w:rsid w:val="00D7255C"/>
    <w:rsid w:val="00D72CC9"/>
    <w:rsid w:val="00D75535"/>
    <w:rsid w:val="00D937A0"/>
    <w:rsid w:val="00DA5144"/>
    <w:rsid w:val="00DB2B90"/>
    <w:rsid w:val="00DB3F6B"/>
    <w:rsid w:val="00DB464F"/>
    <w:rsid w:val="00DB6B9D"/>
    <w:rsid w:val="00DC0EBD"/>
    <w:rsid w:val="00DC1442"/>
    <w:rsid w:val="00DC165E"/>
    <w:rsid w:val="00DD4187"/>
    <w:rsid w:val="00DD5412"/>
    <w:rsid w:val="00DD564F"/>
    <w:rsid w:val="00DD6210"/>
    <w:rsid w:val="00DD6D95"/>
    <w:rsid w:val="00DE2897"/>
    <w:rsid w:val="00DE32DE"/>
    <w:rsid w:val="00DE5B8E"/>
    <w:rsid w:val="00DE6323"/>
    <w:rsid w:val="00DE6F9D"/>
    <w:rsid w:val="00DE7800"/>
    <w:rsid w:val="00DE7957"/>
    <w:rsid w:val="00DF142E"/>
    <w:rsid w:val="00DF1626"/>
    <w:rsid w:val="00DF5A2E"/>
    <w:rsid w:val="00DF717F"/>
    <w:rsid w:val="00E006B7"/>
    <w:rsid w:val="00E02D08"/>
    <w:rsid w:val="00E057F3"/>
    <w:rsid w:val="00E10297"/>
    <w:rsid w:val="00E1180B"/>
    <w:rsid w:val="00E11A26"/>
    <w:rsid w:val="00E11B7B"/>
    <w:rsid w:val="00E12439"/>
    <w:rsid w:val="00E20B2E"/>
    <w:rsid w:val="00E23B52"/>
    <w:rsid w:val="00E23D3A"/>
    <w:rsid w:val="00E246A4"/>
    <w:rsid w:val="00E2607E"/>
    <w:rsid w:val="00E265FC"/>
    <w:rsid w:val="00E269CC"/>
    <w:rsid w:val="00E34097"/>
    <w:rsid w:val="00E3590E"/>
    <w:rsid w:val="00E37DB4"/>
    <w:rsid w:val="00E407E1"/>
    <w:rsid w:val="00E41C82"/>
    <w:rsid w:val="00E4200D"/>
    <w:rsid w:val="00E42FB9"/>
    <w:rsid w:val="00E452DF"/>
    <w:rsid w:val="00E4701A"/>
    <w:rsid w:val="00E50FE2"/>
    <w:rsid w:val="00E52673"/>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B6A5D"/>
    <w:rsid w:val="00EC4140"/>
    <w:rsid w:val="00EC7E69"/>
    <w:rsid w:val="00ED19CF"/>
    <w:rsid w:val="00ED6644"/>
    <w:rsid w:val="00EE1C0C"/>
    <w:rsid w:val="00EE306C"/>
    <w:rsid w:val="00EE6B1E"/>
    <w:rsid w:val="00EF265E"/>
    <w:rsid w:val="00EF4583"/>
    <w:rsid w:val="00EF69C7"/>
    <w:rsid w:val="00F00C07"/>
    <w:rsid w:val="00F01F92"/>
    <w:rsid w:val="00F11149"/>
    <w:rsid w:val="00F14A3A"/>
    <w:rsid w:val="00F17D6A"/>
    <w:rsid w:val="00F21A77"/>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PC0055%26qid%3D1740469449335&amp;data=05%7C02%7Ch.keesom%40tweedekamer.nl%7Ccbaf9fe9dbb74378526808dd5a3fd14d%7C238cb5073f714afeaaab8382731a4345%7C0%7C0%7C638765952324230261%7CUnknown%7CTWFpbGZsb3d8eyJFbXB0eU1hcGkiOnRydWUsIlYiOiIwLjAuMDAwMCIsIlAiOiJXaW4zMiIsIkFOIjoiTWFpbCIsIldUIjoyfQ%3D%3D%7C0%7C%7C%7C&amp;sdata=L6lM22JJylAQ%2FvCS6%2B0e11y7qvlku%2BPoORVwOe8wmEs%3D&amp;reserved=0"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tweedekamer.nl/parlis/76b3de7d-d7a5-470f-b59d-9673e7af9502.docx" TargetMode="External" Id="rId17" /><Relationship Type="http://schemas.openxmlformats.org/officeDocument/2006/relationships/hyperlink" Target="https://eur06.safelinks.protection.outlook.com/?url=https%3A%2F%2Feur-lex.europa.eu%2Flegal-content%2FNL%2FTXT%2F%3Furi%3DCELEX%253A52025PC0056%26qid%3D1740469129600&amp;data=05%7C02%7Ch.keesom%40tweedekamer.nl%7Ccbaf9fe9dbb74378526808dd5a3fd14d%7C238cb5073f714afeaaab8382731a4345%7C0%7C0%7C638765952324187845%7CUnknown%7CTWFpbGZsb3d8eyJFbXB0eU1hcGkiOnRydWUsIlYiOiIwLjAuMDAwMCIsIlAiOiJXaW4zMiIsIkFOIjoiTWFpbCIsIldUIjoyfQ%3D%3D%7C0%7C%7C%7C&amp;sdata=E7pys17rf4nnqqPnP5fybDZ8eGtboEhX2jKlE%2FcSD1U%3D&amp;reserved=0"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EN%2FTXT%2F%3Furi%3DCELEX%253A52025PC0038%26qid%3D1739787840785&amp;data=05%7C02%7Ch.keesom%40tweedekamer.nl%7C9d34318816e8469734d208dd59d0b5ac%7C238cb5073f714afeaaab8382731a4345%7C0%7C0%7C638765475105060927%7CUnknown%7CTWFpbGZsb3d8eyJFbXB0eU1hcGkiOnRydWUsIlYiOiIwLjAuMDAwMCIsIlAiOiJXaW4zMiIsIkFOIjoiTWFpbCIsIldUIjoyfQ%3D%3D%7C0%7C%7C%7C&amp;sdata=JZFB3Et4NPxUaSTRr5CIE72xBV1zPV4WpIQEhcJrt1o%3D&amp;reserved=0"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DC0054%26qid%3D1740469525355&amp;data=05%7C02%7Ch.keesom%40tweedekamer.nl%7Ccbaf9fe9dbb74378526808dd5a3fd14d%7C238cb5073f714afeaaab8382731a4345%7C0%7C0%7C638765952324242855%7CUnknown%7CTWFpbGZsb3d8eyJFbXB0eU1hcGkiOnRydWUsIlYiOiIwLjAuMDAwMCIsIlAiOiJXaW4zMiIsIkFOIjoiTWFpbCIsIldUIjoyfQ%3D%3D%7C0%7C%7C%7C&amp;sdata=RVRDcd3RfIG4e9oS3%2FM%2FUjeJbczMaFHFVuIZGcVUyac%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903</ap:Words>
  <ap:Characters>4971</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2025-03-03T17:58:00.0000000Z</dcterms:created>
  <dcterms:modified xsi:type="dcterms:W3CDTF">2025-03-03T17:58:00.0000000Z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b7afe868-f868-4b7a-9f29-c6afa5e5cfa9</vt:lpwstr>
  </property>
</Properties>
</file>