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50DDF" w:rsidP="72847E6B" w:rsidRDefault="72847E6B" w14:paraId="2B7DD8AE" w14:textId="77777777">
      <w:pPr>
        <w:rPr>
          <w:rFonts w:eastAsia="Verdana" w:cs="Verdana"/>
          <w:b/>
          <w:bCs/>
          <w:lang w:val="nl-NL"/>
        </w:rPr>
      </w:pPr>
      <w:r w:rsidRPr="72847E6B">
        <w:rPr>
          <w:rFonts w:eastAsia="Verdana" w:cs="Verdana"/>
          <w:b/>
          <w:bCs/>
          <w:lang w:val="nl-NL"/>
        </w:rPr>
        <w:t>VERSLAG GECOMBINEERDE INFORMELE RAAD BUITENLANDSE ZAKEN HANDEL EN RAAD VOOR CONCURRENTIEVERMOGEN VAN 3 EN 4 FEBRUARI 2025</w:t>
      </w:r>
    </w:p>
    <w:p w:rsidR="00350DDF" w:rsidP="72847E6B" w:rsidRDefault="72847E6B" w14:paraId="15EE44C2" w14:textId="77777777">
      <w:pPr>
        <w:autoSpaceDE w:val="0"/>
        <w:autoSpaceDN w:val="0"/>
        <w:adjustRightInd w:val="0"/>
        <w:spacing w:line="276" w:lineRule="auto"/>
        <w:rPr>
          <w:rFonts w:eastAsia="Verdana" w:cs="Verdana"/>
          <w:b/>
          <w:bCs/>
          <w:lang w:val="nl-NL"/>
        </w:rPr>
      </w:pPr>
      <w:r w:rsidRPr="72847E6B">
        <w:rPr>
          <w:rFonts w:eastAsia="Verdana" w:cs="Verdana"/>
          <w:b/>
          <w:bCs/>
          <w:lang w:val="nl-NL"/>
        </w:rPr>
        <w:t xml:space="preserve">Introductie </w:t>
      </w:r>
    </w:p>
    <w:p w:rsidR="00350DDF" w:rsidP="72847E6B" w:rsidRDefault="72847E6B" w14:paraId="78FB502B" w14:textId="57A3F58C">
      <w:pPr>
        <w:autoSpaceDE w:val="0"/>
        <w:autoSpaceDN w:val="0"/>
        <w:adjustRightInd w:val="0"/>
        <w:spacing w:after="0" w:line="276" w:lineRule="auto"/>
        <w:rPr>
          <w:rFonts w:eastAsia="Verdana" w:cs="Verdana"/>
          <w:lang w:val="nl-NL"/>
        </w:rPr>
      </w:pPr>
      <w:r w:rsidRPr="72847E6B">
        <w:rPr>
          <w:rFonts w:eastAsia="Verdana" w:cs="Verdana"/>
          <w:lang w:val="nl-NL"/>
        </w:rPr>
        <w:t xml:space="preserve">Op 3 en 4 februari jl. vond in Warschau de gecombineerde informele Raad Buitenlandse Zaken Handel en Raad voor Concurrentievermogen plaats. Tijdens deze gecombineerde informele Raad werd gesproken over de samenhang tussen het handels- en industriebeleid. Tijdens de lunch is gesproken over de meest veelbelovende waardeketens voor integratie van kandidaat-lidstaten in de interne markt. Tot slot werden de handelsrelaties tussen de Europese Unie (EU) en de Verenigde Staten (VS) besproken. </w:t>
      </w:r>
    </w:p>
    <w:p w:rsidR="00750416" w:rsidP="00350DDF" w:rsidRDefault="00750416" w14:paraId="6E684B26" w14:textId="77777777">
      <w:pPr>
        <w:autoSpaceDE w:val="0"/>
        <w:autoSpaceDN w:val="0"/>
        <w:adjustRightInd w:val="0"/>
        <w:spacing w:after="0" w:line="276" w:lineRule="auto"/>
        <w:rPr>
          <w:rFonts w:eastAsia="Verdana" w:cs="Verdana"/>
          <w:lang w:val="nl-NL"/>
        </w:rPr>
      </w:pPr>
    </w:p>
    <w:p w:rsidRPr="00430AD8" w:rsidR="00350DDF" w:rsidP="00350DDF" w:rsidRDefault="00350DDF" w14:paraId="0BFE1685" w14:textId="77777777">
      <w:pPr>
        <w:autoSpaceDE w:val="0"/>
        <w:autoSpaceDN w:val="0"/>
        <w:adjustRightInd w:val="0"/>
        <w:spacing w:after="0" w:line="276" w:lineRule="auto"/>
        <w:rPr>
          <w:rFonts w:eastAsia="Verdana" w:cs="Verdana"/>
          <w:lang w:val="nl-NL"/>
        </w:rPr>
      </w:pPr>
    </w:p>
    <w:p w:rsidR="00350DDF" w:rsidP="72847E6B" w:rsidRDefault="72847E6B" w14:paraId="0BC33635" w14:textId="0438CB54">
      <w:pPr>
        <w:autoSpaceDE w:val="0"/>
        <w:autoSpaceDN w:val="0"/>
        <w:adjustRightInd w:val="0"/>
        <w:spacing w:line="276" w:lineRule="auto"/>
        <w:rPr>
          <w:rFonts w:eastAsia="Verdana" w:cs="Verdana"/>
          <w:b/>
          <w:bCs/>
          <w:lang w:val="nl-NL"/>
        </w:rPr>
      </w:pPr>
      <w:r w:rsidRPr="72847E6B">
        <w:rPr>
          <w:rFonts w:eastAsia="Verdana" w:cs="Verdana"/>
          <w:b/>
          <w:bCs/>
          <w:lang w:val="nl-NL"/>
        </w:rPr>
        <w:t>Samenhang handels- en industriebeleid ter versterking van het industriële ecosysteem</w:t>
      </w:r>
    </w:p>
    <w:p w:rsidR="00350DDF" w:rsidP="72847E6B" w:rsidRDefault="72847E6B" w14:paraId="5B03559C" w14:textId="11FC25A2">
      <w:pPr>
        <w:autoSpaceDE w:val="0"/>
        <w:autoSpaceDN w:val="0"/>
        <w:adjustRightInd w:val="0"/>
        <w:spacing w:line="276" w:lineRule="auto"/>
        <w:rPr>
          <w:rFonts w:eastAsia="Verdana" w:cs="Verdana"/>
          <w:lang w:val="nl-NL"/>
        </w:rPr>
      </w:pPr>
      <w:bookmarkStart w:name="_Hlk183364422" w:id="0"/>
      <w:r w:rsidRPr="72847E6B">
        <w:rPr>
          <w:rFonts w:eastAsia="Verdana" w:cs="Verdana"/>
          <w:lang w:val="nl-NL"/>
        </w:rPr>
        <w:t xml:space="preserve">De EU-lidstaten verwelkomden deze gezamenlijke informele Raad vanwege de nauwe verwevenheid van handels- en industriebeleid. De Europese Commissie (hierna: de Commissie) benadrukte daarbij dat een samenhangend handels- en industriebeleid van essentieel belang is om het concurrentievermogen van de EU te versterken. Daarnaast wees de Commissie op de noodzaak tot het behoud </w:t>
      </w:r>
      <w:r w:rsidR="00DA7D08">
        <w:rPr>
          <w:rFonts w:eastAsia="Verdana" w:cs="Verdana"/>
          <w:lang w:val="nl-NL"/>
        </w:rPr>
        <w:t xml:space="preserve">en versterking van </w:t>
      </w:r>
      <w:r w:rsidRPr="72847E6B">
        <w:rPr>
          <w:rFonts w:eastAsia="Verdana" w:cs="Verdana"/>
          <w:lang w:val="nl-NL"/>
        </w:rPr>
        <w:t>een open handelssysteem</w:t>
      </w:r>
      <w:r w:rsidR="008866F4">
        <w:rPr>
          <w:rFonts w:eastAsia="Verdana" w:cs="Verdana"/>
          <w:lang w:val="nl-NL"/>
        </w:rPr>
        <w:t>, mede</w:t>
      </w:r>
      <w:r w:rsidRPr="72847E6B">
        <w:rPr>
          <w:rFonts w:eastAsia="Verdana" w:cs="Verdana"/>
          <w:lang w:val="nl-NL"/>
        </w:rPr>
        <w:t xml:space="preserve"> door middel van uitbreiding van het netwerk van handelsakkoorden. Ook onderstreepte de Commissie de verdere potentie van de interne markt door middel van simplificatie, sectorale maatregelen voor de staal-, chemie- en autosectoren en het faciliteren van private financiering. Daarbij verwees de Commissie ook naar het onlangs gepubliceerde </w:t>
      </w:r>
      <w:proofErr w:type="spellStart"/>
      <w:r w:rsidRPr="72847E6B">
        <w:rPr>
          <w:rFonts w:eastAsia="Verdana" w:cs="Verdana"/>
          <w:i/>
          <w:iCs/>
          <w:lang w:val="nl-NL"/>
        </w:rPr>
        <w:t>Competitiveness</w:t>
      </w:r>
      <w:proofErr w:type="spellEnd"/>
      <w:r w:rsidRPr="72847E6B">
        <w:rPr>
          <w:rFonts w:eastAsia="Verdana" w:cs="Verdana"/>
          <w:i/>
          <w:iCs/>
          <w:lang w:val="nl-NL"/>
        </w:rPr>
        <w:t xml:space="preserve"> Compass</w:t>
      </w:r>
      <w:r w:rsidRPr="72847E6B">
        <w:rPr>
          <w:rFonts w:eastAsia="Verdana" w:cs="Verdana"/>
          <w:lang w:val="nl-NL"/>
        </w:rPr>
        <w:t xml:space="preserve"> waarover uw Kamer een BNC-fiche zal ontvangen. </w:t>
      </w:r>
    </w:p>
    <w:p w:rsidR="00350DDF" w:rsidP="72847E6B" w:rsidRDefault="72847E6B" w14:paraId="29F83104" w14:textId="77777777">
      <w:pPr>
        <w:autoSpaceDE w:val="0"/>
        <w:autoSpaceDN w:val="0"/>
        <w:adjustRightInd w:val="0"/>
        <w:spacing w:after="0" w:line="276" w:lineRule="auto"/>
        <w:rPr>
          <w:rFonts w:eastAsia="Verdana" w:cs="Verdana"/>
          <w:lang w:val="nl-NL"/>
        </w:rPr>
      </w:pPr>
      <w:r w:rsidRPr="72847E6B">
        <w:rPr>
          <w:rFonts w:eastAsia="Verdana" w:cs="Verdana"/>
          <w:lang w:val="nl-NL"/>
        </w:rPr>
        <w:t>De meeste EU-lidstaten, waaronder Nederland, deelden het belang van een coherent handels- en industriebeleid voor versterking van het concurrentievermogen van de EU. Een grote groep lidstaten sprak daarbij steun uit voor de vereenvoudigingsplannen van de Commissie, vooral ten aanzien van regeldruk, die door veel landen als belemmering voor het concurrentievermogen wordt ervaren. Hierbij legden veel lidstaten nadruk op de noodzaak van gedegen impactanalyses voor EU-wetgeving. Daarnaast deelde een aantal lidstaten het belang van handelsakkoorden voor markttoegang in derde landen. Ook benoemde een groep lidstaten dat betere coherentie tussen intern en extern EU-beleid essentieel is om het concurrentievermogen van de EU te versterken. Verschillende lidstaten verwelkomden het voornemen van de Commissie voor sectorale actieplannen. Nederland benadrukte dat een gelijk speelveld essentieel is voor een open handelsland als Nederland en benoemde dat er tegelijkertijd gerichte aandacht voor industriële sectoren nodig is.</w:t>
      </w:r>
    </w:p>
    <w:p w:rsidR="00350DDF" w:rsidP="00350DDF" w:rsidRDefault="00350DDF" w14:paraId="4D01D3B3" w14:textId="77777777">
      <w:pPr>
        <w:autoSpaceDE w:val="0"/>
        <w:autoSpaceDN w:val="0"/>
        <w:adjustRightInd w:val="0"/>
        <w:spacing w:after="0" w:line="276" w:lineRule="auto"/>
        <w:rPr>
          <w:rFonts w:eastAsia="Verdana" w:cs="Verdana"/>
          <w:lang w:val="nl-NL"/>
        </w:rPr>
      </w:pPr>
    </w:p>
    <w:bookmarkEnd w:id="0"/>
    <w:p w:rsidR="00350DDF" w:rsidP="00350DDF" w:rsidRDefault="00350DDF" w14:paraId="6966CF6F" w14:textId="77777777">
      <w:pPr>
        <w:spacing w:after="0"/>
        <w:rPr>
          <w:rFonts w:eastAsia="Verdana" w:cs="Verdana"/>
          <w:b/>
          <w:bCs/>
          <w:lang w:val="nl-NL"/>
        </w:rPr>
      </w:pPr>
    </w:p>
    <w:p w:rsidRPr="00350DDF" w:rsidR="00350DDF" w:rsidP="72847E6B" w:rsidRDefault="72847E6B" w14:paraId="34740FB3" w14:textId="23311EC8">
      <w:pPr>
        <w:rPr>
          <w:rFonts w:eastAsia="Verdana" w:cs="Verdana"/>
          <w:b/>
          <w:bCs/>
          <w:color w:val="FF0000"/>
          <w:lang w:val="nl-NL"/>
        </w:rPr>
      </w:pPr>
      <w:r w:rsidRPr="72847E6B">
        <w:rPr>
          <w:rFonts w:eastAsia="Verdana" w:cs="Verdana"/>
          <w:b/>
          <w:bCs/>
          <w:lang w:val="nl-NL"/>
        </w:rPr>
        <w:t>Meest veelbelovende waardeketens voor integratie kandidaat-lidstaten in de interne markt</w:t>
      </w:r>
      <w:r w:rsidRPr="72847E6B">
        <w:rPr>
          <w:rFonts w:eastAsia="Verdana" w:cs="Verdana"/>
          <w:b/>
          <w:bCs/>
          <w:color w:val="FF0000"/>
          <w:lang w:val="nl-NL"/>
        </w:rPr>
        <w:t xml:space="preserve"> </w:t>
      </w:r>
    </w:p>
    <w:p w:rsidRPr="00B11A6D" w:rsidR="00350DDF" w:rsidP="72847E6B" w:rsidRDefault="72847E6B" w14:paraId="2C9F945A" w14:textId="0B0E12FB">
      <w:pPr>
        <w:autoSpaceDE w:val="0"/>
        <w:autoSpaceDN w:val="0"/>
        <w:adjustRightInd w:val="0"/>
        <w:spacing w:line="276" w:lineRule="auto"/>
        <w:rPr>
          <w:rFonts w:eastAsia="Verdana" w:cs="Verdana"/>
          <w:lang w:val="nl-NL"/>
        </w:rPr>
      </w:pPr>
      <w:r w:rsidRPr="72847E6B">
        <w:rPr>
          <w:rFonts w:eastAsia="Verdana" w:cs="Verdana"/>
          <w:lang w:val="nl-NL"/>
        </w:rPr>
        <w:t xml:space="preserve">Tijdens dit agendapunt werd stilgestaan bij het geleidelijke integratieproces van kandidaat-lidstaten in de interne markt. De Commissie legde daarbij vooral de nadruk op Oekraïne. Sommige lidstaten benadrukten het belang van een spoedige geleidelijke integratie van kandidaat-lidstaten gericht op bepaalde waardeketens, zoals energie, transport en grondstoffen. Tegelijkertijd benadrukten meerdere lidstaten dat dit geen alternatief is voor het EU-toetredingstraject. Voor Nederland blijft van belang dat geleidelijke integratie van kandidaat-lidstaten alleen overwogen kan worden als kandidaat-lidstaten eerst het relevante EU-acquis overnemen, implementeren en handhaven en dat geleidelijke integratie in het belang moet zijn van zowel EU- als kandidaat-lidstaten.  </w:t>
      </w:r>
    </w:p>
    <w:p w:rsidR="00350DDF" w:rsidP="00350DDF" w:rsidRDefault="00350DDF" w14:paraId="010B075B" w14:textId="77777777">
      <w:pPr>
        <w:autoSpaceDE w:val="0"/>
        <w:autoSpaceDN w:val="0"/>
        <w:adjustRightInd w:val="0"/>
        <w:spacing w:line="276" w:lineRule="auto"/>
        <w:rPr>
          <w:rFonts w:eastAsia="Verdana" w:cs="Verdana"/>
          <w:lang w:val="nl-NL"/>
        </w:rPr>
      </w:pPr>
    </w:p>
    <w:p w:rsidR="00EB2591" w:rsidP="00350DDF" w:rsidRDefault="00EB2591" w14:paraId="6FA5AE60" w14:textId="77777777">
      <w:pPr>
        <w:autoSpaceDE w:val="0"/>
        <w:autoSpaceDN w:val="0"/>
        <w:adjustRightInd w:val="0"/>
        <w:spacing w:line="276" w:lineRule="auto"/>
        <w:rPr>
          <w:rFonts w:eastAsia="Verdana" w:cs="Verdana"/>
          <w:lang w:val="nl-NL"/>
        </w:rPr>
      </w:pPr>
    </w:p>
    <w:p w:rsidRPr="00350DDF" w:rsidR="00350DDF" w:rsidP="72847E6B" w:rsidRDefault="72847E6B" w14:paraId="0CF0A36F" w14:textId="2C0BC8D8">
      <w:pPr>
        <w:rPr>
          <w:rFonts w:eastAsia="Verdana" w:cs="Verdana"/>
          <w:b/>
          <w:bCs/>
          <w:lang w:val="nl-NL" w:eastAsia="ja-JP"/>
        </w:rPr>
      </w:pPr>
      <w:r w:rsidRPr="72847E6B">
        <w:rPr>
          <w:rFonts w:eastAsia="Verdana" w:cs="Verdana"/>
          <w:b/>
          <w:bCs/>
          <w:lang w:val="nl-NL" w:eastAsia="ja-JP"/>
        </w:rPr>
        <w:lastRenderedPageBreak/>
        <w:t xml:space="preserve">Handelsrelaties tussen EU &amp; VS </w:t>
      </w:r>
    </w:p>
    <w:p w:rsidR="00350DDF" w:rsidP="72847E6B" w:rsidRDefault="72847E6B" w14:paraId="06BA9FDF" w14:textId="5DBCFD80">
      <w:pPr>
        <w:spacing w:after="0"/>
        <w:rPr>
          <w:rFonts w:eastAsia="Verdana" w:cs="Verdana"/>
          <w:lang w:val="nl-NL"/>
        </w:rPr>
      </w:pPr>
      <w:r w:rsidRPr="72847E6B">
        <w:rPr>
          <w:rFonts w:eastAsia="Verdana" w:cs="Verdana"/>
          <w:lang w:val="nl-NL"/>
        </w:rPr>
        <w:t xml:space="preserve">Tijdens dit agendapunt werd stilgestaan bij de handelsrelatie van de EU met de VS en bij de eerste aankondigingen van de regering Trump over handelsbeleid. De Commissie benadrukte op een pragmatische en constructieve manier samen te willen werken met de nieuwe Amerikaanse regering, waarbij de eigen belangen van de EU verdedigd zullen worden waar nodig. Een goede relatie is immers in het belang van zowel de EU als de VS. Daarbij gaf de Commissie ook aan dat EU eensgezindheid cruciaal is. Ook werd ingegaan op de handelsbalans van de EU met de VS. De Commissie gaf aan dat de EU weliswaar een goederenhandelsoverschot heeft met de VS, maar dat de VS juist een duidelijk handelsoverschot heeft in de dienstenhandel met de EU. </w:t>
      </w:r>
    </w:p>
    <w:p w:rsidR="00350DDF" w:rsidP="00350DDF" w:rsidRDefault="00350DDF" w14:paraId="4093F53B" w14:textId="77777777">
      <w:pPr>
        <w:spacing w:after="0"/>
        <w:rPr>
          <w:rFonts w:eastAsia="Verdana" w:cs="Verdana"/>
          <w:lang w:val="nl-NL"/>
        </w:rPr>
      </w:pPr>
    </w:p>
    <w:p w:rsidR="00350DDF" w:rsidP="72847E6B" w:rsidRDefault="72847E6B" w14:paraId="0733B802" w14:textId="6E5BA3D6">
      <w:pPr>
        <w:rPr>
          <w:rFonts w:eastAsia="Verdana" w:cs="Verdana"/>
          <w:lang w:val="nl-NL"/>
        </w:rPr>
      </w:pPr>
      <w:r w:rsidRPr="72847E6B">
        <w:rPr>
          <w:rFonts w:eastAsia="Verdana" w:cs="Verdana"/>
          <w:lang w:val="nl-NL"/>
        </w:rPr>
        <w:t xml:space="preserve">De lidstaten waren eensgezind in hun steun voor de benadering van de Commissie. Het belang van een positieve relatie met de VS en eenheid binnen de EU werden onderschreven, waarbij alle mogelijke kanalen aangewend dienen te worden. Daarnaast riepen verschillende lidstaten de Commissie op om, naast een positieve benadering met de VS, ook de handelsbetrekkingen met derde landen te intensiveren en bestaande onderhandelingen over handelsovereenkomsten voort te zetten. Ook werd door lidstaten gesproken over de aangekondigde (en later weer tijdelijk opgeschorte) verhoogde invoertarieven voor goederen uit Canada en Mexico die begin deze maand door de VS werden afgekondigd, en de mogelijke impact daarvan op de EU, evenals over de door de VS genomen handelsmaatregelen vis-à-vis China. </w:t>
      </w:r>
    </w:p>
    <w:p w:rsidR="00FF1394" w:rsidP="72847E6B" w:rsidRDefault="72847E6B" w14:paraId="52B70424" w14:textId="37A0BA14">
      <w:pPr>
        <w:rPr>
          <w:rFonts w:eastAsia="Verdana" w:cs="Verdana"/>
          <w:lang w:val="nl-NL"/>
        </w:rPr>
      </w:pPr>
      <w:r w:rsidRPr="72847E6B">
        <w:rPr>
          <w:rFonts w:eastAsia="Verdana" w:cs="Verdana"/>
          <w:lang w:val="nl-NL"/>
        </w:rPr>
        <w:t xml:space="preserve">Nederland benadrukte het belang van samenwerking met de VS en Europese eenheid. Nederland gaf verder aan dat mogelijke tegenmaatregelen van de EU goed afgewogen moeten worden. Deze dienen op een </w:t>
      </w:r>
      <w:r w:rsidR="000B747A">
        <w:rPr>
          <w:rFonts w:eastAsia="Verdana" w:cs="Verdana"/>
          <w:lang w:val="nl-NL"/>
        </w:rPr>
        <w:t xml:space="preserve">robuuste, </w:t>
      </w:r>
      <w:r w:rsidRPr="72847E6B">
        <w:rPr>
          <w:rFonts w:eastAsia="Verdana" w:cs="Verdana"/>
          <w:lang w:val="nl-NL"/>
        </w:rPr>
        <w:t xml:space="preserve">proportionele en gerichte wijze ingevoerd te worden. Ook sprak Nederland steun uit voor de inzet van de Commissie om het concurrentievermogen van de EU te blijven versterken, ongeacht het toekomstige handelsbeleid van de VS.  </w:t>
      </w:r>
    </w:p>
    <w:p w:rsidR="00114EE7" w:rsidRDefault="00114EE7" w14:paraId="6F579305" w14:textId="77777777">
      <w:pPr>
        <w:rPr>
          <w:lang w:val="nl-NL"/>
        </w:rPr>
      </w:pPr>
    </w:p>
    <w:p w:rsidR="007F2B28" w:rsidP="007F2B28" w:rsidRDefault="007F2B28" w14:paraId="35D6FDED" w14:textId="77777777">
      <w:pPr>
        <w:rPr>
          <w:lang w:val="nl-NL"/>
        </w:rPr>
      </w:pPr>
    </w:p>
    <w:p w:rsidRPr="007F2B28" w:rsidR="007F2B28" w:rsidP="007F2B28" w:rsidRDefault="007F2B28" w14:paraId="6C11EC41" w14:textId="77777777">
      <w:pPr>
        <w:jc w:val="center"/>
        <w:rPr>
          <w:lang w:val="nl-NL"/>
        </w:rPr>
      </w:pPr>
    </w:p>
    <w:sectPr w:rsidRPr="007F2B28" w:rsidR="007F2B28" w:rsidSect="00B11A6D">
      <w:headerReference w:type="even" r:id="rId11"/>
      <w:headerReference w:type="default" r:id="rId12"/>
      <w:footerReference w:type="even" r:id="rId13"/>
      <w:footerReference w:type="default" r:id="rId14"/>
      <w:headerReference w:type="first" r:id="rId15"/>
      <w:footerReference w:type="first" r:id="rId16"/>
      <w:pgSz w:w="11906" w:h="16838" w:code="9"/>
      <w:pgMar w:top="1440" w:right="1440" w:bottom="1440" w:left="1440" w:header="709" w:footer="709"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F9B631" w14:textId="77777777" w:rsidR="00B11A6D" w:rsidRDefault="00B11A6D" w:rsidP="00B11A6D">
      <w:pPr>
        <w:spacing w:after="0"/>
      </w:pPr>
      <w:r>
        <w:separator/>
      </w:r>
    </w:p>
  </w:endnote>
  <w:endnote w:type="continuationSeparator" w:id="0">
    <w:p w14:paraId="731AA222" w14:textId="77777777" w:rsidR="00B11A6D" w:rsidRDefault="00B11A6D" w:rsidP="00B11A6D">
      <w:pPr>
        <w:spacing w:after="0"/>
      </w:pPr>
      <w:r>
        <w:continuationSeparator/>
      </w:r>
    </w:p>
  </w:endnote>
  <w:endnote w:type="continuationNotice" w:id="1">
    <w:p w14:paraId="05977C7B" w14:textId="77777777" w:rsidR="00EA1846" w:rsidRDefault="00EA184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E477E8" w14:textId="77777777" w:rsidR="00B11A6D" w:rsidRDefault="00B11A6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32107726"/>
      <w:docPartObj>
        <w:docPartGallery w:val="Page Numbers (Bottom of Page)"/>
        <w:docPartUnique/>
      </w:docPartObj>
    </w:sdtPr>
    <w:sdtEndPr/>
    <w:sdtContent>
      <w:sdt>
        <w:sdtPr>
          <w:id w:val="1728636285"/>
          <w:docPartObj>
            <w:docPartGallery w:val="Page Numbers (Top of Page)"/>
            <w:docPartUnique/>
          </w:docPartObj>
        </w:sdtPr>
        <w:sdtEndPr/>
        <w:sdtContent>
          <w:p w14:paraId="735E1A58" w14:textId="77777777" w:rsidR="00B11A6D" w:rsidRDefault="00B11A6D" w:rsidP="00275635">
            <w:pPr>
              <w:pStyle w:val="Footer"/>
              <w:jc w:val="center"/>
            </w:pPr>
            <w:r>
              <w:rPr>
                <w:lang w:val="nl-NL"/>
              </w:rPr>
              <w:t>Pa</w:t>
            </w:r>
            <w:r w:rsidRPr="003C73EB">
              <w:rPr>
                <w:lang w:val="nl-NL"/>
              </w:rPr>
              <w:t xml:space="preserve">gina </w:t>
            </w:r>
            <w:r w:rsidRPr="003C73EB">
              <w:rPr>
                <w:sz w:val="24"/>
                <w:szCs w:val="24"/>
              </w:rPr>
              <w:fldChar w:fldCharType="begin"/>
            </w:r>
            <w:r w:rsidRPr="003C73EB">
              <w:instrText>PAGE</w:instrText>
            </w:r>
            <w:r w:rsidRPr="003C73EB">
              <w:rPr>
                <w:sz w:val="24"/>
                <w:szCs w:val="24"/>
              </w:rPr>
              <w:fldChar w:fldCharType="separate"/>
            </w:r>
            <w:r>
              <w:rPr>
                <w:sz w:val="24"/>
                <w:szCs w:val="24"/>
              </w:rPr>
              <w:t>1</w:t>
            </w:r>
            <w:r w:rsidRPr="003C73EB">
              <w:rPr>
                <w:sz w:val="24"/>
                <w:szCs w:val="24"/>
              </w:rPr>
              <w:fldChar w:fldCharType="end"/>
            </w:r>
            <w:r w:rsidRPr="003C73EB">
              <w:rPr>
                <w:lang w:val="nl-NL"/>
              </w:rPr>
              <w:t xml:space="preserve"> van </w:t>
            </w:r>
            <w:r w:rsidRPr="003C73EB">
              <w:rPr>
                <w:sz w:val="24"/>
                <w:szCs w:val="24"/>
              </w:rPr>
              <w:fldChar w:fldCharType="begin"/>
            </w:r>
            <w:r w:rsidRPr="003C73EB">
              <w:instrText>NUMPAGES</w:instrText>
            </w:r>
            <w:r w:rsidRPr="003C73EB">
              <w:rPr>
                <w:sz w:val="24"/>
                <w:szCs w:val="24"/>
              </w:rPr>
              <w:fldChar w:fldCharType="separate"/>
            </w:r>
            <w:r>
              <w:rPr>
                <w:sz w:val="24"/>
                <w:szCs w:val="24"/>
              </w:rPr>
              <w:t>1</w:t>
            </w:r>
            <w:r w:rsidRPr="003C73EB">
              <w:rPr>
                <w:sz w:val="24"/>
                <w:szCs w:val="24"/>
              </w:rPr>
              <w:fldChar w:fldCharType="end"/>
            </w:r>
          </w:p>
        </w:sdtContent>
      </w:sdt>
    </w:sdtContent>
  </w:sdt>
  <w:p w14:paraId="7C259F18" w14:textId="77777777" w:rsidR="00B11A6D" w:rsidRDefault="00B11A6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E9F4C9" w14:textId="77777777" w:rsidR="00B11A6D" w:rsidRDefault="00B11A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1CD823" w14:textId="77777777" w:rsidR="00B11A6D" w:rsidRDefault="00B11A6D" w:rsidP="00B11A6D">
      <w:pPr>
        <w:spacing w:after="0"/>
      </w:pPr>
      <w:r>
        <w:separator/>
      </w:r>
    </w:p>
  </w:footnote>
  <w:footnote w:type="continuationSeparator" w:id="0">
    <w:p w14:paraId="1B95FB93" w14:textId="77777777" w:rsidR="00B11A6D" w:rsidRDefault="00B11A6D" w:rsidP="00B11A6D">
      <w:pPr>
        <w:spacing w:after="0"/>
      </w:pPr>
      <w:r>
        <w:continuationSeparator/>
      </w:r>
    </w:p>
  </w:footnote>
  <w:footnote w:type="continuationNotice" w:id="1">
    <w:p w14:paraId="45A757DA" w14:textId="77777777" w:rsidR="00EA1846" w:rsidRDefault="00EA184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0D7E0" w14:textId="77777777" w:rsidR="00B11A6D" w:rsidRDefault="00B11A6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9C4EBA" w14:textId="77777777" w:rsidR="00B11A6D" w:rsidRDefault="00B11A6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AE27B8" w14:textId="77777777" w:rsidR="00B11A6D" w:rsidRDefault="00B11A6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1A6D"/>
    <w:rsid w:val="000B747A"/>
    <w:rsid w:val="000F5433"/>
    <w:rsid w:val="00114EE7"/>
    <w:rsid w:val="001364CB"/>
    <w:rsid w:val="001736A2"/>
    <w:rsid w:val="00331D1E"/>
    <w:rsid w:val="00350DDF"/>
    <w:rsid w:val="003A1FD5"/>
    <w:rsid w:val="003D0705"/>
    <w:rsid w:val="00550143"/>
    <w:rsid w:val="00581582"/>
    <w:rsid w:val="00585EDB"/>
    <w:rsid w:val="005F3449"/>
    <w:rsid w:val="00622254"/>
    <w:rsid w:val="006642CF"/>
    <w:rsid w:val="006A20C0"/>
    <w:rsid w:val="006D62F8"/>
    <w:rsid w:val="00731CD2"/>
    <w:rsid w:val="00750416"/>
    <w:rsid w:val="00764DB9"/>
    <w:rsid w:val="007E5FEF"/>
    <w:rsid w:val="007F2B28"/>
    <w:rsid w:val="0082351F"/>
    <w:rsid w:val="00830A9A"/>
    <w:rsid w:val="008421EB"/>
    <w:rsid w:val="008866F4"/>
    <w:rsid w:val="008A3E98"/>
    <w:rsid w:val="009A353D"/>
    <w:rsid w:val="00A7741A"/>
    <w:rsid w:val="00B11A6D"/>
    <w:rsid w:val="00BD1825"/>
    <w:rsid w:val="00C4344F"/>
    <w:rsid w:val="00C73DF3"/>
    <w:rsid w:val="00CE3B39"/>
    <w:rsid w:val="00D605A2"/>
    <w:rsid w:val="00DA7D08"/>
    <w:rsid w:val="00DC7E3F"/>
    <w:rsid w:val="00EA1846"/>
    <w:rsid w:val="00EA430C"/>
    <w:rsid w:val="00EB2591"/>
    <w:rsid w:val="00F01C58"/>
    <w:rsid w:val="00FF1394"/>
    <w:rsid w:val="00FF2FBA"/>
    <w:rsid w:val="72847E6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51ADF3"/>
  <w15:chartTrackingRefBased/>
  <w15:docId w15:val="{9A6F02BB-5632-4BC5-B93A-AD60627AD3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1A6D"/>
    <w:pPr>
      <w:spacing w:after="200" w:line="240" w:lineRule="auto"/>
    </w:pPr>
    <w:rPr>
      <w:rFonts w:ascii="Verdana" w:eastAsia="MS Mincho" w:hAnsi="Verdana"/>
      <w:kern w:val="0"/>
      <w:sz w:val="1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11A6D"/>
    <w:pPr>
      <w:spacing w:after="0" w:line="240" w:lineRule="auto"/>
    </w:pPr>
    <w:rPr>
      <w:rFonts w:ascii="Verdana" w:eastAsia="MS Mincho" w:hAnsi="Verdana"/>
      <w:kern w:val="0"/>
      <w:sz w:val="18"/>
      <w:lang w:val="en-US"/>
    </w:rPr>
  </w:style>
  <w:style w:type="paragraph" w:styleId="Header">
    <w:name w:val="header"/>
    <w:basedOn w:val="Normal"/>
    <w:link w:val="HeaderChar"/>
    <w:uiPriority w:val="99"/>
    <w:unhideWhenUsed/>
    <w:rsid w:val="00B11A6D"/>
    <w:pPr>
      <w:tabs>
        <w:tab w:val="center" w:pos="4513"/>
        <w:tab w:val="right" w:pos="9026"/>
      </w:tabs>
      <w:spacing w:after="0"/>
    </w:pPr>
  </w:style>
  <w:style w:type="character" w:customStyle="1" w:styleId="HeaderChar">
    <w:name w:val="Header Char"/>
    <w:basedOn w:val="DefaultParagraphFont"/>
    <w:link w:val="Header"/>
    <w:uiPriority w:val="99"/>
    <w:rsid w:val="00B11A6D"/>
    <w:rPr>
      <w:rFonts w:ascii="Verdana" w:eastAsia="MS Mincho" w:hAnsi="Verdana"/>
      <w:kern w:val="0"/>
      <w:sz w:val="18"/>
      <w:lang w:val="en-US"/>
    </w:rPr>
  </w:style>
  <w:style w:type="paragraph" w:styleId="Footer">
    <w:name w:val="footer"/>
    <w:basedOn w:val="Normal"/>
    <w:link w:val="FooterChar"/>
    <w:uiPriority w:val="99"/>
    <w:unhideWhenUsed/>
    <w:rsid w:val="00B11A6D"/>
    <w:pPr>
      <w:tabs>
        <w:tab w:val="center" w:pos="4513"/>
        <w:tab w:val="right" w:pos="9026"/>
      </w:tabs>
      <w:spacing w:after="0"/>
    </w:pPr>
  </w:style>
  <w:style w:type="character" w:customStyle="1" w:styleId="FooterChar">
    <w:name w:val="Footer Char"/>
    <w:basedOn w:val="DefaultParagraphFont"/>
    <w:link w:val="Footer"/>
    <w:uiPriority w:val="99"/>
    <w:rsid w:val="00B11A6D"/>
    <w:rPr>
      <w:rFonts w:ascii="Verdana" w:eastAsia="MS Mincho" w:hAnsi="Verdana"/>
      <w:kern w:val="0"/>
      <w:sz w:val="18"/>
      <w:lang w:val="en-US"/>
    </w:rPr>
  </w:style>
  <w:style w:type="paragraph" w:styleId="FootnoteText">
    <w:name w:val="footnote text"/>
    <w:basedOn w:val="Normal"/>
    <w:link w:val="FootnoteTextChar"/>
    <w:uiPriority w:val="99"/>
    <w:semiHidden/>
    <w:unhideWhenUsed/>
    <w:rsid w:val="00B11A6D"/>
    <w:pPr>
      <w:spacing w:after="0"/>
    </w:pPr>
    <w:rPr>
      <w:sz w:val="20"/>
      <w:szCs w:val="20"/>
    </w:rPr>
  </w:style>
  <w:style w:type="character" w:customStyle="1" w:styleId="FootnoteTextChar">
    <w:name w:val="Footnote Text Char"/>
    <w:basedOn w:val="DefaultParagraphFont"/>
    <w:link w:val="FootnoteText"/>
    <w:uiPriority w:val="99"/>
    <w:semiHidden/>
    <w:rsid w:val="00B11A6D"/>
    <w:rPr>
      <w:rFonts w:ascii="Verdana" w:eastAsia="MS Mincho" w:hAnsi="Verdana"/>
      <w:kern w:val="0"/>
      <w:sz w:val="20"/>
      <w:szCs w:val="20"/>
      <w:lang w:val="en-US"/>
    </w:rPr>
  </w:style>
  <w:style w:type="character" w:styleId="FootnoteReference">
    <w:name w:val="footnote reference"/>
    <w:basedOn w:val="DefaultParagraphFont"/>
    <w:uiPriority w:val="99"/>
    <w:semiHidden/>
    <w:unhideWhenUsed/>
    <w:rsid w:val="00B11A6D"/>
    <w:rPr>
      <w:vertAlign w:val="superscript"/>
    </w:rPr>
  </w:style>
  <w:style w:type="paragraph" w:styleId="Revision">
    <w:name w:val="Revision"/>
    <w:hidden/>
    <w:uiPriority w:val="99"/>
    <w:semiHidden/>
    <w:rsid w:val="00622254"/>
    <w:pPr>
      <w:spacing w:after="0" w:line="240" w:lineRule="auto"/>
    </w:pPr>
    <w:rPr>
      <w:rFonts w:ascii="Verdana" w:eastAsia="MS Mincho" w:hAnsi="Verdana"/>
      <w:kern w:val="0"/>
      <w:sz w:val="18"/>
      <w:lang w:val="en-US"/>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Verdana" w:eastAsia="MS Mincho" w:hAnsi="Verdana"/>
      <w:kern w:val="0"/>
      <w:sz w:val="20"/>
      <w:szCs w:val="20"/>
      <w:lang w:val="en-US"/>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DA7D08"/>
    <w:rPr>
      <w:b/>
      <w:bCs/>
    </w:rPr>
  </w:style>
  <w:style w:type="character" w:customStyle="1" w:styleId="CommentSubjectChar">
    <w:name w:val="Comment Subject Char"/>
    <w:basedOn w:val="CommentTextChar"/>
    <w:link w:val="CommentSubject"/>
    <w:uiPriority w:val="99"/>
    <w:semiHidden/>
    <w:rsid w:val="00DA7D08"/>
    <w:rPr>
      <w:rFonts w:ascii="Verdana" w:eastAsia="MS Mincho" w:hAnsi="Verdana"/>
      <w:b/>
      <w:bCs/>
      <w:kern w:val="0"/>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theme" Target="theme/theme1.xml" Id="rId18"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footer" Target="footer3.xml" Id="rId16"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footnotes" Target="footnotes.xml" Id="rId9" /><Relationship Type="http://schemas.openxmlformats.org/officeDocument/2006/relationships/footer" Target="footer2.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834</ap:Words>
  <ap:Characters>4588</ap:Characters>
  <ap:DocSecurity>0</ap:DocSecurity>
  <ap:Lines>38</ap:Lines>
  <ap:Paragraphs>10</ap:Paragraphs>
  <ap:ScaleCrop>false</ap:ScaleCrop>
  <ap:LinksUpToDate>false</ap:LinksUpToDate>
  <ap:CharactersWithSpaces>5412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2025-02-14T14:58:00.0000000Z</dcterms:created>
  <dcterms:modified xsi:type="dcterms:W3CDTF">2025-02-14T14:58:00.0000000Z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0x0101009C7CE436063D44E9BE7DC0259EF7C32F006EB9F9836A634AE58B6169785FD3936F003FD5B2F9E986EC4490E3A24B9BD4DE1C</vt:lpwstr>
  </property>
  <property fmtid="{D5CDD505-2E9C-101B-9397-08002B2CF9AE}" pid="3" name="_dlc_DocIdItemGuid">
    <vt:lpwstr>4859b3b5-0898-417c-a9bb-18ba9b93a94e</vt:lpwstr>
  </property>
  <property fmtid="{D5CDD505-2E9C-101B-9397-08002B2CF9AE}" pid="4" name="BZForumOrganisation">
    <vt:lpwstr>2;#Not applicable|0049e722-bfb1-4a3f-9d08-af7366a9af40</vt:lpwstr>
  </property>
  <property fmtid="{D5CDD505-2E9C-101B-9397-08002B2CF9AE}" pid="5" name="BZTheme">
    <vt:lpwstr>7;#Informatie voorziening|8edfc6d5-9fe4-8b19-f842-4a06399853cd;#8;#Organization and management general|68c629c2-f36d-451d-9132-f1684bfd165b</vt:lpwstr>
  </property>
  <property fmtid="{D5CDD505-2E9C-101B-9397-08002B2CF9AE}" pid="6" name="BZCountryState">
    <vt:lpwstr>3;#Not applicable|ec01d90b-9d0f-4785-8785-e1ea615196bf;#9;#The Netherlands|7f69a7bb-478c-499d-a6cf-5869916dfee4</vt:lpwstr>
  </property>
  <property fmtid="{D5CDD505-2E9C-101B-9397-08002B2CF9AE}" pid="7" name="BZMarking">
    <vt:lpwstr>5;#NO MARKING|0a4eb9ae-69eb-4d9e-b573-43ab99ef8592</vt:lpwstr>
  </property>
  <property fmtid="{D5CDD505-2E9C-101B-9397-08002B2CF9AE}" pid="8" name="BZClassification">
    <vt:lpwstr>4;#UNCLASSIFIED (U)|284e6a62-15ab-4017-be27-a1e965f4e940</vt:lpwstr>
  </property>
  <property fmtid="{D5CDD505-2E9C-101B-9397-08002B2CF9AE}" pid="9" name="_docset_NoMedatataSyncRequired">
    <vt:lpwstr>False</vt:lpwstr>
  </property>
</Properties>
</file>