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E54" w:rsidP="00262E54" w:rsidRDefault="00F60320" w14:paraId="5DD40206" w14:textId="77777777">
      <w:pPr>
        <w:pStyle w:val="Geenafstand"/>
        <w:rPr>
          <w:b/>
          <w:bCs/>
        </w:rPr>
      </w:pPr>
      <w:r w:rsidRPr="00262E54">
        <w:rPr>
          <w:b/>
          <w:bCs/>
        </w:rPr>
        <w:t xml:space="preserve">Verdrag tussen het Koninkrijk der Nederlanden en </w:t>
      </w:r>
      <w:r w:rsidRPr="00262E54" w:rsidR="00C30BD0">
        <w:rPr>
          <w:b/>
          <w:bCs/>
        </w:rPr>
        <w:t>de Republiek Ecuador</w:t>
      </w:r>
      <w:r w:rsidRPr="00262E54" w:rsidR="00954028">
        <w:rPr>
          <w:b/>
          <w:bCs/>
        </w:rPr>
        <w:t xml:space="preserve"> inzake wederzijdse administratieve bijstand in douanezaken</w:t>
      </w:r>
      <w:r w:rsidRPr="00262E54">
        <w:rPr>
          <w:b/>
          <w:bCs/>
        </w:rPr>
        <w:t>;</w:t>
      </w:r>
      <w:r w:rsidRPr="00262E54" w:rsidR="00AA384A">
        <w:rPr>
          <w:b/>
          <w:bCs/>
        </w:rPr>
        <w:t xml:space="preserve"> </w:t>
      </w:r>
      <w:r w:rsidRPr="00262E54" w:rsidR="005A7CCD">
        <w:rPr>
          <w:b/>
          <w:bCs/>
        </w:rPr>
        <w:t>Quito</w:t>
      </w:r>
      <w:r w:rsidRPr="00262E54" w:rsidR="005469F2">
        <w:rPr>
          <w:b/>
          <w:bCs/>
        </w:rPr>
        <w:t>, 1</w:t>
      </w:r>
      <w:r w:rsidRPr="00262E54" w:rsidR="005A7CCD">
        <w:rPr>
          <w:b/>
          <w:bCs/>
        </w:rPr>
        <w:t>9</w:t>
      </w:r>
      <w:r w:rsidRPr="00262E54" w:rsidR="005469F2">
        <w:rPr>
          <w:b/>
          <w:bCs/>
        </w:rPr>
        <w:t xml:space="preserve"> </w:t>
      </w:r>
      <w:r w:rsidRPr="00262E54" w:rsidR="005A7CCD">
        <w:rPr>
          <w:b/>
          <w:bCs/>
        </w:rPr>
        <w:t>oktober</w:t>
      </w:r>
      <w:r w:rsidRPr="00262E54" w:rsidR="005469F2">
        <w:rPr>
          <w:b/>
          <w:bCs/>
        </w:rPr>
        <w:t xml:space="preserve"> 202</w:t>
      </w:r>
      <w:r w:rsidRPr="00262E54" w:rsidR="005A7CCD">
        <w:rPr>
          <w:b/>
          <w:bCs/>
        </w:rPr>
        <w:t>3</w:t>
      </w:r>
      <w:r w:rsidRPr="00262E54" w:rsidR="002904FE">
        <w:rPr>
          <w:b/>
          <w:bCs/>
        </w:rPr>
        <w:t xml:space="preserve"> </w:t>
      </w:r>
    </w:p>
    <w:p w:rsidRPr="00262E54" w:rsidR="00F60320" w:rsidP="00262E54" w:rsidRDefault="00BA1258" w14:paraId="480C29A9" w14:textId="5BD38CF9">
      <w:pPr>
        <w:pStyle w:val="Geenafstand"/>
        <w:rPr>
          <w:b/>
          <w:bCs/>
        </w:rPr>
      </w:pPr>
      <w:r w:rsidRPr="00262E54">
        <w:rPr>
          <w:b/>
          <w:bCs/>
        </w:rPr>
        <w:t>(</w:t>
      </w:r>
      <w:proofErr w:type="spellStart"/>
      <w:r w:rsidRPr="00262E54">
        <w:rPr>
          <w:b/>
          <w:bCs/>
          <w:i/>
          <w:iCs/>
        </w:rPr>
        <w:t>Trb</w:t>
      </w:r>
      <w:proofErr w:type="spellEnd"/>
      <w:r w:rsidRPr="00262E54">
        <w:rPr>
          <w:b/>
          <w:bCs/>
        </w:rPr>
        <w:t>. 202</w:t>
      </w:r>
      <w:r w:rsidRPr="00262E54" w:rsidR="0010703A">
        <w:rPr>
          <w:b/>
          <w:bCs/>
        </w:rPr>
        <w:t>3</w:t>
      </w:r>
      <w:r w:rsidRPr="00262E54" w:rsidR="00F60320">
        <w:rPr>
          <w:b/>
          <w:bCs/>
        </w:rPr>
        <w:t xml:space="preserve">, </w:t>
      </w:r>
      <w:r w:rsidRPr="00262E54" w:rsidR="0010703A">
        <w:rPr>
          <w:b/>
          <w:bCs/>
        </w:rPr>
        <w:t>125</w:t>
      </w:r>
      <w:r w:rsidRPr="00262E54" w:rsidR="00F60320">
        <w:rPr>
          <w:b/>
          <w:bCs/>
        </w:rPr>
        <w:t>)</w:t>
      </w:r>
    </w:p>
    <w:p w:rsidR="00F60320" w:rsidP="00F60320" w:rsidRDefault="00F60320" w14:paraId="15A716A8" w14:textId="3672BA3D"/>
    <w:p w:rsidR="00F60320" w:rsidP="00F60320" w:rsidRDefault="00F60320" w14:paraId="5F769188" w14:textId="77777777"/>
    <w:p w:rsidRPr="007E20DE" w:rsidR="00F60320" w:rsidP="00F60320" w:rsidRDefault="00F60320" w14:paraId="62B9F2BC" w14:textId="77777777">
      <w:pPr>
        <w:tabs>
          <w:tab w:val="center" w:pos="4537"/>
        </w:tabs>
        <w:outlineLvl w:val="0"/>
      </w:pPr>
      <w:r w:rsidRPr="007E20DE">
        <w:rPr>
          <w:b/>
        </w:rPr>
        <w:t>TOELICHTENDE NOTA</w:t>
      </w:r>
    </w:p>
    <w:p w:rsidR="00F60320" w:rsidP="00F60320" w:rsidRDefault="00F60320" w14:paraId="12A1F875" w14:textId="77777777"/>
    <w:p w:rsidR="00F60320" w:rsidP="00F60320" w:rsidRDefault="00F60320" w14:paraId="35E20ACB" w14:textId="77777777">
      <w:pPr>
        <w:outlineLvl w:val="0"/>
      </w:pPr>
      <w:r>
        <w:rPr>
          <w:b/>
          <w:u w:val="single"/>
        </w:rPr>
        <w:t>1. Algemeen</w:t>
      </w:r>
    </w:p>
    <w:p w:rsidRPr="00765944" w:rsidR="00D3525C" w:rsidRDefault="00AE7787" w14:paraId="08C1FC07" w14:textId="15C26939">
      <w:pPr>
        <w:rPr>
          <w:iCs/>
        </w:rPr>
      </w:pPr>
      <w:r>
        <w:t xml:space="preserve">In </w:t>
      </w:r>
      <w:r w:rsidR="007F69F3">
        <w:t>september</w:t>
      </w:r>
      <w:r>
        <w:t xml:space="preserve"> 202</w:t>
      </w:r>
      <w:r w:rsidR="007F69F3">
        <w:t>3</w:t>
      </w:r>
      <w:r w:rsidRPr="00193F10" w:rsidR="00CF4F64">
        <w:t xml:space="preserve"> </w:t>
      </w:r>
      <w:r w:rsidRPr="00193F10" w:rsidR="00F60320">
        <w:t>hebben afrondende besprekingen</w:t>
      </w:r>
      <w:r w:rsidR="002904FE">
        <w:t xml:space="preserve"> plaatsgevonden over een verdrag </w:t>
      </w:r>
      <w:r w:rsidR="00F60320">
        <w:t xml:space="preserve">tussen het Koninkrijk der Nederlanden en </w:t>
      </w:r>
      <w:r w:rsidR="007F69F3">
        <w:t>de Republiek Ecuador</w:t>
      </w:r>
      <w:r w:rsidR="00A47270">
        <w:t xml:space="preserve"> inzake wederzijdse administratieve bijstand in douanezaken</w:t>
      </w:r>
      <w:r w:rsidR="0018667B">
        <w:t xml:space="preserve"> </w:t>
      </w:r>
      <w:r w:rsidR="00A61D26">
        <w:t>(hierna: ‘het Verdrag’)</w:t>
      </w:r>
      <w:r w:rsidR="00F60320">
        <w:t xml:space="preserve">. Tijdens deze besprekingen werd tussen de delegaties van het Koninkrijk der Nederlanden en van </w:t>
      </w:r>
      <w:r w:rsidR="00757F89">
        <w:t>de Republiek Ecuador</w:t>
      </w:r>
      <w:r w:rsidR="00F60320">
        <w:t xml:space="preserve"> overeenstemming bereikt over de verdragstekst.</w:t>
      </w:r>
      <w:r w:rsidR="00A16CBB">
        <w:rPr>
          <w:i/>
        </w:rPr>
        <w:t xml:space="preserve"> </w:t>
      </w:r>
      <w:r w:rsidR="009B7289">
        <w:rPr>
          <w:iCs/>
        </w:rPr>
        <w:t>Het Verdrag is op 19 oktober 2023 ondertekend tijdens een bezoek van de Staatssecretaris voor Toeslagen en Douane aan Ecuador.</w:t>
      </w:r>
    </w:p>
    <w:p w:rsidR="00D3525C" w:rsidRDefault="00D777A7" w14:paraId="14EE3CD0" w14:textId="337BBCA7">
      <w:r>
        <w:tab/>
      </w:r>
      <w:r w:rsidR="00F60320">
        <w:t xml:space="preserve">Voor een effectief douaneoptreden en een betere bestrijding van internationale fraude is het nodig te komen tot een versterkte samenwerking tussen de douaneadministraties van de landen binnen het Koninkrijk en </w:t>
      </w:r>
      <w:r w:rsidR="00FF1BA9">
        <w:t>de Republiek Ecuador</w:t>
      </w:r>
      <w:r w:rsidR="00F60320">
        <w:t xml:space="preserve">. Het onderhavige verdrag beoogt een bilateraal kader te scheppen waarbinnen de nauwere samenwerking gestalte kan krijgen. Het </w:t>
      </w:r>
      <w:r w:rsidR="00A61D26">
        <w:t>V</w:t>
      </w:r>
      <w:r w:rsidR="00F60320">
        <w:t>erdrag biedt de douanediensten van het Koninkrijk de mogelijkheid om essentiële in</w:t>
      </w:r>
      <w:r w:rsidR="00E30880">
        <w:t>formatie uit te wisselen met de</w:t>
      </w:r>
      <w:r w:rsidR="00F60320">
        <w:t xml:space="preserve"> douane</w:t>
      </w:r>
      <w:r w:rsidR="00E30880">
        <w:t xml:space="preserve"> van </w:t>
      </w:r>
      <w:r w:rsidR="0010795E">
        <w:t>de Republiek Ecuador</w:t>
      </w:r>
      <w:r w:rsidR="00F60320">
        <w:t>.</w:t>
      </w:r>
    </w:p>
    <w:p w:rsidR="00D3525C" w:rsidRDefault="00D777A7" w14:paraId="129FA7BF" w14:textId="2A242492">
      <w:r>
        <w:tab/>
      </w:r>
      <w:r w:rsidR="00F60320">
        <w:t xml:space="preserve">Het </w:t>
      </w:r>
      <w:r w:rsidR="00A61D26">
        <w:t>V</w:t>
      </w:r>
      <w:r w:rsidR="00F60320">
        <w:t>erdrag dient enerzijds om fraude met betrekking tot de douanerechten (“klassieke” smokkel) t</w:t>
      </w:r>
      <w:r w:rsidR="00C06EC4">
        <w:t>e bestrijden en</w:t>
      </w:r>
      <w:r w:rsidR="00F60320">
        <w:t xml:space="preserve"> ter bestrijding van ontduiking van (andere) belastingen bij invoer en ter bestrijding van overtredingen van sanitaire en fytosanitaire maatregelen, de geneesmiddelenwetgeving, verboden met betrekkingen tot de in- of uitvoer van afvalstoffen en van andere verboden en beperkingen bij in- en uitvoer, zoals drugssmokkel of smokkel van namaakartikelen. </w:t>
      </w:r>
      <w:r w:rsidR="00C06EC4">
        <w:t>Anderzijds ka</w:t>
      </w:r>
      <w:r w:rsidR="00FB6CB3">
        <w:t>n de beoogde informatie</w:t>
      </w:r>
      <w:r w:rsidR="00A61D26">
        <w:t>-</w:t>
      </w:r>
      <w:r w:rsidR="00FB6CB3">
        <w:t>uitwiss</w:t>
      </w:r>
      <w:r w:rsidR="00C06EC4">
        <w:t>e</w:t>
      </w:r>
      <w:r w:rsidR="00FB6CB3">
        <w:t>l</w:t>
      </w:r>
      <w:r w:rsidR="00C06EC4">
        <w:t>ing ook bijdragen aan een betere informatiepositie en daarmee tot beter risicobeheer waardoor de legitieme handel kan worden bevorderd.</w:t>
      </w:r>
      <w:r w:rsidR="00565CDC">
        <w:t xml:space="preserve"> Daarmee levert dit verdrag een belangrijke bijdrage aan de bestrijding van drugssmokkel.</w:t>
      </w:r>
    </w:p>
    <w:p w:rsidR="00F60320" w:rsidP="00D777A7" w:rsidRDefault="00D777A7" w14:paraId="510B99DF" w14:textId="2E4F227F">
      <w:r>
        <w:tab/>
      </w:r>
      <w:r w:rsidR="00F60320">
        <w:t>Wat betreft opzet en bewoording</w:t>
      </w:r>
      <w:r w:rsidR="002904FE">
        <w:t>en</w:t>
      </w:r>
      <w:r w:rsidR="00F60320">
        <w:t xml:space="preserve"> is het </w:t>
      </w:r>
      <w:r w:rsidR="00A61D26">
        <w:t>V</w:t>
      </w:r>
      <w:r w:rsidR="00F60320">
        <w:t>e</w:t>
      </w:r>
      <w:r w:rsidR="002904FE">
        <w:t>rdrag goeddeels gebaseerd op het</w:t>
      </w:r>
      <w:r w:rsidR="00F60320">
        <w:t xml:space="preserve"> modelverdrag dat is ontwikkeld door de Wereld Douane Organisatie (WDO)</w:t>
      </w:r>
      <w:r w:rsidR="00EA59E8">
        <w:t>.</w:t>
      </w:r>
      <w:r w:rsidR="00F60320">
        <w:rPr>
          <w:rStyle w:val="Voetnootmarkering"/>
        </w:rPr>
        <w:footnoteReference w:id="1"/>
      </w:r>
      <w:r w:rsidR="00F60320">
        <w:t xml:space="preserve"> Zoals het internationaal gebruikelijk is om op het gebied van de verdragen ter voorkoming van dubbele belasting</w:t>
      </w:r>
      <w:r w:rsidR="00525221">
        <w:t xml:space="preserve"> het modelverdrag van de Organi</w:t>
      </w:r>
      <w:r w:rsidR="00F60320">
        <w:t>satie voor Economische Samenwerking en Ontwikkeling (OESO) tot uitgangspunt te nemen voor de onderhandelingen, zo wordt dit WDO-modelverdrag als basis gebruikt voor bilaterale</w:t>
      </w:r>
      <w:r w:rsidR="005469F2">
        <w:t xml:space="preserve"> </w:t>
      </w:r>
      <w:r w:rsidR="00F60320">
        <w:t xml:space="preserve">verdragen inzake wederzijdse administratieve bijstand in douanezaken. Het </w:t>
      </w:r>
      <w:r w:rsidR="00A61D26">
        <w:t>V</w:t>
      </w:r>
      <w:r w:rsidR="00F60320">
        <w:t xml:space="preserve">erdrag regelt nauwkeurig tot hoever de samenwerking tussen de douaneadministraties strekt en beperkt zich </w:t>
      </w:r>
      <w:proofErr w:type="gramStart"/>
      <w:r w:rsidR="00F60320">
        <w:t>daarbij</w:t>
      </w:r>
      <w:proofErr w:type="gramEnd"/>
      <w:r w:rsidR="00F60320">
        <w:t xml:space="preserve"> tot de maatregelen die voor een doeltreffende samenwerking noodzakelijk zijn. </w:t>
      </w:r>
    </w:p>
    <w:p w:rsidR="008D1B74" w:rsidP="008D137A" w:rsidRDefault="00D777A7" w14:paraId="372C4B4E" w14:textId="41280B39">
      <w:pPr>
        <w:rPr>
          <w:rFonts w:cs="Arial"/>
        </w:rPr>
      </w:pPr>
      <w:r>
        <w:tab/>
      </w:r>
      <w:r w:rsidR="00F60320">
        <w:t xml:space="preserve">Het </w:t>
      </w:r>
      <w:r w:rsidR="00A61D26">
        <w:t>V</w:t>
      </w:r>
      <w:r w:rsidR="002904FE">
        <w:t xml:space="preserve">erdrag </w:t>
      </w:r>
      <w:r w:rsidR="00F60320">
        <w:t xml:space="preserve">ziet alleen op de administratieve samenwerking tussen douaneautoriteiten en bestrijkt niet het terrein van de tussen rechterlijke autoriteiten te verlenen internationale rechtshulp in </w:t>
      </w:r>
      <w:r w:rsidR="00525221">
        <w:rPr>
          <w:rFonts w:cs="Arial"/>
        </w:rPr>
        <w:t>strafzaken.</w:t>
      </w:r>
    </w:p>
    <w:p w:rsidR="00D566C3" w:rsidP="008D137A" w:rsidRDefault="00D566C3" w14:paraId="265F0FC0" w14:textId="77777777">
      <w:pPr>
        <w:rPr>
          <w:rFonts w:cs="Arial"/>
        </w:rPr>
      </w:pPr>
    </w:p>
    <w:p w:rsidR="008D1B74" w:rsidP="00A3757A" w:rsidRDefault="008D1B74" w14:paraId="69769ACF" w14:textId="17514EE0">
      <w:pPr>
        <w:rPr>
          <w:b/>
          <w:u w:val="single"/>
        </w:rPr>
      </w:pPr>
      <w:r>
        <w:rPr>
          <w:b/>
          <w:u w:val="single"/>
        </w:rPr>
        <w:t>2. Gegevensbescherming</w:t>
      </w:r>
    </w:p>
    <w:p w:rsidR="00A3757A" w:rsidP="00A3757A" w:rsidRDefault="00473D96" w14:paraId="6503D56D" w14:textId="2E89B334">
      <w:pPr>
        <w:rPr>
          <w:bCs/>
        </w:rPr>
      </w:pPr>
      <w:r w:rsidRPr="001F620E">
        <w:t>De Europese regelgeving over de bescherming van persoonsgegevens in de EU is in 2018 gewijzigd</w:t>
      </w:r>
      <w:r w:rsidRPr="001F620E" w:rsidR="00A3757A">
        <w:t>. M</w:t>
      </w:r>
      <w:r w:rsidRPr="001F620E">
        <w:t xml:space="preserve">et ingang van 25 mei 2018 is Verordening (EU) 2016/679 van het Europees Parlement en de Raad van 27 april 2016 betreffende de bescherming van natuurlijke personen in verband met de verwerking van persoonsgegevens en betreffende het vrije verkeer van die gegevens en tot intrekking </w:t>
      </w:r>
      <w:r w:rsidRPr="001B2F3C">
        <w:t>van Richtlijn 95/46/EG (</w:t>
      </w:r>
      <w:r w:rsidR="00151762">
        <w:t>hierna: ‘</w:t>
      </w:r>
      <w:r w:rsidR="00FD138B">
        <w:t>A</w:t>
      </w:r>
      <w:r w:rsidRPr="001B2F3C">
        <w:t>lgemene verordening gegevensbescherming</w:t>
      </w:r>
      <w:r w:rsidR="00151762">
        <w:t>’</w:t>
      </w:r>
      <w:r w:rsidRPr="001B2F3C">
        <w:t>) (</w:t>
      </w:r>
      <w:proofErr w:type="spellStart"/>
      <w:r w:rsidRPr="001B2F3C">
        <w:rPr>
          <w:i/>
          <w:iCs/>
        </w:rPr>
        <w:t>PbEU</w:t>
      </w:r>
      <w:proofErr w:type="spellEnd"/>
      <w:r w:rsidRPr="001B2F3C">
        <w:t xml:space="preserve"> 2016, L 119) rechtstreeks van toepassing in de EU-lidstaten</w:t>
      </w:r>
      <w:r w:rsidRPr="001B2F3C" w:rsidR="00A3757A">
        <w:t xml:space="preserve">. </w:t>
      </w:r>
      <w:r w:rsidRPr="001B2F3C" w:rsidR="00E6328D">
        <w:t xml:space="preserve">In </w:t>
      </w:r>
      <w:r w:rsidR="00D566C3">
        <w:t xml:space="preserve">(Europees) </w:t>
      </w:r>
      <w:r w:rsidRPr="001B2F3C" w:rsidR="00E6328D">
        <w:t xml:space="preserve">Nederland zijn nadere regels gesteld in de </w:t>
      </w:r>
      <w:r w:rsidRPr="001B2F3C" w:rsidR="00A3757A">
        <w:rPr>
          <w:bCs/>
        </w:rPr>
        <w:t>Uitvoeringswet Algemene verordening gegevensbescherming</w:t>
      </w:r>
      <w:r w:rsidR="001B2F3C">
        <w:rPr>
          <w:bCs/>
        </w:rPr>
        <w:t xml:space="preserve"> </w:t>
      </w:r>
      <w:r w:rsidRPr="001B2F3C" w:rsidR="00E6328D">
        <w:rPr>
          <w:bCs/>
        </w:rPr>
        <w:t>(</w:t>
      </w:r>
      <w:r w:rsidRPr="00EA59E8" w:rsidR="00E6328D">
        <w:rPr>
          <w:bCs/>
          <w:i/>
          <w:iCs/>
        </w:rPr>
        <w:t>Stb</w:t>
      </w:r>
      <w:r w:rsidRPr="001B2F3C" w:rsidR="001B2F3C">
        <w:rPr>
          <w:bCs/>
        </w:rPr>
        <w:t>.</w:t>
      </w:r>
      <w:r w:rsidRPr="001B2F3C" w:rsidR="00BC6F66">
        <w:rPr>
          <w:bCs/>
        </w:rPr>
        <w:t xml:space="preserve"> 2018, </w:t>
      </w:r>
      <w:r w:rsidRPr="001B2F3C" w:rsidR="001F620E">
        <w:rPr>
          <w:bCs/>
        </w:rPr>
        <w:t>144).</w:t>
      </w:r>
    </w:p>
    <w:p w:rsidRPr="001B2F3C" w:rsidR="00CD6224" w:rsidP="00A3757A" w:rsidRDefault="005469F2" w14:paraId="1D2786F6" w14:textId="17107882">
      <w:pPr>
        <w:rPr>
          <w:b/>
          <w:bCs/>
        </w:rPr>
      </w:pPr>
      <w:r>
        <w:rPr>
          <w:bCs/>
        </w:rPr>
        <w:tab/>
      </w:r>
      <w:r w:rsidRPr="00923E16" w:rsidR="00CD6224">
        <w:rPr>
          <w:bCs/>
        </w:rPr>
        <w:t xml:space="preserve">De </w:t>
      </w:r>
      <w:r w:rsidR="00FD138B">
        <w:rPr>
          <w:bCs/>
        </w:rPr>
        <w:t>A</w:t>
      </w:r>
      <w:r w:rsidR="004146EB">
        <w:rPr>
          <w:bCs/>
        </w:rPr>
        <w:t xml:space="preserve">lgemene verordening gegevensbescherming </w:t>
      </w:r>
      <w:r w:rsidRPr="00923E16" w:rsidR="00CD6224">
        <w:rPr>
          <w:bCs/>
        </w:rPr>
        <w:t xml:space="preserve">kent twee basisprincipes in relatie tot internationale gegevensuitwisseling: er moet een juridische grondslag zijn voor de gegevensuitwisseling en de betrokken partijen zijn verplicht om passende waarborgen te bieden ter bescherming van persoonsgegevens. Uitgangspunt is dat persoonsgegevens slechts worden doorgegeven naar een land buiten de Europese Unie indien dat land een passend beschermingsniveau waarborgt. </w:t>
      </w:r>
      <w:r w:rsidRPr="00456007" w:rsidR="00CD6224">
        <w:t xml:space="preserve"> </w:t>
      </w:r>
    </w:p>
    <w:p w:rsidR="00A16CBB" w:rsidP="00473D96" w:rsidRDefault="005469F2" w14:paraId="5948469C" w14:textId="318C8634">
      <w:r>
        <w:tab/>
      </w:r>
      <w:r w:rsidRPr="001B2F3C" w:rsidR="00A3757A">
        <w:t>Verder is de</w:t>
      </w:r>
      <w:r w:rsidRPr="001B2F3C" w:rsidR="00473D96">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w:t>
      </w:r>
      <w:proofErr w:type="spellStart"/>
      <w:r w:rsidRPr="001B2F3C" w:rsidR="00473D96">
        <w:rPr>
          <w:i/>
          <w:iCs/>
        </w:rPr>
        <w:t>PbEU</w:t>
      </w:r>
      <w:proofErr w:type="spellEnd"/>
      <w:r w:rsidRPr="001B2F3C" w:rsidR="00473D96">
        <w:t xml:space="preserve"> 2016, L 119)</w:t>
      </w:r>
      <w:r w:rsidRPr="001B2F3C" w:rsidR="00A3757A">
        <w:t xml:space="preserve"> </w:t>
      </w:r>
      <w:r w:rsidRPr="001B2F3C" w:rsidR="00E6328D">
        <w:t>van belang. I</w:t>
      </w:r>
      <w:r w:rsidRPr="001B2F3C" w:rsidR="00A3757A">
        <w:t xml:space="preserve">n Nederland </w:t>
      </w:r>
      <w:r w:rsidRPr="001B2F3C" w:rsidR="00E6328D">
        <w:t xml:space="preserve">is deze richtlijn </w:t>
      </w:r>
      <w:r w:rsidRPr="001B2F3C" w:rsidR="00473D96">
        <w:t xml:space="preserve">omgezet in </w:t>
      </w:r>
      <w:r w:rsidRPr="001B2F3C" w:rsidR="00A3757A">
        <w:t>de Wet tot wijziging van de Wet politiegegevens en de Wet justitiële en strafvorderlijke gegevens</w:t>
      </w:r>
      <w:r w:rsidRPr="001B2F3C" w:rsidR="00473D96">
        <w:t>.</w:t>
      </w:r>
      <w:r w:rsidR="001B2F3C">
        <w:t xml:space="preserve"> </w:t>
      </w:r>
      <w:r w:rsidRPr="001B2F3C" w:rsidR="001B2F3C">
        <w:t>(</w:t>
      </w:r>
      <w:r w:rsidRPr="009F4FA9" w:rsidR="001B2F3C">
        <w:rPr>
          <w:i/>
          <w:iCs/>
        </w:rPr>
        <w:t>Stb</w:t>
      </w:r>
      <w:r w:rsidRPr="001B2F3C" w:rsidR="001B2F3C">
        <w:t>. 2018, 401</w:t>
      </w:r>
      <w:r w:rsidRPr="001B2F3C" w:rsidR="00E6328D">
        <w:t>)</w:t>
      </w:r>
      <w:r w:rsidR="008D1B74">
        <w:t xml:space="preserve">. </w:t>
      </w:r>
      <w:r w:rsidRPr="001B2F3C" w:rsidR="00473D96">
        <w:t>D</w:t>
      </w:r>
      <w:r w:rsidRPr="001B2F3C" w:rsidR="009B376E">
        <w:t>eze nieuwe wet-</w:t>
      </w:r>
      <w:r w:rsidRPr="001B2F3C" w:rsidR="00E6328D">
        <w:t xml:space="preserve"> </w:t>
      </w:r>
      <w:r w:rsidRPr="001B2F3C" w:rsidR="009B376E">
        <w:t>en regelgeving</w:t>
      </w:r>
      <w:r w:rsidRPr="001B2F3C" w:rsidR="00473D96">
        <w:t xml:space="preserve"> was aanleiding voor het Koninkrijk om de wijze waarop de gegevensbescherming wordt geregeld in douaneverdragen te wijzigen. </w:t>
      </w:r>
    </w:p>
    <w:p w:rsidR="0095464E" w:rsidP="00473D96" w:rsidRDefault="0095464E" w14:paraId="72CCD775" w14:textId="77777777"/>
    <w:p w:rsidR="00DC020A" w:rsidP="00473D96" w:rsidRDefault="00D566C3" w14:paraId="2D1E4E96" w14:textId="66893176">
      <w:r>
        <w:tab/>
      </w:r>
      <w:r w:rsidR="00CC4737">
        <w:t xml:space="preserve">De </w:t>
      </w:r>
      <w:r>
        <w:t>Caribische</w:t>
      </w:r>
      <w:r w:rsidR="00CC4737">
        <w:t xml:space="preserve"> landen </w:t>
      </w:r>
      <w:r w:rsidR="003748C4">
        <w:t>van</w:t>
      </w:r>
      <w:r w:rsidR="00CC4737">
        <w:t xml:space="preserve"> het Koninkrijk </w:t>
      </w:r>
      <w:r w:rsidR="001F75FC">
        <w:t xml:space="preserve">(Aruba, Curaçao en </w:t>
      </w:r>
      <w:proofErr w:type="gramStart"/>
      <w:r w:rsidR="001F75FC">
        <w:t>Sint Maarten</w:t>
      </w:r>
      <w:proofErr w:type="gramEnd"/>
      <w:r w:rsidR="001F75FC">
        <w:t xml:space="preserve">) </w:t>
      </w:r>
      <w:r w:rsidR="00CC4737">
        <w:t xml:space="preserve">en Caribisch Nederland </w:t>
      </w:r>
      <w:r w:rsidR="001F75FC">
        <w:t xml:space="preserve">(Bonaire, Sint Eustatius en Saba) </w:t>
      </w:r>
      <w:r w:rsidR="00CC4737">
        <w:t>zijn</w:t>
      </w:r>
      <w:r w:rsidR="001F747B">
        <w:t xml:space="preserve"> niet gebonden aan de </w:t>
      </w:r>
      <w:r w:rsidR="00FD138B">
        <w:t>A</w:t>
      </w:r>
      <w:r w:rsidR="001F747B">
        <w:t>lgemene verordening gegevensbescherming en Richtlijn (EU) 2016/680</w:t>
      </w:r>
      <w:r w:rsidR="00CC4737">
        <w:t>,</w:t>
      </w:r>
      <w:r w:rsidR="001F747B">
        <w:t xml:space="preserve"> en </w:t>
      </w:r>
      <w:r w:rsidR="00772936">
        <w:t>k</w:t>
      </w:r>
      <w:r w:rsidR="001F747B">
        <w:t>en</w:t>
      </w:r>
      <w:r w:rsidR="00CC4737">
        <w:t>nen</w:t>
      </w:r>
      <w:r w:rsidR="00772936">
        <w:t xml:space="preserve"> een eigen juridisch kader voor de bescherming van persoonsgegevens </w:t>
      </w:r>
      <w:r w:rsidR="00CC4737">
        <w:t>waar belanghebbenden zich op kunnen beroepen</w:t>
      </w:r>
      <w:r w:rsidR="00772936">
        <w:t xml:space="preserve">. </w:t>
      </w:r>
      <w:r w:rsidR="00E34FC1">
        <w:t>V</w:t>
      </w:r>
      <w:r w:rsidR="00B1376B">
        <w:t xml:space="preserve">oor Aruba </w:t>
      </w:r>
      <w:r w:rsidR="00E34FC1">
        <w:t xml:space="preserve">is dit </w:t>
      </w:r>
      <w:r w:rsidR="004429DF">
        <w:t>de Landsverordening persoonsregistraties (</w:t>
      </w:r>
      <w:r w:rsidRPr="00565B4F" w:rsidR="004429DF">
        <w:rPr>
          <w:i/>
          <w:iCs/>
        </w:rPr>
        <w:t>A</w:t>
      </w:r>
      <w:r w:rsidRPr="00565B4F" w:rsidR="00364458">
        <w:rPr>
          <w:i/>
          <w:iCs/>
        </w:rPr>
        <w:t>B</w:t>
      </w:r>
      <w:r w:rsidR="004429DF">
        <w:t xml:space="preserve"> 2011</w:t>
      </w:r>
      <w:r w:rsidR="00364458">
        <w:t>, 37</w:t>
      </w:r>
      <w:r w:rsidR="004429DF">
        <w:t>)</w:t>
      </w:r>
      <w:r w:rsidR="006C0C99">
        <w:t>, v</w:t>
      </w:r>
      <w:r w:rsidR="002B505D">
        <w:t>oor Curaçao de Landsverordening bescherming persoonsgegevens (</w:t>
      </w:r>
      <w:r w:rsidRPr="00565B4F" w:rsidR="002B505D">
        <w:rPr>
          <w:i/>
          <w:iCs/>
        </w:rPr>
        <w:t>A</w:t>
      </w:r>
      <w:r w:rsidRPr="00565B4F" w:rsidR="00BD6791">
        <w:rPr>
          <w:i/>
          <w:iCs/>
        </w:rPr>
        <w:t>B</w:t>
      </w:r>
      <w:r w:rsidR="002B505D">
        <w:t xml:space="preserve"> 2010</w:t>
      </w:r>
      <w:r w:rsidR="00BD6791">
        <w:t>,</w:t>
      </w:r>
      <w:r w:rsidR="002B505D">
        <w:t xml:space="preserve"> 84)</w:t>
      </w:r>
      <w:r w:rsidR="006C0C99">
        <w:t>, v</w:t>
      </w:r>
      <w:r w:rsidR="008A5273">
        <w:t xml:space="preserve">oor </w:t>
      </w:r>
      <w:proofErr w:type="gramStart"/>
      <w:r w:rsidR="008A5273">
        <w:t>Sint Maarten</w:t>
      </w:r>
      <w:proofErr w:type="gramEnd"/>
      <w:r w:rsidR="008A5273">
        <w:t xml:space="preserve"> de Landsverordening bescherming persoonsgegevens (</w:t>
      </w:r>
      <w:r w:rsidRPr="00565B4F" w:rsidR="008A5273">
        <w:rPr>
          <w:i/>
          <w:iCs/>
        </w:rPr>
        <w:t>A</w:t>
      </w:r>
      <w:r w:rsidRPr="00565B4F" w:rsidR="00BD6791">
        <w:rPr>
          <w:i/>
          <w:iCs/>
        </w:rPr>
        <w:t>B</w:t>
      </w:r>
      <w:r w:rsidR="008A5273">
        <w:t xml:space="preserve"> 201</w:t>
      </w:r>
      <w:r w:rsidR="00265E7F">
        <w:t>0 GT nr. 2 en AB 201</w:t>
      </w:r>
      <w:r w:rsidR="008A5273">
        <w:t>9</w:t>
      </w:r>
      <w:r w:rsidR="00BD6791">
        <w:t>,</w:t>
      </w:r>
      <w:r w:rsidR="008A5273">
        <w:t xml:space="preserve"> 2</w:t>
      </w:r>
      <w:r w:rsidR="00265E7F">
        <w:t>5 (artikel 37)</w:t>
      </w:r>
      <w:r w:rsidR="008A5273">
        <w:t>)</w:t>
      </w:r>
      <w:r w:rsidR="00B83E5D">
        <w:t>,</w:t>
      </w:r>
      <w:r w:rsidR="006C0C99">
        <w:t xml:space="preserve"> en v</w:t>
      </w:r>
      <w:r w:rsidR="00F16B10">
        <w:t xml:space="preserve">oor </w:t>
      </w:r>
      <w:r w:rsidR="00AC3CFB">
        <w:t>Caribisch Nederland</w:t>
      </w:r>
      <w:r w:rsidR="00F16B10">
        <w:t xml:space="preserve"> </w:t>
      </w:r>
      <w:r w:rsidR="00E34FC1">
        <w:t xml:space="preserve">betreft dit </w:t>
      </w:r>
      <w:r w:rsidR="00F16B10">
        <w:t>de Wet bescherming persoonsgegevens BES</w:t>
      </w:r>
      <w:r w:rsidR="001639F5">
        <w:t xml:space="preserve"> (</w:t>
      </w:r>
      <w:r w:rsidRPr="00565B4F" w:rsidR="001639F5">
        <w:rPr>
          <w:i/>
          <w:iCs/>
        </w:rPr>
        <w:t>Stb.</w:t>
      </w:r>
      <w:r w:rsidR="001639F5">
        <w:t xml:space="preserve"> 2014, 541)</w:t>
      </w:r>
      <w:r w:rsidR="00F16B10">
        <w:t xml:space="preserve">. </w:t>
      </w:r>
    </w:p>
    <w:p w:rsidR="00AE12B1" w:rsidP="00473D96" w:rsidRDefault="00AE12B1" w14:paraId="0918D0EB" w14:textId="66B6C82C"/>
    <w:p w:rsidR="00306AD6" w:rsidP="00473D96" w:rsidRDefault="00473D96" w14:paraId="057E1737" w14:textId="280C70A8">
      <w:r>
        <w:t>De gegevensbescherming is geregeld in</w:t>
      </w:r>
      <w:r w:rsidRPr="00365A12">
        <w:t xml:space="preserve"> </w:t>
      </w:r>
      <w:r w:rsidR="00525221">
        <w:t>artikel 17</w:t>
      </w:r>
      <w:r>
        <w:t xml:space="preserve"> van het Verdrag</w:t>
      </w:r>
      <w:r w:rsidR="000F0B30">
        <w:t xml:space="preserve"> en in een Bijlage bij het Verdrag met </w:t>
      </w:r>
      <w:r w:rsidR="00D03C54">
        <w:t xml:space="preserve">daarin </w:t>
      </w:r>
      <w:r w:rsidR="000F0B30">
        <w:t xml:space="preserve">de beginselen van bescherming van persoonsgegevens waaraan </w:t>
      </w:r>
      <w:r w:rsidR="009F4FA9">
        <w:t>p</w:t>
      </w:r>
      <w:r w:rsidR="000F0B30">
        <w:t>artijen zich dienen te houden</w:t>
      </w:r>
      <w:r>
        <w:t xml:space="preserve">. In het </w:t>
      </w:r>
      <w:r w:rsidR="00F70F6A">
        <w:t>tweede</w:t>
      </w:r>
      <w:r>
        <w:t xml:space="preserve"> lid van artikel </w:t>
      </w:r>
      <w:r w:rsidR="00D03C54">
        <w:t xml:space="preserve">17 </w:t>
      </w:r>
      <w:r>
        <w:t>wordt bepaald dat op basis van het Verdrag verstrekte</w:t>
      </w:r>
      <w:r w:rsidRPr="007E7011">
        <w:t xml:space="preserve"> persoon</w:t>
      </w:r>
      <w:r>
        <w:t>sgegevens</w:t>
      </w:r>
      <w:r w:rsidRPr="007E7011">
        <w:t xml:space="preserve"> </w:t>
      </w:r>
      <w:r>
        <w:t>ten minste beschermd dienen te worden o</w:t>
      </w:r>
      <w:r w:rsidRPr="007E7011">
        <w:t xml:space="preserve">vereenkomstig </w:t>
      </w:r>
      <w:r>
        <w:t xml:space="preserve">het niveau van bescherming voorzien in </w:t>
      </w:r>
      <w:r w:rsidRPr="007E7011">
        <w:t xml:space="preserve">de </w:t>
      </w:r>
      <w:r>
        <w:t xml:space="preserve">wet- en </w:t>
      </w:r>
      <w:r w:rsidRPr="007E7011">
        <w:t xml:space="preserve">regelgeving van </w:t>
      </w:r>
      <w:r>
        <w:t xml:space="preserve">het verstrekkende land. </w:t>
      </w:r>
      <w:r w:rsidR="004D04CF">
        <w:t xml:space="preserve">Op grond van de Bijlage mogen persoonsgegevens alleen worden verstrekt aan een bevoegde douaneadministratie van een </w:t>
      </w:r>
      <w:r w:rsidR="004D04CF">
        <w:lastRenderedPageBreak/>
        <w:t xml:space="preserve">van de verdragspartijen, die deze niet met een andere instantie kan delen zonder voorafgaande toestemming van de verstrekkende </w:t>
      </w:r>
      <w:r w:rsidR="00D5136F">
        <w:t xml:space="preserve">partij. </w:t>
      </w:r>
      <w:r w:rsidR="007615E5">
        <w:t xml:space="preserve">De verstrekte persoonsgegevens mogen alleen worden bewaard voor de tijd die noodzakelijk is voor het doel waarvoor </w:t>
      </w:r>
      <w:r w:rsidR="00ED0EFE">
        <w:t>ze zijn</w:t>
      </w:r>
      <w:r w:rsidR="007615E5">
        <w:t xml:space="preserve"> geleverd en word</w:t>
      </w:r>
      <w:r w:rsidR="00ED0EFE">
        <w:t>en</w:t>
      </w:r>
      <w:r w:rsidR="007615E5">
        <w:t xml:space="preserve"> beschermd tegen ongeoorloofde toegang, wijziging of verspreiding. </w:t>
      </w:r>
      <w:r w:rsidR="00002C54">
        <w:t xml:space="preserve">De douaneadministratie die de gegevens verstrekt, heeft de plicht om, voor zover mogelijk, ervoor te zorgen dat deze </w:t>
      </w:r>
      <w:r w:rsidR="005908B1">
        <w:t xml:space="preserve">gegevens eerlijk en rechtmatig worden verzameld en nauwkeurig en up-to-date zijn. </w:t>
      </w:r>
      <w:r w:rsidR="001C0C4A">
        <w:t xml:space="preserve">De aansprakelijkheid voor eventuele schade als gevolg van het gebruik van persoonsgegevens is vastgesteld in overeenstemming met de nationale wettelijke en bestuursrechtelijke bepalingen. </w:t>
      </w:r>
    </w:p>
    <w:p w:rsidR="00AE12B1" w:rsidP="00473D96" w:rsidRDefault="00AE12B1" w14:paraId="0F71A06A" w14:textId="77777777"/>
    <w:p w:rsidR="00122154" w:rsidP="00473D96" w:rsidRDefault="00306AD6" w14:paraId="6866BFE3" w14:textId="54E2DF87">
      <w:r>
        <w:t xml:space="preserve">In Ecuador </w:t>
      </w:r>
      <w:r w:rsidR="00BF76F5">
        <w:t xml:space="preserve">is het recht op bescherming van persoonsgegevens </w:t>
      </w:r>
      <w:r w:rsidR="00122154">
        <w:t xml:space="preserve">vastgelegd </w:t>
      </w:r>
      <w:r w:rsidR="00BF76F5">
        <w:t xml:space="preserve">in </w:t>
      </w:r>
      <w:r w:rsidR="00122154">
        <w:t>artikel 66, tweede lid, en artikel 92 van de Grondwet van Ecuador</w:t>
      </w:r>
      <w:r w:rsidR="00BF76F5">
        <w:t xml:space="preserve">. </w:t>
      </w:r>
      <w:r w:rsidR="00245B70">
        <w:t xml:space="preserve">Deze bepalingen bevatten </w:t>
      </w:r>
      <w:r w:rsidR="006371C7">
        <w:t xml:space="preserve">de rechten van datasubjecten, zoals </w:t>
      </w:r>
      <w:r w:rsidR="001E2675">
        <w:t>het</w:t>
      </w:r>
      <w:r w:rsidR="00E862AC">
        <w:t xml:space="preserve"> recht</w:t>
      </w:r>
      <w:r w:rsidR="00A53DF2">
        <w:t xml:space="preserve"> van inzage</w:t>
      </w:r>
      <w:r w:rsidR="00512504">
        <w:t xml:space="preserve">, </w:t>
      </w:r>
      <w:r w:rsidR="00D108B0">
        <w:t xml:space="preserve">het </w:t>
      </w:r>
      <w:r w:rsidR="00512504">
        <w:t>recht op rectificatie</w:t>
      </w:r>
      <w:r w:rsidR="00157093">
        <w:t xml:space="preserve"> en het recht van bezwaar</w:t>
      </w:r>
      <w:r w:rsidR="001E2675">
        <w:t xml:space="preserve">. </w:t>
      </w:r>
      <w:r w:rsidR="00241C13">
        <w:t xml:space="preserve">De Ecuadoriaanse wetgeving over de bescherming van persoonsgegevens is </w:t>
      </w:r>
      <w:r w:rsidR="00122154">
        <w:t xml:space="preserve">nader </w:t>
      </w:r>
      <w:r w:rsidR="00241C13">
        <w:t xml:space="preserve">uitgewerkt in de </w:t>
      </w:r>
      <w:r w:rsidR="00290915">
        <w:t>Organieke wet op de bescherming van persoonsgegevens (</w:t>
      </w:r>
      <w:proofErr w:type="spellStart"/>
      <w:r w:rsidRPr="009F4FA9" w:rsidR="00290915">
        <w:rPr>
          <w:i/>
          <w:iCs/>
        </w:rPr>
        <w:t>Ley</w:t>
      </w:r>
      <w:proofErr w:type="spellEnd"/>
      <w:r w:rsidRPr="009F4FA9" w:rsidR="00290915">
        <w:rPr>
          <w:i/>
          <w:iCs/>
        </w:rPr>
        <w:t xml:space="preserve"> </w:t>
      </w:r>
      <w:proofErr w:type="spellStart"/>
      <w:r w:rsidRPr="009F4FA9" w:rsidR="00290915">
        <w:rPr>
          <w:i/>
          <w:iCs/>
        </w:rPr>
        <w:t>Orgánica</w:t>
      </w:r>
      <w:proofErr w:type="spellEnd"/>
      <w:r w:rsidRPr="009F4FA9" w:rsidR="00290915">
        <w:rPr>
          <w:i/>
          <w:iCs/>
        </w:rPr>
        <w:t xml:space="preserve"> de </w:t>
      </w:r>
      <w:proofErr w:type="spellStart"/>
      <w:r w:rsidRPr="009F4FA9" w:rsidR="00290915">
        <w:rPr>
          <w:i/>
          <w:iCs/>
        </w:rPr>
        <w:t>Protección</w:t>
      </w:r>
      <w:proofErr w:type="spellEnd"/>
      <w:r w:rsidRPr="009F4FA9" w:rsidR="00290915">
        <w:rPr>
          <w:i/>
          <w:iCs/>
        </w:rPr>
        <w:t xml:space="preserve"> de </w:t>
      </w:r>
      <w:proofErr w:type="spellStart"/>
      <w:r w:rsidRPr="009F4FA9" w:rsidR="00290915">
        <w:rPr>
          <w:i/>
          <w:iCs/>
        </w:rPr>
        <w:t>Datos</w:t>
      </w:r>
      <w:proofErr w:type="spellEnd"/>
      <w:r w:rsidRPr="009F4FA9" w:rsidR="00290915">
        <w:rPr>
          <w:i/>
          <w:iCs/>
        </w:rPr>
        <w:t xml:space="preserve"> </w:t>
      </w:r>
      <w:proofErr w:type="spellStart"/>
      <w:r w:rsidRPr="009F4FA9" w:rsidR="00290915">
        <w:rPr>
          <w:i/>
          <w:iCs/>
        </w:rPr>
        <w:t>Personales</w:t>
      </w:r>
      <w:proofErr w:type="spellEnd"/>
      <w:r w:rsidR="009F4FA9">
        <w:t>)</w:t>
      </w:r>
      <w:r w:rsidR="00290915">
        <w:t xml:space="preserve">. </w:t>
      </w:r>
      <w:r w:rsidR="00840C20">
        <w:t>De</w:t>
      </w:r>
      <w:r w:rsidR="005A271D">
        <w:t>ze</w:t>
      </w:r>
      <w:r w:rsidR="00840C20">
        <w:t xml:space="preserve"> wet bevat</w:t>
      </w:r>
      <w:r w:rsidR="004E13C6">
        <w:t xml:space="preserve"> waarborgen </w:t>
      </w:r>
      <w:r w:rsidR="00840C20">
        <w:t>voor</w:t>
      </w:r>
      <w:r w:rsidR="004E13C6">
        <w:t xml:space="preserve"> de uitoefening van het recht op de bescherming op persoonsgegevens</w:t>
      </w:r>
      <w:r w:rsidR="00B70E4D">
        <w:t xml:space="preserve">. </w:t>
      </w:r>
      <w:r w:rsidR="00B2440C">
        <w:t xml:space="preserve">De wet </w:t>
      </w:r>
      <w:r w:rsidR="00840C20">
        <w:t xml:space="preserve">bepaalt </w:t>
      </w:r>
      <w:r w:rsidR="00CF0361">
        <w:t xml:space="preserve">in </w:t>
      </w:r>
      <w:r w:rsidR="00BF6117">
        <w:t>a</w:t>
      </w:r>
      <w:r w:rsidR="00CF0361">
        <w:t xml:space="preserve">rtikel 7 </w:t>
      </w:r>
      <w:r w:rsidR="00B2440C">
        <w:t xml:space="preserve">voor welk doel en </w:t>
      </w:r>
      <w:r w:rsidR="00D443DD">
        <w:t xml:space="preserve">met </w:t>
      </w:r>
      <w:r w:rsidR="006A12F9">
        <w:t xml:space="preserve">welke </w:t>
      </w:r>
      <w:r w:rsidR="00B2440C">
        <w:t xml:space="preserve">reikwijdte de gegevens mogen worden verzameld en gebruikt. </w:t>
      </w:r>
      <w:r w:rsidR="00CA60BD">
        <w:t xml:space="preserve">Hoofdstuk III van de wet </w:t>
      </w:r>
      <w:r w:rsidR="008F6800">
        <w:t>omvat onder meer het r</w:t>
      </w:r>
      <w:r w:rsidR="002F1DA1">
        <w:t xml:space="preserve">echt op informatie, </w:t>
      </w:r>
      <w:r w:rsidR="008F6800">
        <w:t xml:space="preserve">het </w:t>
      </w:r>
      <w:r w:rsidR="002F1DA1">
        <w:t xml:space="preserve">recht op toegang, </w:t>
      </w:r>
      <w:r w:rsidR="008F6800">
        <w:t xml:space="preserve">het </w:t>
      </w:r>
      <w:r w:rsidR="002F1DA1">
        <w:t xml:space="preserve">recht op rectificatie en bijwerking, </w:t>
      </w:r>
      <w:r w:rsidR="008F6800">
        <w:t xml:space="preserve">het </w:t>
      </w:r>
      <w:r w:rsidR="002F1DA1">
        <w:t xml:space="preserve">recht van </w:t>
      </w:r>
      <w:r w:rsidR="00840C20">
        <w:t>verwijdering</w:t>
      </w:r>
      <w:r w:rsidR="002F1DA1">
        <w:t xml:space="preserve">, </w:t>
      </w:r>
      <w:r w:rsidR="008F6800">
        <w:t xml:space="preserve">en het </w:t>
      </w:r>
      <w:r w:rsidR="000040D1">
        <w:t>recht van raadpleging</w:t>
      </w:r>
      <w:r w:rsidR="00840C20">
        <w:t xml:space="preserve"> van persoonsgegevens</w:t>
      </w:r>
      <w:r w:rsidR="000040D1">
        <w:t xml:space="preserve">. </w:t>
      </w:r>
      <w:r w:rsidR="00840C20">
        <w:t xml:space="preserve">Deze rechten kunnen op grond van de wet worden ingeroepen </w:t>
      </w:r>
      <w:r w:rsidR="00A03945">
        <w:t>bij</w:t>
      </w:r>
      <w:r w:rsidR="00840C20">
        <w:t xml:space="preserve"> </w:t>
      </w:r>
      <w:r w:rsidR="0074466F">
        <w:t>de persoon die verantwoordelijk is voor de behandeling</w:t>
      </w:r>
      <w:r w:rsidR="00840C20">
        <w:t xml:space="preserve"> van de persoonsgegevens</w:t>
      </w:r>
      <w:r w:rsidR="0074466F">
        <w:t>,</w:t>
      </w:r>
      <w:r w:rsidR="00A03945">
        <w:t xml:space="preserve"> bij bevoegde rechters, of bij</w:t>
      </w:r>
      <w:r w:rsidR="0074466F">
        <w:t xml:space="preserve"> de</w:t>
      </w:r>
      <w:r w:rsidR="00844C77">
        <w:t xml:space="preserve"> Ecuadoraanse</w:t>
      </w:r>
      <w:r w:rsidR="0074466F">
        <w:t xml:space="preserve"> </w:t>
      </w:r>
      <w:r w:rsidR="00844C77">
        <w:t>A</w:t>
      </w:r>
      <w:r w:rsidR="0074466F">
        <w:t xml:space="preserve">utoriteit </w:t>
      </w:r>
      <w:r w:rsidR="00A03945">
        <w:t>P</w:t>
      </w:r>
      <w:r w:rsidR="0074466F">
        <w:t>ersoonsgegevens</w:t>
      </w:r>
      <w:r w:rsidR="00A03945">
        <w:t xml:space="preserve"> (</w:t>
      </w:r>
      <w:r w:rsidRPr="009F4FA9" w:rsidR="00A03945">
        <w:rPr>
          <w:i/>
          <w:iCs/>
        </w:rPr>
        <w:t xml:space="preserve">la </w:t>
      </w:r>
      <w:proofErr w:type="spellStart"/>
      <w:r w:rsidRPr="009F4FA9" w:rsidR="00A03945">
        <w:rPr>
          <w:i/>
          <w:iCs/>
        </w:rPr>
        <w:t>Autoridad</w:t>
      </w:r>
      <w:proofErr w:type="spellEnd"/>
      <w:r w:rsidRPr="009F4FA9" w:rsidR="00A03945">
        <w:rPr>
          <w:i/>
          <w:iCs/>
        </w:rPr>
        <w:t xml:space="preserve"> de </w:t>
      </w:r>
      <w:proofErr w:type="spellStart"/>
      <w:r w:rsidRPr="009F4FA9" w:rsidR="00A03945">
        <w:rPr>
          <w:i/>
          <w:iCs/>
        </w:rPr>
        <w:t>Protección</w:t>
      </w:r>
      <w:proofErr w:type="spellEnd"/>
      <w:r w:rsidRPr="009F4FA9" w:rsidR="00A03945">
        <w:rPr>
          <w:i/>
          <w:iCs/>
        </w:rPr>
        <w:t xml:space="preserve"> de </w:t>
      </w:r>
      <w:proofErr w:type="spellStart"/>
      <w:r w:rsidRPr="009F4FA9" w:rsidR="00A03945">
        <w:rPr>
          <w:i/>
          <w:iCs/>
        </w:rPr>
        <w:t>Datos</w:t>
      </w:r>
      <w:proofErr w:type="spellEnd"/>
      <w:r w:rsidRPr="009F4FA9" w:rsidR="00A03945">
        <w:rPr>
          <w:i/>
          <w:iCs/>
        </w:rPr>
        <w:t xml:space="preserve"> </w:t>
      </w:r>
      <w:proofErr w:type="spellStart"/>
      <w:r w:rsidRPr="009F4FA9" w:rsidR="00A03945">
        <w:rPr>
          <w:i/>
          <w:iCs/>
        </w:rPr>
        <w:t>Personales</w:t>
      </w:r>
      <w:proofErr w:type="spellEnd"/>
      <w:r w:rsidR="00A03945">
        <w:t>), die ook fungeert als toezichthouder.</w:t>
      </w:r>
      <w:r w:rsidR="0074466F">
        <w:t xml:space="preserve"> </w:t>
      </w:r>
      <w:r w:rsidR="00890E2A">
        <w:t xml:space="preserve">De uitwisseling van persoonsgegevens met derde landen is </w:t>
      </w:r>
      <w:r w:rsidR="00A03945">
        <w:t xml:space="preserve">op grond van de Ecuadoriaanse wet </w:t>
      </w:r>
      <w:r w:rsidR="00890E2A">
        <w:t>toegestaan voor zover die</w:t>
      </w:r>
      <w:r w:rsidR="00A03945">
        <w:t xml:space="preserve"> landen</w:t>
      </w:r>
      <w:r w:rsidR="00890E2A">
        <w:t xml:space="preserve"> een passend beschermingsniveau hebben en voldoen aan de verplichting tot naleving en garantie van internationaal erkende normen die in </w:t>
      </w:r>
      <w:r w:rsidR="00065809">
        <w:t xml:space="preserve">lijn </w:t>
      </w:r>
      <w:r w:rsidR="00890E2A">
        <w:t xml:space="preserve">zijn met de criteria die zijn vastgesteld in de Ecuadoriaanse wetgeving. </w:t>
      </w:r>
      <w:r w:rsidR="009847E8">
        <w:t xml:space="preserve">Afgezien van het beschermingsniveau in Ecuador is de </w:t>
      </w:r>
      <w:r w:rsidR="003018CB">
        <w:t xml:space="preserve">internationale </w:t>
      </w:r>
      <w:r w:rsidR="009847E8">
        <w:t xml:space="preserve">uitwisseling van gegevens </w:t>
      </w:r>
      <w:r w:rsidR="008B7768">
        <w:t xml:space="preserve">blijkens artikel 60 van de wet </w:t>
      </w:r>
      <w:r w:rsidR="009847E8">
        <w:t>onder omstandigheden ook toegestaan indien deze uitwisseling noodzakelijk is vanwege gewichtige redenen van algemeen belang</w:t>
      </w:r>
      <w:r w:rsidR="008B7768">
        <w:t xml:space="preserve">, zoals de </w:t>
      </w:r>
      <w:r w:rsidR="00443891">
        <w:t xml:space="preserve">gegevensuitwisseling van douanediensten met het oog op de aanpak van belastingontduiking </w:t>
      </w:r>
      <w:r w:rsidR="009C0C30">
        <w:t>of</w:t>
      </w:r>
      <w:r w:rsidR="00443891">
        <w:t xml:space="preserve"> </w:t>
      </w:r>
      <w:r w:rsidR="008B7768">
        <w:t xml:space="preserve">bestrijding van douanefraude. </w:t>
      </w:r>
    </w:p>
    <w:p w:rsidR="00122154" w:rsidP="00473D96" w:rsidRDefault="00122154" w14:paraId="15BE8189" w14:textId="77777777"/>
    <w:p w:rsidRPr="00AD398D" w:rsidR="00473D96" w:rsidP="00473D96" w:rsidRDefault="00EB60FF" w14:paraId="44C9A3A4" w14:textId="40024860">
      <w:r>
        <w:t xml:space="preserve">Gelet op het voorgaande zullen persoonsgegevens </w:t>
      </w:r>
      <w:r w:rsidR="009B31E7">
        <w:t>die door Nederland worden verstrekt op basis van het Verdrag in Ecuador een beschermingsniveau genieten dat ten minste gelijk is aan dat in Nederland en in de Europese Unie</w:t>
      </w:r>
      <w:r w:rsidR="001A7595">
        <w:t xml:space="preserve"> in </w:t>
      </w:r>
      <w:r w:rsidR="00B37CDA">
        <w:t xml:space="preserve">overeenstemming met </w:t>
      </w:r>
      <w:r w:rsidR="001A7595">
        <w:t xml:space="preserve">de </w:t>
      </w:r>
      <w:r w:rsidR="00FD138B">
        <w:t>A</w:t>
      </w:r>
      <w:r w:rsidR="001A7595">
        <w:t>lgemene verordening gegevensbescherming en, waar van toepassing, Richtlijn 2016/680 (omgezet in de W</w:t>
      </w:r>
      <w:r w:rsidRPr="001B2F3C" w:rsidR="001A7595">
        <w:t>et tot wijziging van de Wet politiegegevens en de Wet justitiële en strafvorderlijke gegevens</w:t>
      </w:r>
      <w:r w:rsidR="001A7595">
        <w:t>)</w:t>
      </w:r>
      <w:r w:rsidR="00E0794F">
        <w:t>.</w:t>
      </w:r>
      <w:r w:rsidR="009B31E7">
        <w:t xml:space="preserve"> </w:t>
      </w:r>
      <w:r w:rsidR="009459F9">
        <w:t xml:space="preserve">Ten aanzien van de Ecuadoraanse autoriteiten </w:t>
      </w:r>
      <w:r w:rsidR="00691B92">
        <w:t xml:space="preserve">is het verdrag bindend en afdwingbaar voor betrokkenen via de aldaar geldende wetgeving </w:t>
      </w:r>
      <w:r w:rsidR="00D40FB0">
        <w:t>(</w:t>
      </w:r>
      <w:proofErr w:type="spellStart"/>
      <w:r w:rsidRPr="00565B4F" w:rsidR="00D40FB0">
        <w:rPr>
          <w:i/>
          <w:iCs/>
        </w:rPr>
        <w:t>Ley</w:t>
      </w:r>
      <w:proofErr w:type="spellEnd"/>
      <w:r w:rsidRPr="00565B4F" w:rsidR="00D40FB0">
        <w:rPr>
          <w:i/>
          <w:iCs/>
        </w:rPr>
        <w:t xml:space="preserve"> </w:t>
      </w:r>
      <w:proofErr w:type="spellStart"/>
      <w:r w:rsidRPr="00565B4F" w:rsidR="00D40FB0">
        <w:rPr>
          <w:i/>
          <w:iCs/>
        </w:rPr>
        <w:t>Orgánica</w:t>
      </w:r>
      <w:proofErr w:type="spellEnd"/>
      <w:r w:rsidRPr="00565B4F" w:rsidR="00D40FB0">
        <w:rPr>
          <w:i/>
          <w:iCs/>
        </w:rPr>
        <w:t xml:space="preserve"> de </w:t>
      </w:r>
      <w:proofErr w:type="spellStart"/>
      <w:r w:rsidRPr="00565B4F" w:rsidR="00D40FB0">
        <w:rPr>
          <w:i/>
          <w:iCs/>
        </w:rPr>
        <w:t>Protección</w:t>
      </w:r>
      <w:proofErr w:type="spellEnd"/>
      <w:r w:rsidRPr="00565B4F" w:rsidR="00D40FB0">
        <w:rPr>
          <w:i/>
          <w:iCs/>
        </w:rPr>
        <w:t xml:space="preserve"> de </w:t>
      </w:r>
      <w:proofErr w:type="spellStart"/>
      <w:r w:rsidRPr="00565B4F" w:rsidR="00D40FB0">
        <w:rPr>
          <w:i/>
          <w:iCs/>
        </w:rPr>
        <w:t>Datos</w:t>
      </w:r>
      <w:proofErr w:type="spellEnd"/>
      <w:r w:rsidRPr="00565B4F" w:rsidR="00D40FB0">
        <w:rPr>
          <w:i/>
          <w:iCs/>
        </w:rPr>
        <w:t xml:space="preserve"> </w:t>
      </w:r>
      <w:proofErr w:type="spellStart"/>
      <w:r w:rsidRPr="00565B4F" w:rsidR="00D40FB0">
        <w:rPr>
          <w:i/>
          <w:iCs/>
        </w:rPr>
        <w:t>Personales</w:t>
      </w:r>
      <w:proofErr w:type="spellEnd"/>
      <w:r w:rsidR="00D40FB0">
        <w:t xml:space="preserve">). </w:t>
      </w:r>
      <w:r w:rsidR="00AA1BD9">
        <w:t>De verdragspartijen</w:t>
      </w:r>
      <w:r w:rsidR="00473D96">
        <w:t xml:space="preserve"> stellen elkaar vóór inwerkingtreding</w:t>
      </w:r>
      <w:r w:rsidR="00840C20">
        <w:t xml:space="preserve"> van het Verdrag</w:t>
      </w:r>
      <w:r w:rsidR="00473D96">
        <w:t xml:space="preserve"> op de hoogte van alle relevante nationale wet- en regelgeving. Pas daarna kan uitwisseling van persoonsgegevens op basis van het Verdrag plaatsvinden. In geval van latere wijzigingen van de wet</w:t>
      </w:r>
      <w:r w:rsidR="00193F10">
        <w:t>- en regel</w:t>
      </w:r>
      <w:r w:rsidR="00473D96">
        <w:t xml:space="preserve">geving zullen </w:t>
      </w:r>
      <w:r w:rsidR="00AA1BD9">
        <w:t xml:space="preserve">de </w:t>
      </w:r>
      <w:r w:rsidR="00473D96">
        <w:t xml:space="preserve">partijen elkaar over </w:t>
      </w:r>
      <w:r w:rsidR="00473D96">
        <w:lastRenderedPageBreak/>
        <w:t xml:space="preserve">de inhoud van die wijzigingen informeren. </w:t>
      </w:r>
    </w:p>
    <w:p w:rsidR="004714E6" w:rsidP="00F60320" w:rsidRDefault="004714E6" w14:paraId="4E28095F" w14:textId="77777777"/>
    <w:p w:rsidRPr="00565B4F" w:rsidR="008649F5" w:rsidP="00F60320" w:rsidRDefault="008649F5" w14:paraId="664AC120" w14:textId="6DF3E8D8">
      <w:pPr>
        <w:rPr>
          <w:b/>
          <w:bCs/>
        </w:rPr>
      </w:pPr>
      <w:r w:rsidRPr="00565B4F">
        <w:rPr>
          <w:b/>
          <w:bCs/>
        </w:rPr>
        <w:t>3. Europese Unie</w:t>
      </w:r>
    </w:p>
    <w:p w:rsidR="008649F5" w:rsidP="00F60320" w:rsidRDefault="002B19EE" w14:paraId="0A946995" w14:textId="4B864F66">
      <w:r>
        <w:t xml:space="preserve">Het Verdrag </w:t>
      </w:r>
      <w:r w:rsidR="00811FA3">
        <w:t xml:space="preserve">bevordert in het </w:t>
      </w:r>
      <w:r>
        <w:t xml:space="preserve">in Europa gelegen deel van het Koninkrijk </w:t>
      </w:r>
      <w:r w:rsidR="00811FA3">
        <w:t xml:space="preserve">een </w:t>
      </w:r>
      <w:r>
        <w:t xml:space="preserve">nog doelmatiger </w:t>
      </w:r>
      <w:r w:rsidR="00811FA3">
        <w:t xml:space="preserve">uitvoering van </w:t>
      </w:r>
      <w:r>
        <w:t>de verplichtingen die de E</w:t>
      </w:r>
      <w:r w:rsidR="00791002">
        <w:t xml:space="preserve">uropese </w:t>
      </w:r>
      <w:r>
        <w:t>U</w:t>
      </w:r>
      <w:r w:rsidR="00791002">
        <w:t>nie</w:t>
      </w:r>
      <w:r>
        <w:t xml:space="preserve"> oplegt, in overeenstemming met het Unierecht. In dit kader is ook de </w:t>
      </w:r>
      <w:r w:rsidR="00EB1919">
        <w:t>Handelsovereenkomst tussen de E</w:t>
      </w:r>
      <w:r w:rsidR="00791002">
        <w:t xml:space="preserve">uropese </w:t>
      </w:r>
      <w:r w:rsidR="00EB1919">
        <w:t>U</w:t>
      </w:r>
      <w:r w:rsidR="00791002">
        <w:t>nie</w:t>
      </w:r>
      <w:r w:rsidR="00EB1919">
        <w:t xml:space="preserve"> en </w:t>
      </w:r>
      <w:r w:rsidR="00682999">
        <w:t>de Andeslanden (</w:t>
      </w:r>
      <w:r w:rsidR="00EB1919">
        <w:t>Colombia</w:t>
      </w:r>
      <w:r w:rsidR="00791002">
        <w:t xml:space="preserve">, </w:t>
      </w:r>
      <w:r w:rsidR="005C54C5">
        <w:t xml:space="preserve">Ecuador en </w:t>
      </w:r>
      <w:r w:rsidR="00EB1919">
        <w:t>Peru</w:t>
      </w:r>
      <w:r w:rsidR="00682999">
        <w:t xml:space="preserve">) </w:t>
      </w:r>
      <w:r w:rsidR="00A14C59">
        <w:t>(</w:t>
      </w:r>
      <w:proofErr w:type="spellStart"/>
      <w:r w:rsidR="00A14C59">
        <w:t>PbEU</w:t>
      </w:r>
      <w:proofErr w:type="spellEnd"/>
      <w:r w:rsidR="00A14C59">
        <w:t xml:space="preserve"> 2012, L 354) </w:t>
      </w:r>
      <w:r w:rsidR="00EB1919">
        <w:t>relevant. Ecuador is tot die Overeenkomst toegetreden op 1</w:t>
      </w:r>
      <w:r w:rsidR="00DB0741">
        <w:t xml:space="preserve"> januari 2017</w:t>
      </w:r>
      <w:r w:rsidR="00EB1919">
        <w:t xml:space="preserve"> (</w:t>
      </w:r>
      <w:proofErr w:type="spellStart"/>
      <w:r w:rsidRPr="00565B4F" w:rsidR="00EB1919">
        <w:rPr>
          <w:i/>
          <w:iCs/>
        </w:rPr>
        <w:t>Trb</w:t>
      </w:r>
      <w:proofErr w:type="spellEnd"/>
      <w:r w:rsidRPr="00565B4F" w:rsidR="00EB1919">
        <w:rPr>
          <w:i/>
          <w:iCs/>
        </w:rPr>
        <w:t>.</w:t>
      </w:r>
      <w:r w:rsidR="00EB1919">
        <w:t xml:space="preserve"> 2016, 191). </w:t>
      </w:r>
      <w:r w:rsidR="0071624E">
        <w:t xml:space="preserve">De Handelsovereenkomst bestrijkt de competenties </w:t>
      </w:r>
      <w:r w:rsidR="006E2BAB">
        <w:t xml:space="preserve">van de Europese Unie </w:t>
      </w:r>
      <w:r w:rsidR="0071624E">
        <w:t xml:space="preserve">op het gebied van de handel, maar ziet niet op nationale competenties waar de Nederlandse douane ook voor bevoegd is, zoals de bestrijding van drugssmokkel. </w:t>
      </w:r>
      <w:r w:rsidR="007574A8">
        <w:t xml:space="preserve">Wanneer sprake is van een EU-competentie gelden de bepalingen van de Handelsovereenkomst. Is er geen sprake van een </w:t>
      </w:r>
      <w:proofErr w:type="gramStart"/>
      <w:r w:rsidR="007574A8">
        <w:t>EU competentie</w:t>
      </w:r>
      <w:proofErr w:type="gramEnd"/>
      <w:r w:rsidR="007574A8">
        <w:t>, dan gelden de bepalingen van het Verdrag.</w:t>
      </w:r>
      <w:r w:rsidR="00266F2D">
        <w:t xml:space="preserve"> </w:t>
      </w:r>
      <w:r w:rsidR="007574A8">
        <w:t>I</w:t>
      </w:r>
      <w:r w:rsidR="00811FA3">
        <w:t xml:space="preserve">n bijlage V bij </w:t>
      </w:r>
      <w:r w:rsidR="00266F2D">
        <w:t>de Handelso</w:t>
      </w:r>
      <w:r w:rsidR="00811FA3">
        <w:t>vereenkomst is de administratieve samenwerking tussen douaneautoriteiten geregeld</w:t>
      </w:r>
      <w:r w:rsidR="00177F46">
        <w:t xml:space="preserve"> voor zover het de competenties omvat die op </w:t>
      </w:r>
      <w:proofErr w:type="gramStart"/>
      <w:r w:rsidR="00177F46">
        <w:t>EU niveau</w:t>
      </w:r>
      <w:proofErr w:type="gramEnd"/>
      <w:r w:rsidR="00177F46">
        <w:t xml:space="preserve"> zijn geregeld</w:t>
      </w:r>
      <w:r w:rsidR="00811FA3">
        <w:t>.</w:t>
      </w:r>
      <w:r w:rsidRPr="00565B4F" w:rsidR="007574A8">
        <w:rPr>
          <w:strike/>
        </w:rPr>
        <w:t xml:space="preserve">   </w:t>
      </w:r>
    </w:p>
    <w:p w:rsidR="00DF261B" w:rsidP="00F60320" w:rsidRDefault="00DF261B" w14:paraId="2ED22FF0" w14:textId="77777777"/>
    <w:p w:rsidR="00DF261B" w:rsidP="00F60320" w:rsidRDefault="00F112AB" w14:paraId="32A6F9E6" w14:textId="3EC3AC40">
      <w:r>
        <w:t>De</w:t>
      </w:r>
      <w:r w:rsidR="00DF261B">
        <w:t xml:space="preserve"> Caribisch</w:t>
      </w:r>
      <w:r w:rsidR="004B5520">
        <w:t>e</w:t>
      </w:r>
      <w:r w:rsidR="00DF261B">
        <w:t xml:space="preserve"> de</w:t>
      </w:r>
      <w:r>
        <w:t>len</w:t>
      </w:r>
      <w:r w:rsidR="00DF261B">
        <w:t xml:space="preserve"> van het Koninkrijk (Bonaire, Sint Eustatius en Saba, alsmede de landen Aruba, Curaçao en Sint Maarten) ma</w:t>
      </w:r>
      <w:r>
        <w:t>ken</w:t>
      </w:r>
      <w:r w:rsidR="00DF261B">
        <w:t xml:space="preserve"> geen deel uit van de Europese Unie</w:t>
      </w:r>
      <w:r w:rsidR="00C24A6D">
        <w:t xml:space="preserve">, met dien verstande dat er wel een associatieregeling van toepassing is (gestoeld op het vierde deel van het Verdrag betreffende de werking van de Europese Unie) </w:t>
      </w:r>
      <w:r w:rsidR="00F8556E">
        <w:t xml:space="preserve">en nader uitgewerkt in Besluit (EU) 2021/1764 van de Raad van 5 oktober 2021 </w:t>
      </w:r>
      <w:r w:rsidR="009A0334">
        <w:t>inzake</w:t>
      </w:r>
      <w:r w:rsidR="00F8556E">
        <w:t xml:space="preserve"> de associatie van de landen en gebieden overzee met de Europese Unie</w:t>
      </w:r>
      <w:r w:rsidR="009A0334">
        <w:t>, met inbegrip van de betrekkingen tussen de Europese Unie enerzijds en Groenland het Koninkrijk Denemarken anderzijds</w:t>
      </w:r>
      <w:r w:rsidR="00F8556E">
        <w:t xml:space="preserve">. </w:t>
      </w:r>
    </w:p>
    <w:p w:rsidRPr="00AD398D" w:rsidR="008649F5" w:rsidP="00F60320" w:rsidRDefault="008649F5" w14:paraId="4BAF3C7C" w14:textId="77777777"/>
    <w:p w:rsidR="00F60320" w:rsidP="00F60320" w:rsidRDefault="008649F5" w14:paraId="6B5C80FA" w14:textId="46934444">
      <w:pPr>
        <w:outlineLvl w:val="0"/>
        <w:rPr>
          <w:b/>
          <w:u w:val="single"/>
        </w:rPr>
      </w:pPr>
      <w:r>
        <w:rPr>
          <w:b/>
          <w:u w:val="single"/>
        </w:rPr>
        <w:t>4</w:t>
      </w:r>
      <w:r w:rsidR="00F60320">
        <w:rPr>
          <w:b/>
          <w:u w:val="single"/>
        </w:rPr>
        <w:t xml:space="preserve">. </w:t>
      </w:r>
      <w:proofErr w:type="gramStart"/>
      <w:r w:rsidR="00284A52">
        <w:rPr>
          <w:b/>
          <w:u w:val="single"/>
        </w:rPr>
        <w:t>Een</w:t>
      </w:r>
      <w:r w:rsidR="00A06040">
        <w:rPr>
          <w:b/>
          <w:u w:val="single"/>
        </w:rPr>
        <w:t xml:space="preserve"> </w:t>
      </w:r>
      <w:r w:rsidR="00284A52">
        <w:rPr>
          <w:b/>
          <w:u w:val="single"/>
        </w:rPr>
        <w:t>ieder</w:t>
      </w:r>
      <w:proofErr w:type="gramEnd"/>
      <w:r w:rsidR="00284A52">
        <w:rPr>
          <w:b/>
          <w:u w:val="single"/>
        </w:rPr>
        <w:t xml:space="preserve"> verbindende bepalingen</w:t>
      </w:r>
    </w:p>
    <w:p w:rsidR="00284A52" w:rsidP="00F60320" w:rsidRDefault="00284A52" w14:paraId="0AC1E503" w14:textId="77777777">
      <w:pPr>
        <w:outlineLvl w:val="0"/>
        <w:rPr>
          <w:b/>
          <w:u w:val="single"/>
        </w:rPr>
      </w:pPr>
    </w:p>
    <w:p w:rsidR="00284A52" w:rsidP="00284A52" w:rsidRDefault="00284A52" w14:paraId="6DE3F233" w14:textId="69B8B7FB">
      <w:r>
        <w:t xml:space="preserve">Naar het oordeel van de regering bevat het Verdrag </w:t>
      </w:r>
      <w:proofErr w:type="gramStart"/>
      <w:r>
        <w:t>een</w:t>
      </w:r>
      <w:r w:rsidR="00E34929">
        <w:t xml:space="preserve"> </w:t>
      </w:r>
      <w:r>
        <w:t>ieder</w:t>
      </w:r>
      <w:proofErr w:type="gramEnd"/>
      <w:r>
        <w:t xml:space="preserve"> verbindende bepalingen in de zin van de artikelen 93 en 94 Grondwet, die aan de burger rechtstreeks rechten toekennen of plichten opleggen. Het betreft artikel 2, vijfde lid, dat bepaalt dat door personen geen recht aan het Verdrag kan worden ontleend om de informatie-uitwisseling te beletten en de onderdelen 9, 10 en 11 van de Bijlage op grond waarvan de verdragspartijen aansprakelijk kunnen worden gehouden voor schade aan personen, personen inlichtingen kunnen vragen over de eigen persoonsgegevens en personen een klacht kunnen indienen.</w:t>
      </w:r>
    </w:p>
    <w:p w:rsidRPr="00D208B9" w:rsidR="00AA1BD9" w:rsidP="00284A52" w:rsidRDefault="00AA1BD9" w14:paraId="6E76FDB5" w14:textId="77777777"/>
    <w:p w:rsidR="00737DB4" w:rsidRDefault="00737DB4" w14:paraId="1488F0A8" w14:textId="77777777">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spacing w:after="200" w:line="276" w:lineRule="auto"/>
        <w:rPr>
          <w:b/>
          <w:u w:val="single"/>
        </w:rPr>
      </w:pPr>
      <w:r>
        <w:rPr>
          <w:b/>
          <w:u w:val="single"/>
        </w:rPr>
        <w:br w:type="page"/>
      </w:r>
    </w:p>
    <w:p w:rsidRPr="00D208B9" w:rsidR="004146EB" w:rsidP="004146EB" w:rsidRDefault="008649F5" w14:paraId="101F3C08" w14:textId="53D11ADF">
      <w:pPr>
        <w:rPr>
          <w:b/>
          <w:u w:val="single"/>
        </w:rPr>
      </w:pPr>
      <w:r>
        <w:rPr>
          <w:b/>
          <w:u w:val="single"/>
        </w:rPr>
        <w:lastRenderedPageBreak/>
        <w:t>5</w:t>
      </w:r>
      <w:r w:rsidRPr="00D208B9" w:rsidR="004146EB">
        <w:rPr>
          <w:b/>
          <w:u w:val="single"/>
        </w:rPr>
        <w:t xml:space="preserve">. </w:t>
      </w:r>
      <w:proofErr w:type="spellStart"/>
      <w:r w:rsidRPr="00D208B9" w:rsidR="004146EB">
        <w:rPr>
          <w:b/>
          <w:u w:val="single"/>
        </w:rPr>
        <w:t>Koninkrijkspositie</w:t>
      </w:r>
      <w:proofErr w:type="spellEnd"/>
    </w:p>
    <w:p w:rsidRPr="00163FE6" w:rsidR="004146EB" w:rsidP="004146EB" w:rsidRDefault="004146EB" w14:paraId="194EC617" w14:textId="5839E8EE">
      <w:r>
        <w:t xml:space="preserve">De regeringen van Aruba, Curaçao en </w:t>
      </w:r>
      <w:proofErr w:type="gramStart"/>
      <w:r>
        <w:t>Sint Maarten</w:t>
      </w:r>
      <w:proofErr w:type="gramEnd"/>
      <w:r>
        <w:t xml:space="preserve"> wensen de medegelding van het Verdrag voor hun land. Voor de uitvoering van het Verdrag is geen nadere uitvoeringsregelgeving vereist.</w:t>
      </w:r>
      <w:r w:rsidRPr="00D208B9">
        <w:t xml:space="preserve"> </w:t>
      </w:r>
    </w:p>
    <w:p w:rsidR="00F60320" w:rsidP="00F60320" w:rsidRDefault="00F60320" w14:paraId="11D16C7B" w14:textId="77777777"/>
    <w:p w:rsidR="00F60320" w:rsidP="00F60320" w:rsidRDefault="008649F5" w14:paraId="2A3B7743" w14:textId="7891D413">
      <w:pPr>
        <w:outlineLvl w:val="0"/>
      </w:pPr>
      <w:r>
        <w:rPr>
          <w:b/>
          <w:u w:val="single"/>
        </w:rPr>
        <w:t>6</w:t>
      </w:r>
      <w:r w:rsidR="00F60320">
        <w:rPr>
          <w:b/>
          <w:u w:val="single"/>
        </w:rPr>
        <w:t>. Artikelsgewijze toelichting</w:t>
      </w:r>
    </w:p>
    <w:p w:rsidR="00F60320" w:rsidP="00F60320" w:rsidRDefault="00F60320" w14:paraId="465B113E" w14:textId="77777777">
      <w:pPr>
        <w:rPr>
          <w:u w:val="single"/>
        </w:rPr>
      </w:pPr>
    </w:p>
    <w:p w:rsidR="00F60320" w:rsidP="00F60320" w:rsidRDefault="00F60320" w14:paraId="2EB15170" w14:textId="77777777">
      <w:pPr>
        <w:outlineLvl w:val="0"/>
      </w:pPr>
      <w:r>
        <w:rPr>
          <w:u w:val="single"/>
        </w:rPr>
        <w:t>Artikel 1</w:t>
      </w:r>
      <w:r>
        <w:t xml:space="preserve"> (</w:t>
      </w:r>
      <w:r>
        <w:rPr>
          <w:i/>
        </w:rPr>
        <w:t>Begripsomschrijvingen</w:t>
      </w:r>
      <w:r w:rsidRPr="000C311A">
        <w:t>)</w:t>
      </w:r>
    </w:p>
    <w:p w:rsidR="00DA6E7F" w:rsidP="00DA6E7F" w:rsidRDefault="00F60320" w14:paraId="638E0E53" w14:textId="52AAE3A7">
      <w:r>
        <w:t>Onder de term “douaneadministratie” wordt vers</w:t>
      </w:r>
      <w:r w:rsidR="002948BB">
        <w:t>taan de centrale nationale admi</w:t>
      </w:r>
      <w:r>
        <w:t xml:space="preserve">nistratieve autoriteit welke belast is met de uitvoering van de regelingen waarop de in het </w:t>
      </w:r>
      <w:r w:rsidR="00A61D26">
        <w:t>V</w:t>
      </w:r>
      <w:r w:rsidR="002948BB">
        <w:t>erdrag om</w:t>
      </w:r>
      <w:r>
        <w:t xml:space="preserve">schreven samenwerking betrekking heeft. De Nederlandse diensten die in de eerste plaats in aanmerking komen voor samenwerking in de zin van het Verdrag zijn de Douane, de Fiscale Inlichtingen- en Opsporingsdienst (FIOD) de Nederlandse Voedsel- en Warenautoriteit (NVWA) en de Inspectie Leefomgeving en Transport (ILT). Ook andere diensten met specifieke controletaken kunnen bij de samenwerking in het kader van het </w:t>
      </w:r>
      <w:r w:rsidR="00A61D26">
        <w:t>V</w:t>
      </w:r>
      <w:r>
        <w:t>erdrag betrokken</w:t>
      </w:r>
      <w:r w:rsidR="002948BB">
        <w:t xml:space="preserve"> zijn. Omwille van de duidelijk</w:t>
      </w:r>
      <w:r>
        <w:t xml:space="preserve">heid naar de verdragspartner en om het gevaar van versnippering van het aantal aanspreekpunten in </w:t>
      </w:r>
      <w:r>
        <w:rPr>
          <w:rFonts w:cs="Arial"/>
        </w:rPr>
        <w:t>het in Europa gelegen deel van het Koninkrijk</w:t>
      </w:r>
      <w:r>
        <w:t xml:space="preserve"> tegen te gaan, zal het Douane Informatie Centrum (DIC) te Rotterdam worden aangewezen als centraal aanspreekpunt. </w:t>
      </w:r>
      <w:r w:rsidR="00DA6E7F">
        <w:t xml:space="preserve">Het DIC geldt ook als aanspreekpunt voor Caribisch Nederland (Bonaire, </w:t>
      </w:r>
      <w:proofErr w:type="gramStart"/>
      <w:r w:rsidR="00DA6E7F">
        <w:t>Sint Eustatius</w:t>
      </w:r>
      <w:proofErr w:type="gramEnd"/>
      <w:r w:rsidR="00DA6E7F">
        <w:t xml:space="preserve"> en Saba). </w:t>
      </w:r>
    </w:p>
    <w:p w:rsidRPr="00907D81" w:rsidR="00DA6E7F" w:rsidP="00DA6E7F" w:rsidRDefault="00DA6E7F" w14:paraId="5BC881C8" w14:textId="745AECE0">
      <w:r>
        <w:tab/>
        <w:t xml:space="preserve">Voor de Caribische landen van het Koninkrijk (Aruba, Curaçao en </w:t>
      </w:r>
      <w:proofErr w:type="gramStart"/>
      <w:r>
        <w:t>Sint Maarten</w:t>
      </w:r>
      <w:proofErr w:type="gramEnd"/>
      <w:r>
        <w:t xml:space="preserve">) geldt ook dat diverse instanties, belast met de tenuitvoerlegging van de douanewetgeving, bij samenwerking in het kader van het Verdrag betrokken kunnen worden. Voor Aruba zal de Directeur van het Departement der Invoerrechten en Accijnzen worden aangewezen als centraal aanspreekpunt, voor Curaçao de Douane Curaçao en voor </w:t>
      </w:r>
      <w:proofErr w:type="gramStart"/>
      <w:r>
        <w:t>Sint Maarten</w:t>
      </w:r>
      <w:proofErr w:type="gramEnd"/>
      <w:r>
        <w:t xml:space="preserve"> de Dienst Douane ressorterend onder het Ministerie van Justitie.</w:t>
      </w:r>
    </w:p>
    <w:p w:rsidR="00F60320" w:rsidP="00F60320" w:rsidRDefault="00C44432" w14:paraId="3627CA9F" w14:textId="77777777">
      <w:r>
        <w:tab/>
      </w:r>
      <w:r w:rsidR="00F60320">
        <w:t xml:space="preserve">Het begrip “douanewetgeving” heeft, evenals het begrip “douaneadministratie”, in het </w:t>
      </w:r>
      <w:r w:rsidR="00A61D26">
        <w:t>V</w:t>
      </w:r>
      <w:r w:rsidR="00F60320">
        <w:t xml:space="preserve">erdrag een ruimere betekenis dan die welke daaraan in het algemeen wordt toegekend. Onder de werking van het </w:t>
      </w:r>
      <w:r w:rsidR="00A61D26">
        <w:t>V</w:t>
      </w:r>
      <w:r w:rsidR="00F60320">
        <w:t>erdrag vallen ten gevolge van deze definitie in ruime zin van de term “douanewetgeving” regelingen inzake de in-, uit- en doorvoer van goederen, hoofdzakelijk betreffende:</w:t>
      </w:r>
    </w:p>
    <w:p w:rsidR="00F60320" w:rsidP="00F60320" w:rsidRDefault="00F60320" w14:paraId="2F94FDFE" w14:textId="77777777">
      <w:pPr>
        <w:numPr>
          <w:ilvl w:val="0"/>
          <w:numId w:val="1"/>
        </w:numPr>
      </w:pPr>
      <w:proofErr w:type="gramStart"/>
      <w:r>
        <w:t>douanerechten</w:t>
      </w:r>
      <w:proofErr w:type="gramEnd"/>
      <w:r>
        <w:t xml:space="preserve"> alsmede omzetbelasting en accijnzen geheven ter zake van de invoer;</w:t>
      </w:r>
    </w:p>
    <w:p w:rsidR="00F60320" w:rsidP="00F60320" w:rsidRDefault="00F60320" w14:paraId="01E0D703" w14:textId="77777777">
      <w:pPr>
        <w:numPr>
          <w:ilvl w:val="0"/>
          <w:numId w:val="1"/>
        </w:numPr>
      </w:pPr>
      <w:proofErr w:type="gramStart"/>
      <w:r>
        <w:t>belastingen</w:t>
      </w:r>
      <w:proofErr w:type="gramEnd"/>
      <w:r>
        <w:t xml:space="preserve"> in het kader van het gemeenschappelijk landbouwbeleid en landbouwrestituties;</w:t>
      </w:r>
    </w:p>
    <w:p w:rsidR="00F60320" w:rsidP="00F60320" w:rsidRDefault="00F60320" w14:paraId="29A54A7C" w14:textId="77777777">
      <w:pPr>
        <w:numPr>
          <w:ilvl w:val="0"/>
          <w:numId w:val="1"/>
        </w:numPr>
      </w:pPr>
      <w:proofErr w:type="spellStart"/>
      <w:proofErr w:type="gramStart"/>
      <w:r>
        <w:t>anti</w:t>
      </w:r>
      <w:proofErr w:type="gramEnd"/>
      <w:r>
        <w:t>-dumpingrechten</w:t>
      </w:r>
      <w:proofErr w:type="spellEnd"/>
      <w:r>
        <w:t>;</w:t>
      </w:r>
    </w:p>
    <w:p w:rsidRPr="00C07365" w:rsidR="00F60320" w:rsidP="00F60320" w:rsidRDefault="00F60320" w14:paraId="452739F6" w14:textId="77777777">
      <w:pPr>
        <w:keepLines/>
        <w:numPr>
          <w:ilvl w:val="0"/>
          <w:numId w:val="1"/>
        </w:numPr>
        <w:ind w:left="284" w:hanging="284"/>
      </w:pPr>
      <w:proofErr w:type="gramStart"/>
      <w:r>
        <w:t>verboden</w:t>
      </w:r>
      <w:proofErr w:type="gramEnd"/>
      <w:r>
        <w:t xml:space="preserve">, beperkingen en controlemaatregelen inzake het grensoverschrijdende goederenverkeer ter bescherming van financiële, economische (landbouweconomische daaronder begrepen), culturele, veterinaire en fytosanitaire belangen en ter bescherming van de veiligheid van de </w:t>
      </w:r>
      <w:r w:rsidRPr="00C07365">
        <w:t xml:space="preserve">internationale logistieke keten, de openbare orde, de volksgezondheid en het milieu. </w:t>
      </w:r>
    </w:p>
    <w:p w:rsidR="00F60320" w:rsidP="00F60320" w:rsidRDefault="00F60320" w14:paraId="0CE764B8" w14:textId="08CCC3DA">
      <w:r w:rsidRPr="00C07365">
        <w:t xml:space="preserve">Bij de begripsomschrijvingen van artikel 1 is voorts een definitie van persoonsgegevens opgenomen, </w:t>
      </w:r>
      <w:r w:rsidRPr="00C07365" w:rsidR="009B376E">
        <w:t>die overeenkomt met d</w:t>
      </w:r>
      <w:r w:rsidRPr="00C07365" w:rsidR="00E6328D">
        <w:t xml:space="preserve">e definitie in de </w:t>
      </w:r>
      <w:r w:rsidR="00151762">
        <w:t>algemene verordening gegevensbescherming</w:t>
      </w:r>
      <w:r w:rsidRPr="00C07365" w:rsidR="00E6328D">
        <w:t xml:space="preserve">. </w:t>
      </w:r>
      <w:r w:rsidRPr="00C07365">
        <w:t>De overige definities betreffen term</w:t>
      </w:r>
      <w:r w:rsidRPr="00C07365" w:rsidR="004D3CEE">
        <w:t>en die in het onderhavige ver</w:t>
      </w:r>
      <w:r w:rsidRPr="00C07365">
        <w:t>drag regelmatig worden gebruikt.</w:t>
      </w:r>
    </w:p>
    <w:p w:rsidR="00F60320" w:rsidP="00F60320" w:rsidRDefault="00F60320" w14:paraId="240F8BDC" w14:textId="77777777"/>
    <w:p w:rsidRPr="00826D65" w:rsidR="00AE37BD" w:rsidP="00F60320" w:rsidRDefault="00AE37BD" w14:paraId="08388C59" w14:textId="77777777"/>
    <w:p w:rsidR="00F60320" w:rsidP="00F60320" w:rsidRDefault="00F60320" w14:paraId="0375466D" w14:textId="77777777">
      <w:r>
        <w:rPr>
          <w:u w:val="single"/>
        </w:rPr>
        <w:lastRenderedPageBreak/>
        <w:t>Artikel 2</w:t>
      </w:r>
      <w:r>
        <w:t xml:space="preserve"> (</w:t>
      </w:r>
      <w:r w:rsidR="00A47A6F">
        <w:rPr>
          <w:i/>
        </w:rPr>
        <w:t>R</w:t>
      </w:r>
      <w:r w:rsidRPr="00AF0997">
        <w:rPr>
          <w:i/>
        </w:rPr>
        <w:t>eikwijdte</w:t>
      </w:r>
      <w:r w:rsidR="00A47A6F">
        <w:rPr>
          <w:i/>
        </w:rPr>
        <w:t xml:space="preserve"> van het </w:t>
      </w:r>
      <w:r w:rsidR="00A61D26">
        <w:rPr>
          <w:i/>
        </w:rPr>
        <w:t>V</w:t>
      </w:r>
      <w:r w:rsidR="00A47A6F">
        <w:rPr>
          <w:i/>
        </w:rPr>
        <w:t>erdrag</w:t>
      </w:r>
      <w:r>
        <w:rPr>
          <w:i/>
        </w:rPr>
        <w:t>)</w:t>
      </w:r>
    </w:p>
    <w:p w:rsidR="00D3525C" w:rsidRDefault="00F020D3" w14:paraId="451B6C5C" w14:textId="57A0B62E">
      <w:r>
        <w:t>Dit</w:t>
      </w:r>
      <w:r w:rsidRPr="00D208B9">
        <w:t xml:space="preserve"> </w:t>
      </w:r>
      <w:r w:rsidRPr="00D208B9" w:rsidR="00A47A6F">
        <w:t>artikel omschrijft het kader waarbinnen de administratieve bijstand wordt verleend, zowel vanuit nationaal perspectief als in internationaal verband. Wat dit laatste betreft, moet voor Nederland met name worden gedacht aan verplichtingen uit hoofde van de Europese regelgeving op dit vlak.</w:t>
      </w:r>
    </w:p>
    <w:p w:rsidR="00782193" w:rsidP="00A47A6F" w:rsidRDefault="00A47A6F" w14:paraId="0B76B20A" w14:textId="77777777">
      <w:r w:rsidRPr="00D208B9">
        <w:t>Hier kan in het bijzonder worden verwezen naar Verordening (EG) nr. 515/97 van de Raad van 13 maart 1997 betreffende de wederzijdse bijstand tussen de administratieve autoriteiten van de lidstaten en de samenwerking tussen deze autoriteiten en de Commissie met het oog op de juiste toepassing van de douane- en landbouwvoorschriften</w:t>
      </w:r>
      <w:r w:rsidRPr="008F1E98" w:rsidR="008F1E98">
        <w:t xml:space="preserve"> </w:t>
      </w:r>
      <w:r w:rsidRPr="00D208B9">
        <w:t>(</w:t>
      </w:r>
      <w:proofErr w:type="spellStart"/>
      <w:r w:rsidRPr="00491BCB">
        <w:rPr>
          <w:i/>
          <w:iCs/>
        </w:rPr>
        <w:t>PbEG</w:t>
      </w:r>
      <w:proofErr w:type="spellEnd"/>
      <w:r w:rsidRPr="00D208B9">
        <w:t xml:space="preserve"> </w:t>
      </w:r>
      <w:r>
        <w:t xml:space="preserve">1997, </w:t>
      </w:r>
      <w:r w:rsidRPr="00D208B9">
        <w:t xml:space="preserve">L 82). </w:t>
      </w:r>
      <w:r>
        <w:t>Op basis</w:t>
      </w:r>
      <w:r w:rsidRPr="00D208B9">
        <w:t xml:space="preserve"> van </w:t>
      </w:r>
      <w:r w:rsidR="0017054B">
        <w:t xml:space="preserve">artikelen 15 en 18 van </w:t>
      </w:r>
      <w:r w:rsidRPr="00D208B9">
        <w:t xml:space="preserve">deze verordening zijn de lidstaten verplicht om onder bepaalde omstandigheden informatie door te geven aan de Europese Commissie en andere lidstaten, ook indien deze informatie afkomstig is van derde landen. </w:t>
      </w:r>
    </w:p>
    <w:p w:rsidRPr="00D208B9" w:rsidR="00A47A6F" w:rsidP="00A47A6F" w:rsidRDefault="00782193" w14:paraId="4818D811" w14:textId="4189DD15">
      <w:r>
        <w:tab/>
      </w:r>
      <w:r w:rsidRPr="00D208B9" w:rsidR="00A47A6F">
        <w:t>Daarnaast wordt als gevolg van artikel 2</w:t>
      </w:r>
      <w:r w:rsidR="00F9366E">
        <w:t xml:space="preserve">, derde lid, </w:t>
      </w:r>
      <w:r w:rsidRPr="00D208B9" w:rsidR="00A47A6F">
        <w:t xml:space="preserve">van het </w:t>
      </w:r>
      <w:r w:rsidR="00A47A6F">
        <w:t>Verdrag</w:t>
      </w:r>
      <w:r w:rsidRPr="00D208B9" w:rsidR="00A47A6F">
        <w:t xml:space="preserve"> onder meer rekening gehouden met </w:t>
      </w:r>
      <w:r w:rsidR="00565CDC">
        <w:t xml:space="preserve">bestaande en </w:t>
      </w:r>
      <w:r w:rsidRPr="00D208B9" w:rsidR="00A47A6F">
        <w:t xml:space="preserve">toekomstige verplichtingen van Nederland op het terrein van de wederzijdse administratieve bijstand </w:t>
      </w:r>
      <w:r>
        <w:t>die voortvloeien uit</w:t>
      </w:r>
      <w:r w:rsidRPr="00D208B9">
        <w:t xml:space="preserve"> </w:t>
      </w:r>
      <w:r w:rsidRPr="00D208B9" w:rsidR="00A47A6F">
        <w:t>verdragen met andere lidstaten in het kader van de Europese Unie.</w:t>
      </w:r>
      <w:r w:rsidR="00A47A6F">
        <w:t xml:space="preserve"> Daarbij valt te denken aan de op 18 december 1997 te Brussel tot stand gekomen </w:t>
      </w:r>
      <w:r w:rsidRPr="008F1E98" w:rsidR="008F1E98">
        <w:t xml:space="preserve">Overeenkomst opgesteld op grond van </w:t>
      </w:r>
      <w:r w:rsidR="00AE37BD">
        <w:t>a</w:t>
      </w:r>
      <w:r w:rsidRPr="008F1E98" w:rsidR="008F1E98">
        <w:t>rtikel K.3 van het Verdrag betreffende de Europese Unie inzake wederzijdse bijstand en samenwerking tussen de douane-administraties (</w:t>
      </w:r>
      <w:proofErr w:type="spellStart"/>
      <w:r w:rsidRPr="00491BCB" w:rsidR="008F1E98">
        <w:rPr>
          <w:i/>
          <w:iCs/>
        </w:rPr>
        <w:t>Trb</w:t>
      </w:r>
      <w:proofErr w:type="spellEnd"/>
      <w:r w:rsidRPr="00491BCB" w:rsidR="008F1E98">
        <w:rPr>
          <w:i/>
          <w:iCs/>
        </w:rPr>
        <w:t>.</w:t>
      </w:r>
      <w:r w:rsidRPr="008F1E98" w:rsidR="008F1E98">
        <w:t xml:space="preserve"> 1998, 174</w:t>
      </w:r>
      <w:r w:rsidRPr="00C07365" w:rsidR="008F1E98">
        <w:t>, ook wel bekend als Napels II)</w:t>
      </w:r>
      <w:r w:rsidRPr="00C07365" w:rsidR="00A47A6F">
        <w:t>. Verder bestaan er diverse bilaterale verdragen met andere Europese</w:t>
      </w:r>
      <w:r w:rsidR="00A47A6F">
        <w:t xml:space="preserve"> landen die door de toetreding van die landen tot de EU aan belang hebben ingeboet maar onder omstandigheden nog wel toegepast kunnen worden. </w:t>
      </w:r>
      <w:r w:rsidR="0017054B">
        <w:t xml:space="preserve">De Nederlandse douaneadministratie zal de </w:t>
      </w:r>
      <w:r w:rsidR="00CD71D3">
        <w:t>Ecuadoriaanse</w:t>
      </w:r>
      <w:r w:rsidR="0017054B">
        <w:t xml:space="preserve"> douaneadminist</w:t>
      </w:r>
      <w:r w:rsidR="00450F25">
        <w:t>r</w:t>
      </w:r>
      <w:r w:rsidR="0017054B">
        <w:t xml:space="preserve">atie op de hoogte stellen wanneer zij in Europees kader informatie </w:t>
      </w:r>
      <w:r>
        <w:t xml:space="preserve">doorgeeft </w:t>
      </w:r>
      <w:r w:rsidR="00342249">
        <w:t xml:space="preserve">die is </w:t>
      </w:r>
      <w:r w:rsidR="0017054B">
        <w:t xml:space="preserve">verkregen van </w:t>
      </w:r>
      <w:r w:rsidR="00CD71D3">
        <w:t>Ecuador</w:t>
      </w:r>
      <w:r w:rsidR="0017054B">
        <w:t xml:space="preserve"> op basis van dit Verdrag.</w:t>
      </w:r>
    </w:p>
    <w:p w:rsidR="00D3525C" w:rsidRDefault="00C44432" w14:paraId="7C25EB6C" w14:textId="77777777">
      <w:r>
        <w:tab/>
      </w:r>
      <w:r w:rsidRPr="00D208B9" w:rsidR="00A47A6F">
        <w:t xml:space="preserve">De praktische uitvoering van de bijstand zal geschieden in overeenstemming met de wettelijke en administratieve bepalingen van de verdragsluitende partij die de administratieve bijstand verleent </w:t>
      </w:r>
      <w:r w:rsidR="00A47A6F">
        <w:t>(</w:t>
      </w:r>
      <w:r w:rsidRPr="00D208B9" w:rsidR="00A47A6F">
        <w:t xml:space="preserve">tweede lid). Uitdrukkelijk is vastgelegd (vierde lid) dat het </w:t>
      </w:r>
      <w:r w:rsidR="00A47A6F">
        <w:t>Verdrag</w:t>
      </w:r>
      <w:r w:rsidRPr="00D208B9" w:rsidR="00A47A6F">
        <w:t xml:space="preserve"> voorziet in het verlenen van </w:t>
      </w:r>
    </w:p>
    <w:p w:rsidRPr="00D208B9" w:rsidR="00A47A6F" w:rsidP="00A47A6F" w:rsidRDefault="00A47A6F" w14:paraId="55C599FA" w14:textId="12D2B26E">
      <w:proofErr w:type="gramStart"/>
      <w:r w:rsidRPr="00D208B9">
        <w:t>administratieve</w:t>
      </w:r>
      <w:proofErr w:type="gramEnd"/>
      <w:r w:rsidRPr="00D208B9">
        <w:t xml:space="preserve"> bijstand tussen de verdragsluitende partijen. Onder administratieve bijstand dient in dit verband doorgaans te worden verstaan dat de aangezochte douaneadministratie informatie verstrekt ten behoeve van de verzoekende douaneadministratie. In de regel geschiedt dit naar aanleiding van een concreet geval waarbij de verzoekende douaneadministratie bepaalde informatie nodig heeft om een </w:t>
      </w:r>
      <w:r>
        <w:t xml:space="preserve">administratief </w:t>
      </w:r>
      <w:r w:rsidRPr="00D208B9">
        <w:t>onderzoek te kunnen afronden. Deze informatie kan betrekking hebben op goederen, voorafgaande transacties in de logistieke keten en op betrokken (rechts)personen.</w:t>
      </w:r>
    </w:p>
    <w:p w:rsidR="00D3525C" w:rsidRDefault="00C44432" w14:paraId="18B0DC85" w14:textId="5DFE027E">
      <w:r>
        <w:tab/>
      </w:r>
      <w:r w:rsidRPr="00D208B9" w:rsidR="00A47A6F">
        <w:t>Indien bijstand dient te worden verleend op grond van een ander samenwerkingsverdrag tussen beide landen, geeft de aangezochte administratie aan</w:t>
      </w:r>
      <w:r w:rsidR="00A47A6F">
        <w:t xml:space="preserve"> welk ander verdrag van toepassing zal zijn en</w:t>
      </w:r>
      <w:r w:rsidRPr="00D208B9" w:rsidR="00A47A6F">
        <w:t xml:space="preserve"> welke andere nationale autoriteiten zich daarmee bezighouden. </w:t>
      </w:r>
    </w:p>
    <w:p w:rsidR="00F60320" w:rsidP="00F60320" w:rsidRDefault="00F60320" w14:paraId="5408A5D8" w14:textId="77777777"/>
    <w:p w:rsidR="00737DB4" w:rsidRDefault="00737DB4" w14:paraId="0F4890D4" w14:textId="77777777">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spacing w:after="200" w:line="276" w:lineRule="auto"/>
        <w:rPr>
          <w:u w:val="single"/>
        </w:rPr>
      </w:pPr>
      <w:r>
        <w:rPr>
          <w:u w:val="single"/>
        </w:rPr>
        <w:br w:type="page"/>
      </w:r>
    </w:p>
    <w:p w:rsidRPr="00D208B9" w:rsidR="00A47A6F" w:rsidP="00A47A6F" w:rsidRDefault="00A47A6F" w14:paraId="6ACF2CE7" w14:textId="4396E7D4">
      <w:pPr>
        <w:outlineLvl w:val="0"/>
      </w:pPr>
      <w:r w:rsidRPr="00D208B9">
        <w:rPr>
          <w:u w:val="single"/>
        </w:rPr>
        <w:lastRenderedPageBreak/>
        <w:t>Artikel 3</w:t>
      </w:r>
      <w:r w:rsidRPr="00D208B9">
        <w:t xml:space="preserve"> (</w:t>
      </w:r>
      <w:r w:rsidRPr="00D208B9">
        <w:rPr>
          <w:i/>
        </w:rPr>
        <w:t xml:space="preserve">Informatie </w:t>
      </w:r>
      <w:r w:rsidR="00B70A6F">
        <w:rPr>
          <w:i/>
        </w:rPr>
        <w:t>voor de</w:t>
      </w:r>
      <w:r w:rsidRPr="00D208B9">
        <w:rPr>
          <w:i/>
        </w:rPr>
        <w:t xml:space="preserve"> toepassing</w:t>
      </w:r>
      <w:r w:rsidR="00B70A6F">
        <w:rPr>
          <w:i/>
        </w:rPr>
        <w:t xml:space="preserve"> en handhaving</w:t>
      </w:r>
      <w:r w:rsidRPr="00D208B9">
        <w:rPr>
          <w:i/>
        </w:rPr>
        <w:t xml:space="preserve"> van de douanewetgeving</w:t>
      </w:r>
      <w:r w:rsidRPr="00D208B9">
        <w:t>)</w:t>
      </w:r>
    </w:p>
    <w:p w:rsidR="00D3525C" w:rsidRDefault="00A47A6F" w14:paraId="28FA872A" w14:textId="32E649DB">
      <w:r w:rsidRPr="00D208B9">
        <w:t xml:space="preserve">Deze bepaling regelt het verlenen van bijstand in de zin van het verstrekken van informatie ten behoeve van de juiste toepassing van de douanewetgeving. Het betreft zowel informatie waarvoor een specifiek verzoek is gedaan door één van de douaneadministraties als uit eigen beweging verstrekte gegevens, ten behoeve van de juiste toepassing van de douanewetgeving en met het oog op het voorkomen, onderzoeken en bestrijden van inbreuken op die wetgeving. De douaneadministraties zullen elkaar informatie verstrekken met betrekking tot nieuwe controle- en opsporingstechnieken, gesignaleerde fraudepatronen en goederen en personen die zijn gerelateerd aan inbreuken op de douanewetgeving. Ook het aanleveren van gegevens aan de andere douaneadministratie ten behoeve van door deze in eigen regie te verrichten risicoanalyses behoort tot de geboden mogelijkheden tot samenwerking in het kader van het </w:t>
      </w:r>
      <w:r>
        <w:t>Verdrag</w:t>
      </w:r>
      <w:r w:rsidRPr="00D208B9">
        <w:t>.</w:t>
      </w:r>
    </w:p>
    <w:p w:rsidRPr="00D208B9" w:rsidR="00A47A6F" w:rsidP="00A47A6F" w:rsidRDefault="00A47A6F" w14:paraId="2E2029CE" w14:textId="77777777"/>
    <w:p w:rsidRPr="00D208B9" w:rsidR="00A47A6F" w:rsidP="00A47A6F" w:rsidRDefault="00A47A6F" w14:paraId="22F08B9F" w14:textId="58110133">
      <w:pPr>
        <w:rPr>
          <w:u w:val="single"/>
        </w:rPr>
      </w:pPr>
      <w:r w:rsidRPr="00D208B9">
        <w:rPr>
          <w:u w:val="single"/>
        </w:rPr>
        <w:t>Artikel 4</w:t>
      </w:r>
      <w:r w:rsidRPr="00D208B9">
        <w:rPr>
          <w:i/>
        </w:rPr>
        <w:t xml:space="preserve"> (Informatie </w:t>
      </w:r>
      <w:r w:rsidR="00B70A6F">
        <w:rPr>
          <w:i/>
        </w:rPr>
        <w:t>met betrekking tot</w:t>
      </w:r>
      <w:r w:rsidRPr="00D208B9" w:rsidR="00B70A6F">
        <w:rPr>
          <w:i/>
        </w:rPr>
        <w:t xml:space="preserve"> </w:t>
      </w:r>
      <w:r w:rsidRPr="00D208B9">
        <w:rPr>
          <w:i/>
        </w:rPr>
        <w:t>inbreuken op de douanewetgeving</w:t>
      </w:r>
      <w:r w:rsidRPr="00D208B9">
        <w:t>)</w:t>
      </w:r>
    </w:p>
    <w:p w:rsidR="00D3525C" w:rsidRDefault="00782193" w14:paraId="012906B1" w14:textId="06BE800C">
      <w:r>
        <w:t xml:space="preserve">In artikel 4 wordt geregeld dat </w:t>
      </w:r>
      <w:r w:rsidR="005D2C17">
        <w:t>p</w:t>
      </w:r>
      <w:r w:rsidRPr="00D208B9" w:rsidR="00A47A6F">
        <w:t>artijen</w:t>
      </w:r>
      <w:r>
        <w:t xml:space="preserve"> elkaar</w:t>
      </w:r>
      <w:r w:rsidRPr="00D208B9" w:rsidR="00A47A6F">
        <w:t xml:space="preserve"> </w:t>
      </w:r>
      <w:r>
        <w:t xml:space="preserve">op verzoek of uit eigen beweging </w:t>
      </w:r>
      <w:r w:rsidRPr="00D208B9" w:rsidR="00A47A6F">
        <w:t>informeren over activiteiten die (kunnen) leiden of hebben geleid tot een inbreuk op de douanewetgeving op het grondgebied van de andere partij.</w:t>
      </w:r>
    </w:p>
    <w:p w:rsidR="00D3525C" w:rsidRDefault="00C44432" w14:paraId="1DF2630F" w14:textId="5E6BAEE2">
      <w:r>
        <w:tab/>
      </w:r>
      <w:r w:rsidRPr="00D208B9" w:rsidR="00A47A6F">
        <w:t xml:space="preserve">In geval van een ernstige aantasting van de economie, de volksgezondheid, </w:t>
      </w:r>
      <w:r w:rsidR="00782193">
        <w:t xml:space="preserve">de openbare orde, </w:t>
      </w:r>
      <w:r w:rsidRPr="00D208B9" w:rsidR="00A47A6F">
        <w:t>inclusief de veiligheid van de internationale goederenketen, of een ander vitaal belang van partijen, zal de ene partij onverwijld</w:t>
      </w:r>
      <w:r w:rsidR="00313CC3">
        <w:t xml:space="preserve"> en</w:t>
      </w:r>
      <w:r w:rsidRPr="00D208B9" w:rsidR="00A47A6F">
        <w:t xml:space="preserve"> op eigen initiatief de andere partij </w:t>
      </w:r>
      <w:r w:rsidR="00313CC3">
        <w:t xml:space="preserve">daarover </w:t>
      </w:r>
      <w:r w:rsidRPr="00D208B9" w:rsidR="00A47A6F">
        <w:t>info</w:t>
      </w:r>
      <w:r w:rsidR="00A47A6F">
        <w:t>r</w:t>
      </w:r>
      <w:r w:rsidRPr="00D208B9" w:rsidR="00A47A6F">
        <w:t>meren</w:t>
      </w:r>
      <w:r w:rsidR="00313CC3">
        <w:t>, indien mogelijk</w:t>
      </w:r>
      <w:r w:rsidRPr="00D208B9" w:rsidR="00A47A6F">
        <w:t>.</w:t>
      </w:r>
    </w:p>
    <w:p w:rsidR="00A47A6F" w:rsidP="00F60320" w:rsidRDefault="00A47A6F" w14:paraId="76CEF71C" w14:textId="77777777"/>
    <w:p w:rsidRPr="00D208B9" w:rsidR="00A47A6F" w:rsidP="00A47A6F" w:rsidRDefault="00A47A6F" w14:paraId="7CEAEF82" w14:textId="1F67EAE1">
      <w:pPr>
        <w:keepNext/>
      </w:pPr>
      <w:r w:rsidRPr="00D208B9">
        <w:rPr>
          <w:u w:val="single"/>
        </w:rPr>
        <w:t>Artikel 5</w:t>
      </w:r>
      <w:r w:rsidRPr="00D208B9">
        <w:t xml:space="preserve"> (</w:t>
      </w:r>
      <w:r w:rsidRPr="00D208B9">
        <w:rPr>
          <w:i/>
        </w:rPr>
        <w:t>Informatie over de rechtmatigheid van de in</w:t>
      </w:r>
      <w:r w:rsidR="00B70A6F">
        <w:rPr>
          <w:i/>
        </w:rPr>
        <w:t>voer</w:t>
      </w:r>
      <w:r w:rsidRPr="00D208B9">
        <w:rPr>
          <w:i/>
        </w:rPr>
        <w:t xml:space="preserve"> of uitvoer van goederen</w:t>
      </w:r>
      <w:r w:rsidRPr="00D208B9">
        <w:t>)</w:t>
      </w:r>
    </w:p>
    <w:p w:rsidR="00D3525C" w:rsidRDefault="00A47A6F" w14:paraId="5BF339E6" w14:textId="4229AB20">
      <w:r w:rsidRPr="00D208B9">
        <w:t xml:space="preserve">Deze bepaling bevat </w:t>
      </w:r>
      <w:r w:rsidR="00782193">
        <w:t xml:space="preserve">de verplichting voor douaneadministraties om op verzoek </w:t>
      </w:r>
      <w:r w:rsidR="00284E3D">
        <w:t xml:space="preserve">de </w:t>
      </w:r>
      <w:proofErr w:type="gramStart"/>
      <w:r w:rsidR="00284E3D">
        <w:t xml:space="preserve">vraag </w:t>
      </w:r>
      <w:r w:rsidRPr="00D208B9">
        <w:t xml:space="preserve"> of</w:t>
      </w:r>
      <w:proofErr w:type="gramEnd"/>
      <w:r w:rsidRPr="00D208B9">
        <w:t xml:space="preserve"> goederen op rechtmatige wijze werden in- of uitgevoerd</w:t>
      </w:r>
      <w:r w:rsidR="00284E3D">
        <w:t xml:space="preserve"> te beantwoorden</w:t>
      </w:r>
      <w:r w:rsidRPr="00D208B9">
        <w:t>. De vraag naar de rechtmatigheid van de invoer is in het bijzonder van belang in die gevallen waarin, afhankelijk van de uitvoer dan wel de eindbestemming, een gunstige behandeling wordt toegestaan. Zo kan een verrekening van belasting of een restitutie dan wel een ontheffing van een uitvoerverbod worden toegepast. Twijfel of goederen werkelijk naar het andere land zijn uitgevoerd, kan worden weggenomen wanneer de douaneadministratie van de andere verdragsluitende partij verklaart dat de goederen op rechtmatige wijze in haar nationale grondgebied zijn ingevoerd en onder welke douaneregeling zij daar eventueel zijn gebracht.</w:t>
      </w:r>
    </w:p>
    <w:p w:rsidR="00A47A6F" w:rsidP="00F60320" w:rsidRDefault="00A47A6F" w14:paraId="1D010725" w14:textId="77777777"/>
    <w:p w:rsidRPr="00D208B9" w:rsidR="00A47A6F" w:rsidP="00A47A6F" w:rsidRDefault="00A47A6F" w14:paraId="4B7BE112" w14:textId="5765CF0B">
      <w:r w:rsidRPr="00D208B9">
        <w:rPr>
          <w:u w:val="single"/>
        </w:rPr>
        <w:t>Artikel 6</w:t>
      </w:r>
      <w:r w:rsidRPr="00D208B9">
        <w:t xml:space="preserve"> (</w:t>
      </w:r>
      <w:r w:rsidRPr="00D208B9">
        <w:rPr>
          <w:i/>
        </w:rPr>
        <w:t xml:space="preserve">Automatisch </w:t>
      </w:r>
      <w:r w:rsidR="00B70A6F">
        <w:rPr>
          <w:i/>
        </w:rPr>
        <w:t>verstrekken van informatie</w:t>
      </w:r>
      <w:r w:rsidRPr="00D208B9">
        <w:t xml:space="preserve">) </w:t>
      </w:r>
    </w:p>
    <w:p w:rsidR="00D3525C" w:rsidRDefault="00A47A6F" w14:paraId="6A764614" w14:textId="6CD48AEC">
      <w:r w:rsidRPr="00D208B9">
        <w:t>Ingevolge deze bepalin</w:t>
      </w:r>
      <w:r w:rsidR="00634261">
        <w:t xml:space="preserve">g </w:t>
      </w:r>
      <w:r w:rsidRPr="00D208B9">
        <w:t>kunnen de douane</w:t>
      </w:r>
      <w:r w:rsidR="00EA364D">
        <w:t>-</w:t>
      </w:r>
      <w:r w:rsidRPr="00D208B9">
        <w:t xml:space="preserve">administraties </w:t>
      </w:r>
      <w:r w:rsidR="00284E3D">
        <w:t xml:space="preserve">in een Memorandum van Overeenstemming </w:t>
      </w:r>
      <w:r w:rsidRPr="00D208B9">
        <w:t xml:space="preserve">afspreken dat zij elkaar informatie op automatische wijze zullen doen toekomen en onder welke voorwaarden. Het moet daarbij gaan om gegevens die ook ingevolge een van de andere informatieartikelen van het </w:t>
      </w:r>
      <w:r>
        <w:t>Verdrag</w:t>
      </w:r>
      <w:r w:rsidRPr="00D208B9">
        <w:t>, al dan niet op verzoek en behoudens het automatisme bij het verstrekken ervan, zouden mogen worden uitgewisseld.</w:t>
      </w:r>
      <w:r>
        <w:t xml:space="preserve"> Op </w:t>
      </w:r>
      <w:r w:rsidR="00284E3D">
        <w:t xml:space="preserve">het </w:t>
      </w:r>
      <w:r>
        <w:t xml:space="preserve">moment </w:t>
      </w:r>
      <w:r w:rsidR="00284E3D">
        <w:t xml:space="preserve">van sluiting van het Verdrag </w:t>
      </w:r>
      <w:r>
        <w:t>zijn hierover tussen de douaneadministraties nog geen afspraken gemaakt.</w:t>
      </w:r>
      <w:r w:rsidR="00565CDC">
        <w:t xml:space="preserve"> Het is echter wel de intentie dit te doen.</w:t>
      </w:r>
    </w:p>
    <w:p w:rsidR="00AE37BD" w:rsidP="00A47A6F" w:rsidRDefault="00AE37BD" w14:paraId="43AE4798" w14:textId="77777777">
      <w:pPr>
        <w:rPr>
          <w:u w:val="single"/>
        </w:rPr>
      </w:pPr>
    </w:p>
    <w:p w:rsidRPr="00D208B9" w:rsidR="00A47A6F" w:rsidP="00A47A6F" w:rsidRDefault="00A47A6F" w14:paraId="712593D8" w14:textId="708BF120">
      <w:r w:rsidRPr="00D208B9">
        <w:rPr>
          <w:u w:val="single"/>
        </w:rPr>
        <w:lastRenderedPageBreak/>
        <w:t>Artikel 7</w:t>
      </w:r>
      <w:r w:rsidRPr="00D208B9">
        <w:t xml:space="preserve"> (</w:t>
      </w:r>
      <w:r w:rsidR="005114FE">
        <w:rPr>
          <w:i/>
        </w:rPr>
        <w:t>Vooraf verstrekken van i</w:t>
      </w:r>
      <w:r w:rsidRPr="00D208B9">
        <w:rPr>
          <w:i/>
        </w:rPr>
        <w:t>nformatie</w:t>
      </w:r>
      <w:r w:rsidRPr="00D208B9">
        <w:t>)</w:t>
      </w:r>
      <w:r w:rsidR="005114FE">
        <w:t xml:space="preserve"> </w:t>
      </w:r>
    </w:p>
    <w:p w:rsidR="002904FE" w:rsidP="002904FE" w:rsidRDefault="002904FE" w14:paraId="49A5A993" w14:textId="7623BE9A">
      <w:r>
        <w:t xml:space="preserve">De </w:t>
      </w:r>
      <w:r w:rsidRPr="00C07365">
        <w:t>douaneadministraties kunnen nadere afspraken maken</w:t>
      </w:r>
      <w:r w:rsidR="00284E3D">
        <w:t xml:space="preserve"> in een Memorandum van Overeenstemming</w:t>
      </w:r>
      <w:r w:rsidRPr="00C07365">
        <w:t xml:space="preserve"> over het verschaffen van informatie over goederenzendingen voordat deze </w:t>
      </w:r>
      <w:r w:rsidRPr="00C07365" w:rsidR="00F020D3">
        <w:t xml:space="preserve">op </w:t>
      </w:r>
      <w:r w:rsidRPr="00C07365">
        <w:t xml:space="preserve">het grondgebied van de andere partij aankomen. </w:t>
      </w:r>
      <w:r w:rsidR="00D53458">
        <w:t xml:space="preserve">Op </w:t>
      </w:r>
      <w:r w:rsidR="00284E3D">
        <w:t xml:space="preserve">het </w:t>
      </w:r>
      <w:r w:rsidR="00D53458">
        <w:t xml:space="preserve">moment </w:t>
      </w:r>
      <w:r w:rsidR="00284E3D">
        <w:t xml:space="preserve">van sluiting van het Verdrag </w:t>
      </w:r>
      <w:r w:rsidR="00D53458">
        <w:t>zijn hierover tussen de douaneadministraties nog geen afspraken gemaakt.</w:t>
      </w:r>
      <w:r w:rsidR="00565CDC">
        <w:t xml:space="preserve"> Het is echter wel de intentie dit te doen.</w:t>
      </w:r>
    </w:p>
    <w:p w:rsidR="00A47A6F" w:rsidP="00F60320" w:rsidRDefault="00A47A6F" w14:paraId="736739A7" w14:textId="77777777"/>
    <w:p w:rsidRPr="00D208B9" w:rsidR="005114FE" w:rsidP="005114FE" w:rsidRDefault="005114FE" w14:paraId="5A1B9FEC" w14:textId="77777777">
      <w:pPr>
        <w:rPr>
          <w:u w:val="single"/>
        </w:rPr>
      </w:pPr>
      <w:r w:rsidRPr="00D208B9">
        <w:rPr>
          <w:u w:val="single"/>
        </w:rPr>
        <w:t>Artikel 8</w:t>
      </w:r>
      <w:r w:rsidRPr="00D208B9">
        <w:rPr>
          <w:i/>
        </w:rPr>
        <w:t xml:space="preserve"> (</w:t>
      </w:r>
      <w:r w:rsidRPr="00C07365">
        <w:rPr>
          <w:i/>
        </w:rPr>
        <w:t xml:space="preserve">Technische </w:t>
      </w:r>
      <w:r w:rsidRPr="00C07365" w:rsidR="00592A53">
        <w:rPr>
          <w:i/>
        </w:rPr>
        <w:t>samenwerking</w:t>
      </w:r>
      <w:r w:rsidRPr="00C07365">
        <w:t>)</w:t>
      </w:r>
    </w:p>
    <w:p w:rsidR="005114FE" w:rsidP="005E747B" w:rsidRDefault="005114FE" w14:paraId="691D287C" w14:textId="2FA586E0">
      <w:r w:rsidRPr="00D208B9">
        <w:t xml:space="preserve">De in dit artikel geregelde technische </w:t>
      </w:r>
      <w:r w:rsidR="00592A53">
        <w:t>samenwerking</w:t>
      </w:r>
      <w:r w:rsidRPr="00D208B9">
        <w:t xml:space="preserve"> voorziet in de mogelijkheid tot het uitwisselen van ambtenaren in het kader van het leren van elkaars werkwijzen, kennis en hulpmiddelen alsmede in het kader van trainings- en opleidingsactiviteiten. De uitwisseling bevordert d</w:t>
      </w:r>
      <w:r w:rsidR="002904FE">
        <w:t>e samenwerking van beide douane</w:t>
      </w:r>
      <w:r w:rsidRPr="00D208B9">
        <w:t>administraties en kan tevens een positieve bijdrage leveren aan het versoepelen van het vervullen van de douaneprocedures</w:t>
      </w:r>
      <w:r>
        <w:t>, risicomanagement en het gebruik van technische controle-instrumenten alsmede versterking van de bestuurlijke en administratieve organisatie</w:t>
      </w:r>
      <w:r w:rsidRPr="00D208B9">
        <w:t>.</w:t>
      </w:r>
    </w:p>
    <w:p w:rsidR="00C0447B" w:rsidP="005E747B" w:rsidRDefault="00C0447B" w14:paraId="5C9CFDEC" w14:textId="77777777">
      <w:pPr>
        <w:rPr>
          <w:u w:val="single"/>
        </w:rPr>
      </w:pPr>
    </w:p>
    <w:p w:rsidRPr="00D208B9" w:rsidR="005114FE" w:rsidP="005114FE" w:rsidRDefault="005114FE" w14:paraId="1EA71742" w14:textId="110AD25E">
      <w:r w:rsidRPr="00D208B9">
        <w:rPr>
          <w:u w:val="single"/>
        </w:rPr>
        <w:t xml:space="preserve">Artikel </w:t>
      </w:r>
      <w:r w:rsidR="00C0447B">
        <w:rPr>
          <w:u w:val="single"/>
        </w:rPr>
        <w:t>9</w:t>
      </w:r>
      <w:r w:rsidRPr="00D208B9">
        <w:t xml:space="preserve"> (</w:t>
      </w:r>
      <w:r w:rsidRPr="00D208B9">
        <w:rPr>
          <w:i/>
        </w:rPr>
        <w:t>Toezicht en informatie</w:t>
      </w:r>
      <w:r w:rsidRPr="00D208B9">
        <w:t>)</w:t>
      </w:r>
    </w:p>
    <w:p w:rsidR="00D3525C" w:rsidRDefault="005114FE" w14:paraId="0B33FC45" w14:textId="7DA0DB5E">
      <w:r w:rsidRPr="00D208B9">
        <w:t xml:space="preserve">De bepaling voorziet in de mogelijkheid dat, indien twijfels zijn gerezen over </w:t>
      </w:r>
      <w:r w:rsidRPr="00C07365">
        <w:t xml:space="preserve">de legitimiteit van goederenbewegingen naar het grondgebied van de </w:t>
      </w:r>
      <w:r w:rsidRPr="00C07365" w:rsidR="00E6328D">
        <w:t xml:space="preserve">andere verdragsluitende partij, </w:t>
      </w:r>
      <w:r w:rsidRPr="00C07365" w:rsidR="004C5058">
        <w:t xml:space="preserve">de </w:t>
      </w:r>
      <w:r w:rsidRPr="00C07365" w:rsidR="00E6328D">
        <w:t xml:space="preserve">aangezochte douaneadministratie </w:t>
      </w:r>
      <w:r w:rsidRPr="00C07365">
        <w:t xml:space="preserve">bijzonder toezicht </w:t>
      </w:r>
      <w:r w:rsidRPr="00C07365" w:rsidR="00D76DB3">
        <w:t>houdt</w:t>
      </w:r>
      <w:r w:rsidRPr="00C07365">
        <w:t xml:space="preserve"> op de d</w:t>
      </w:r>
      <w:r w:rsidRPr="00D208B9">
        <w:t>aarbij betrokken goederen, opslagplaatsen, vervoermiddelen of personen ten behoeve van de douaneadministratie van de andere verdragsluitende partij.</w:t>
      </w:r>
    </w:p>
    <w:p w:rsidR="00C0447B" w:rsidP="00C0447B" w:rsidRDefault="00C0447B" w14:paraId="119D6028" w14:textId="77777777">
      <w:pPr>
        <w:outlineLvl w:val="0"/>
        <w:rPr>
          <w:u w:val="single"/>
        </w:rPr>
      </w:pPr>
    </w:p>
    <w:p w:rsidRPr="00D208B9" w:rsidR="005114FE" w:rsidP="005114FE" w:rsidRDefault="00016A46" w14:paraId="1231BDA2" w14:textId="2C04FAF1">
      <w:r>
        <w:rPr>
          <w:u w:val="single"/>
        </w:rPr>
        <w:t>Artikel 1</w:t>
      </w:r>
      <w:r w:rsidR="005D731B">
        <w:rPr>
          <w:u w:val="single"/>
        </w:rPr>
        <w:t>0</w:t>
      </w:r>
      <w:r w:rsidRPr="005114FE" w:rsidR="00F60320">
        <w:rPr>
          <w:u w:val="single"/>
        </w:rPr>
        <w:t xml:space="preserve"> </w:t>
      </w:r>
      <w:r w:rsidRPr="005114FE" w:rsidR="005114FE">
        <w:t>(</w:t>
      </w:r>
      <w:r w:rsidRPr="00D208B9" w:rsidR="005114FE">
        <w:rPr>
          <w:i/>
        </w:rPr>
        <w:t>Deskundigen en getuigen</w:t>
      </w:r>
      <w:r w:rsidRPr="00D208B9" w:rsidR="005114FE">
        <w:t>)</w:t>
      </w:r>
    </w:p>
    <w:p w:rsidR="00D3525C" w:rsidRDefault="00BC2BFE" w14:paraId="1944A26E" w14:textId="5396D087">
      <w:pPr>
        <w:rPr>
          <w:u w:val="single"/>
        </w:rPr>
      </w:pPr>
      <w:r>
        <w:t xml:space="preserve">Wanneer een schriftelijke getuigenverklaring niet voldoende is of wanneer de aanwezigheid van een deskundige vereist is, </w:t>
      </w:r>
      <w:r w:rsidRPr="00D208B9" w:rsidR="005114FE">
        <w:t xml:space="preserve">kan de aangezochte douaneadministratie </w:t>
      </w:r>
      <w:r>
        <w:t>o</w:t>
      </w:r>
      <w:r w:rsidRPr="00D208B9">
        <w:t xml:space="preserve">p verzoek </w:t>
      </w:r>
      <w:r w:rsidRPr="00D208B9" w:rsidR="005114FE">
        <w:t xml:space="preserve">haar functionarissen machtigen om ter zake van de uitvoering van de douanewetgeving als deskundige of getuige te verschijnen in een gerechtelijke of administratieve procedure op het grondgebied van de verzoekende verdragsluitende partij. </w:t>
      </w:r>
    </w:p>
    <w:p w:rsidR="00BC2BFE" w:rsidP="005114FE" w:rsidRDefault="00BC2BFE" w14:paraId="66EC052A" w14:textId="77777777"/>
    <w:p w:rsidRPr="00D208B9" w:rsidR="005114FE" w:rsidP="005114FE" w:rsidRDefault="005114FE" w14:paraId="2DACD724" w14:textId="156BC66A">
      <w:pPr>
        <w:rPr>
          <w:u w:val="single"/>
        </w:rPr>
      </w:pPr>
      <w:r w:rsidRPr="00D208B9">
        <w:rPr>
          <w:u w:val="single"/>
        </w:rPr>
        <w:t>Artikel 1</w:t>
      </w:r>
      <w:r w:rsidR="005D731B">
        <w:rPr>
          <w:u w:val="single"/>
        </w:rPr>
        <w:t>1</w:t>
      </w:r>
      <w:r w:rsidRPr="00D208B9">
        <w:t xml:space="preserve"> (</w:t>
      </w:r>
      <w:r w:rsidR="00B70A6F">
        <w:rPr>
          <w:i/>
        </w:rPr>
        <w:t>Toezending van verzoeken</w:t>
      </w:r>
      <w:r w:rsidRPr="00D208B9">
        <w:t>)</w:t>
      </w:r>
    </w:p>
    <w:p w:rsidR="00D3525C" w:rsidRDefault="005114FE" w14:paraId="5AC649E2" w14:textId="172F9265">
      <w:pPr>
        <w:rPr>
          <w:strike/>
        </w:rPr>
      </w:pPr>
      <w:r w:rsidRPr="00D208B9">
        <w:t xml:space="preserve">Dit artikel regelt bij wie een verzoek om bijstand wordt gedaan en bevat voorschriften met betrekking tot inhoud en vorm van het verzoek. </w:t>
      </w:r>
    </w:p>
    <w:p w:rsidR="00D3525C" w:rsidRDefault="00C44432" w14:paraId="040D39B9" w14:textId="7D47DD3B">
      <w:r>
        <w:tab/>
      </w:r>
      <w:r w:rsidRPr="00D208B9" w:rsidR="005114FE">
        <w:t>Een douaneadministratie zal slechts om originele informatie (zoals originele documenten) verzoeken indien kopieën niet volstaan. Dergelijke informatie dient zo spoedig mogelijk te worden teruggezonden. Rechten van de aangezochte administratie of van derden worden</w:t>
      </w:r>
      <w:r w:rsidR="00284E3D">
        <w:t xml:space="preserve"> daarbij</w:t>
      </w:r>
      <w:r w:rsidRPr="00D208B9" w:rsidR="005114FE">
        <w:t xml:space="preserve"> </w:t>
      </w:r>
      <w:r w:rsidR="00284E3D">
        <w:t>in acht genomen</w:t>
      </w:r>
      <w:r w:rsidRPr="00D208B9" w:rsidR="005114FE">
        <w:t>.</w:t>
      </w:r>
    </w:p>
    <w:p w:rsidR="00F60320" w:rsidP="00F60320" w:rsidRDefault="00F60320" w14:paraId="0A6C20CA" w14:textId="77777777">
      <w:pPr>
        <w:rPr>
          <w:u w:val="single"/>
        </w:rPr>
      </w:pPr>
    </w:p>
    <w:p w:rsidRPr="00D208B9" w:rsidR="005114FE" w:rsidP="005114FE" w:rsidRDefault="005114FE" w14:paraId="713289CC" w14:textId="0466CA88">
      <w:r w:rsidRPr="00D208B9">
        <w:rPr>
          <w:u w:val="single"/>
        </w:rPr>
        <w:t>Artikel 1</w:t>
      </w:r>
      <w:r w:rsidR="005D731B">
        <w:rPr>
          <w:u w:val="single"/>
        </w:rPr>
        <w:t>2</w:t>
      </w:r>
      <w:r w:rsidRPr="00D208B9">
        <w:t xml:space="preserve"> (</w:t>
      </w:r>
      <w:r w:rsidRPr="009B376E">
        <w:rPr>
          <w:i/>
        </w:rPr>
        <w:t>Vergaren van informatie</w:t>
      </w:r>
      <w:r w:rsidRPr="009B376E">
        <w:t>)</w:t>
      </w:r>
      <w:r w:rsidRPr="00D208B9">
        <w:rPr>
          <w:u w:val="single"/>
        </w:rPr>
        <w:t xml:space="preserve"> </w:t>
      </w:r>
    </w:p>
    <w:p w:rsidR="00D3525C" w:rsidRDefault="005114FE" w14:paraId="3ADD3B97" w14:textId="01FA0AE4">
      <w:r w:rsidRPr="00D208B9">
        <w:t xml:space="preserve">Op basis van dit artikel stelt de aangezochte douaneadministratie een onderzoek in, indien zij niet zelf beschikt over de gevraagde informatie. Het onderzoek kan bijvoorbeeld inhouden dat de Nederlandse </w:t>
      </w:r>
      <w:r w:rsidRPr="00D208B9">
        <w:lastRenderedPageBreak/>
        <w:t>douane, om tegemoet te kom</w:t>
      </w:r>
      <w:r w:rsidR="002904FE">
        <w:t xml:space="preserve">en aan een verzoek van de </w:t>
      </w:r>
      <w:r w:rsidR="005D731B">
        <w:t>Ecuadoriaanse</w:t>
      </w:r>
      <w:r w:rsidRPr="00D208B9">
        <w:t xml:space="preserve"> douane, in overeenstemming met de Nederlandse wettelijke en administratieve bepalingen (conform het gestelde in artikel 2, tweede lid, van het </w:t>
      </w:r>
      <w:r>
        <w:t>Verdrag</w:t>
      </w:r>
      <w:r w:rsidRPr="00D208B9">
        <w:t>) bij een bedrijf een administratieve controle (boekenonderzoek) verricht.</w:t>
      </w:r>
    </w:p>
    <w:p w:rsidR="005114FE" w:rsidP="005114FE" w:rsidRDefault="005114FE" w14:paraId="5443D9A9" w14:textId="77777777">
      <w:pPr>
        <w:ind w:firstLine="567"/>
      </w:pPr>
    </w:p>
    <w:p w:rsidR="00D3525C" w:rsidRDefault="00016A46" w14:paraId="4A01FF03" w14:textId="30411291">
      <w:r>
        <w:rPr>
          <w:u w:val="single"/>
        </w:rPr>
        <w:t>Artikel 1</w:t>
      </w:r>
      <w:r w:rsidR="00EC4F94">
        <w:rPr>
          <w:u w:val="single"/>
        </w:rPr>
        <w:t>3</w:t>
      </w:r>
      <w:r w:rsidRPr="009B376E" w:rsidR="005114FE">
        <w:t xml:space="preserve"> (</w:t>
      </w:r>
      <w:r w:rsidRPr="009B376E" w:rsidR="005114FE">
        <w:rPr>
          <w:i/>
        </w:rPr>
        <w:t xml:space="preserve">Aanwezigheid van functionarissen op het grondgebied van de </w:t>
      </w:r>
      <w:r w:rsidR="00B70A6F">
        <w:rPr>
          <w:i/>
        </w:rPr>
        <w:t>andere</w:t>
      </w:r>
      <w:r w:rsidRPr="009B376E" w:rsidR="00B70A6F">
        <w:rPr>
          <w:i/>
        </w:rPr>
        <w:t xml:space="preserve"> </w:t>
      </w:r>
      <w:r w:rsidRPr="009B376E" w:rsidR="005114FE">
        <w:rPr>
          <w:i/>
        </w:rPr>
        <w:t>verdragsluitende partij</w:t>
      </w:r>
      <w:r w:rsidRPr="009B376E" w:rsidR="005114FE">
        <w:t>)</w:t>
      </w:r>
      <w:r w:rsidRPr="00D208B9" w:rsidR="005114FE">
        <w:rPr>
          <w:u w:val="single"/>
        </w:rPr>
        <w:t xml:space="preserve"> </w:t>
      </w:r>
    </w:p>
    <w:p w:rsidR="00D3525C" w:rsidRDefault="005114FE" w14:paraId="49A0EF08" w14:textId="50637DC2">
      <w:r w:rsidRPr="00D208B9">
        <w:t>Dit artikel voorziet in de mogelijkheid van aanwezigheid van douanefunctionarissen op elkaars grondgebied</w:t>
      </w:r>
      <w:r>
        <w:t>.</w:t>
      </w:r>
      <w:r w:rsidRPr="00D208B9">
        <w:t xml:space="preserve"> Vooral als het gaat om onderzoeken waarin een groot deel van de benodigde gegevens in een bepaalde zaak zich bevindt in het andere land, bijvoorbeeld bij dubbele facturering of bij een niet regelmatig beëindigd transport van goederen tussen </w:t>
      </w:r>
      <w:r w:rsidR="00EC4F94">
        <w:t xml:space="preserve">Ecuador </w:t>
      </w:r>
      <w:r w:rsidRPr="00D208B9">
        <w:t xml:space="preserve">en Nederland, kan het onderzoek worden versneld indien functionarissen van de verzoekende douaneadministratie direct informatie verkrijgen van de bevoegde eenheden van de aangezochte administratie, dan wel </w:t>
      </w:r>
      <w:r>
        <w:t xml:space="preserve">in een adviserende rol </w:t>
      </w:r>
      <w:r w:rsidRPr="00D208B9">
        <w:t>aanwezig zijn bij onderzoeken te verrichten door functionarissen van de aangezochte douaneadministratie.</w:t>
      </w:r>
    </w:p>
    <w:p w:rsidR="008E680E" w:rsidP="008E680E" w:rsidRDefault="008E680E" w14:paraId="3DFED0AF" w14:textId="77777777">
      <w:pPr>
        <w:ind w:firstLine="567"/>
        <w:rPr>
          <w:u w:val="single"/>
        </w:rPr>
      </w:pPr>
    </w:p>
    <w:p w:rsidR="00D3525C" w:rsidRDefault="008E680E" w14:paraId="7398AE0D" w14:textId="7529C1D7">
      <w:r w:rsidRPr="00D208B9">
        <w:rPr>
          <w:u w:val="single"/>
        </w:rPr>
        <w:t>Artikel 1</w:t>
      </w:r>
      <w:r w:rsidR="00EC4F94">
        <w:rPr>
          <w:u w:val="single"/>
        </w:rPr>
        <w:t>4</w:t>
      </w:r>
      <w:r w:rsidRPr="00D208B9">
        <w:t xml:space="preserve"> (</w:t>
      </w:r>
      <w:r w:rsidRPr="00D208B9">
        <w:rPr>
          <w:i/>
        </w:rPr>
        <w:t xml:space="preserve">Aanwezigheid van functionarissen van de verzoekende </w:t>
      </w:r>
      <w:r w:rsidR="00B70A6F">
        <w:rPr>
          <w:i/>
        </w:rPr>
        <w:t>verdragsluitende partij</w:t>
      </w:r>
      <w:r w:rsidRPr="00D208B9">
        <w:rPr>
          <w:i/>
        </w:rPr>
        <w:t xml:space="preserve"> op uitnodiging van de aangezochte </w:t>
      </w:r>
      <w:proofErr w:type="gramStart"/>
      <w:r w:rsidR="00B70A6F">
        <w:rPr>
          <w:i/>
        </w:rPr>
        <w:t>administratie</w:t>
      </w:r>
      <w:r w:rsidRPr="00D208B9" w:rsidR="00B70A6F">
        <w:rPr>
          <w:i/>
        </w:rPr>
        <w:t xml:space="preserve"> </w:t>
      </w:r>
      <w:r w:rsidRPr="00D208B9">
        <w:t>)</w:t>
      </w:r>
      <w:proofErr w:type="gramEnd"/>
      <w:r w:rsidRPr="00D208B9">
        <w:rPr>
          <w:u w:val="single"/>
        </w:rPr>
        <w:t xml:space="preserve"> </w:t>
      </w:r>
    </w:p>
    <w:p w:rsidR="00D3525C" w:rsidRDefault="008E680E" w14:paraId="435A18D1" w14:textId="680A4166">
      <w:r w:rsidRPr="00D208B9">
        <w:t>Dit artikel voorziet in de mogelijkheid van de aanwezigheid van douanefunctionarissen van de verzoekende partij op het grondgebied van de aangezochte partij op verzoek van laatstgenoemde</w:t>
      </w:r>
      <w:r w:rsidR="00565CDC">
        <w:t>, bijvoorbeeld wegens specifieke kennis van de verzoekende partij</w:t>
      </w:r>
      <w:r w:rsidRPr="00D208B9">
        <w:t xml:space="preserve">. Daarbij kunnen beperkingen </w:t>
      </w:r>
      <w:r>
        <w:t xml:space="preserve">en voorwaarden </w:t>
      </w:r>
      <w:r w:rsidRPr="00D208B9">
        <w:t>worden gesteld door de aangezochte partij.</w:t>
      </w:r>
    </w:p>
    <w:p w:rsidR="008E680E" w:rsidP="008E680E" w:rsidRDefault="008E680E" w14:paraId="7276D992" w14:textId="570B05DC">
      <w:pPr>
        <w:rPr>
          <w:u w:val="single"/>
        </w:rPr>
      </w:pPr>
    </w:p>
    <w:p w:rsidRPr="00D208B9" w:rsidR="008E680E" w:rsidP="008E680E" w:rsidRDefault="008E680E" w14:paraId="5485B976" w14:textId="70B7D630">
      <w:r w:rsidRPr="00D208B9">
        <w:rPr>
          <w:u w:val="single"/>
        </w:rPr>
        <w:t>Artikel 1</w:t>
      </w:r>
      <w:r w:rsidR="00EC4F94">
        <w:rPr>
          <w:u w:val="single"/>
        </w:rPr>
        <w:t>5</w:t>
      </w:r>
      <w:r>
        <w:rPr>
          <w:u w:val="single"/>
        </w:rPr>
        <w:t xml:space="preserve"> </w:t>
      </w:r>
      <w:r w:rsidRPr="00D208B9">
        <w:t>(</w:t>
      </w:r>
      <w:r w:rsidR="00B70A6F">
        <w:rPr>
          <w:i/>
        </w:rPr>
        <w:t>Bezoekende functionarissen</w:t>
      </w:r>
      <w:r w:rsidRPr="00D208B9">
        <w:t>)</w:t>
      </w:r>
    </w:p>
    <w:p w:rsidR="00D3525C" w:rsidRDefault="008E680E" w14:paraId="2928D4C9" w14:textId="54758681">
      <w:r w:rsidRPr="00D208B9">
        <w:t>Dit artikel regelt de voorwaarden waaronder van de mogelijkheid van aanwezigheid van functio</w:t>
      </w:r>
      <w:r w:rsidRPr="00D208B9">
        <w:softHyphen/>
        <w:t xml:space="preserve">narissen op het grondgebied van de andere partij gebruik kan worden gemaakt. Zij genieten dezelfde rechtsbescherming als de </w:t>
      </w:r>
      <w:r w:rsidR="00D53458">
        <w:t>douane</w:t>
      </w:r>
      <w:r w:rsidRPr="00D208B9">
        <w:t>functionarissen van de andere partij.</w:t>
      </w:r>
    </w:p>
    <w:p w:rsidR="00D3525C" w:rsidRDefault="00C44432" w14:paraId="1E77F299" w14:textId="77777777">
      <w:pPr>
        <w:rPr>
          <w:u w:val="single"/>
        </w:rPr>
      </w:pPr>
      <w:r>
        <w:tab/>
      </w:r>
      <w:r w:rsidRPr="00D208B9" w:rsidR="008E680E">
        <w:t xml:space="preserve">Zolang functionarissen van een douaneadministratie uit hoofde van het </w:t>
      </w:r>
      <w:r w:rsidR="008E680E">
        <w:t>Verdrag</w:t>
      </w:r>
      <w:r w:rsidRPr="00D208B9" w:rsidR="008E680E">
        <w:t xml:space="preserve"> aanwezig zijn op het grondgebied van de andere verdragsluitende partij, dienen zij zich steeds als zodanig te kunnen legitimeren.</w:t>
      </w:r>
    </w:p>
    <w:p w:rsidRPr="00D208B9" w:rsidR="008E680E" w:rsidP="008E680E" w:rsidRDefault="008E680E" w14:paraId="7AA2874F" w14:textId="77777777">
      <w:pPr>
        <w:rPr>
          <w:u w:val="single"/>
        </w:rPr>
      </w:pPr>
    </w:p>
    <w:p w:rsidRPr="00D208B9" w:rsidR="008E680E" w:rsidP="008E680E" w:rsidRDefault="008E680E" w14:paraId="482DD696" w14:textId="5C2FB65D">
      <w:r w:rsidRPr="00D208B9">
        <w:rPr>
          <w:u w:val="single"/>
        </w:rPr>
        <w:t xml:space="preserve">Artikel </w:t>
      </w:r>
      <w:r w:rsidR="00016A46">
        <w:rPr>
          <w:u w:val="single"/>
        </w:rPr>
        <w:t>1</w:t>
      </w:r>
      <w:r w:rsidR="00EC4F94">
        <w:rPr>
          <w:u w:val="single"/>
        </w:rPr>
        <w:t>6</w:t>
      </w:r>
      <w:r w:rsidRPr="00D208B9">
        <w:t xml:space="preserve"> (</w:t>
      </w:r>
      <w:r w:rsidRPr="00611996" w:rsidR="00DE6BE7">
        <w:rPr>
          <w:i/>
        </w:rPr>
        <w:t>Gebruik</w:t>
      </w:r>
      <w:r w:rsidRPr="006F5899" w:rsidR="00276BCC">
        <w:rPr>
          <w:i/>
        </w:rPr>
        <w:t xml:space="preserve"> </w:t>
      </w:r>
      <w:r w:rsidRPr="006F5899">
        <w:rPr>
          <w:i/>
        </w:rPr>
        <w:t>van informatie</w:t>
      </w:r>
      <w:r w:rsidRPr="00D208B9">
        <w:t xml:space="preserve">) </w:t>
      </w:r>
    </w:p>
    <w:p w:rsidR="00D3525C" w:rsidRDefault="008E680E" w14:paraId="218E201F" w14:textId="75B18900">
      <w:r w:rsidRPr="00D208B9">
        <w:t xml:space="preserve">Aangezien de in het </w:t>
      </w:r>
      <w:r>
        <w:t>Verdrag</w:t>
      </w:r>
      <w:r w:rsidRPr="00D208B9">
        <w:t xml:space="preserve"> bedoelde informatie dikwijls van vertrouwelijke aard is, moet worden gewaakt voor misbruik daarvan. Dit artikel schrijft voor dat op grond van het </w:t>
      </w:r>
      <w:r>
        <w:t>Verdrag</w:t>
      </w:r>
      <w:r w:rsidRPr="00D208B9">
        <w:t xml:space="preserve"> verkregen informatie zeer zorgvuldig moet worden behandeld.</w:t>
      </w:r>
    </w:p>
    <w:p w:rsidR="00D3525C" w:rsidRDefault="00C44432" w14:paraId="647300C1" w14:textId="77777777">
      <w:r>
        <w:tab/>
      </w:r>
      <w:r w:rsidRPr="00D208B9" w:rsidR="008E680E">
        <w:t xml:space="preserve">De verkregen informatie mag door de bevoegde douaneautoriteiten slechts worden gebruikt voor de doeleinden van het </w:t>
      </w:r>
      <w:r w:rsidR="008E680E">
        <w:t>Verdrag</w:t>
      </w:r>
      <w:r w:rsidRPr="00D208B9" w:rsidR="008E680E">
        <w:t xml:space="preserve">. Gebruik van de informatie voor andere doeleinden of door andere autoriteiten is alleen toegestaan indien de douaneadministratie die de informatie heeft verstrekt daarvoor uitdrukkelijk toestemming heeft gegeven. </w:t>
      </w:r>
    </w:p>
    <w:p w:rsidR="00D3525C" w:rsidRDefault="00C44432" w14:paraId="2AF0CE7F" w14:textId="26603B51">
      <w:r>
        <w:tab/>
      </w:r>
      <w:r w:rsidRPr="00D208B9" w:rsidR="008E680E">
        <w:t xml:space="preserve">Voor een beoogd gebruik in </w:t>
      </w:r>
      <w:r w:rsidR="00EC4F94">
        <w:t>Ecuador</w:t>
      </w:r>
      <w:r w:rsidRPr="00D208B9" w:rsidR="008E680E">
        <w:t xml:space="preserve"> voor strafrechtelijke doeleinden van door de Nederlandse douaneadministratie verstrekte informatie is steeds (voorafgaande) </w:t>
      </w:r>
      <w:r w:rsidR="008E680E">
        <w:t>toe</w:t>
      </w:r>
      <w:r w:rsidRPr="00D208B9" w:rsidR="008E680E">
        <w:t xml:space="preserve">stemming vereist van het </w:t>
      </w:r>
      <w:r w:rsidR="00F30ACA">
        <w:lastRenderedPageBreak/>
        <w:t xml:space="preserve">bevoegde </w:t>
      </w:r>
      <w:r w:rsidRPr="00D208B9" w:rsidR="008E680E">
        <w:t xml:space="preserve">Openbaar Ministerie of de </w:t>
      </w:r>
      <w:r w:rsidR="00F30ACA">
        <w:t xml:space="preserve">bevoegde </w:t>
      </w:r>
      <w:r w:rsidRPr="00D208B9" w:rsidR="008E680E">
        <w:t>rechter.</w:t>
      </w:r>
    </w:p>
    <w:p w:rsidR="00EC4F94" w:rsidRDefault="00EC4F94" w14:paraId="54D067FE" w14:textId="013D3B9A"/>
    <w:p w:rsidR="00EC4F94" w:rsidRDefault="00EC4F94" w14:paraId="25242D95" w14:textId="792785F0">
      <w:r w:rsidRPr="00FB194E">
        <w:rPr>
          <w:u w:val="single"/>
        </w:rPr>
        <w:t>Artikel 17</w:t>
      </w:r>
      <w:r>
        <w:t xml:space="preserve"> </w:t>
      </w:r>
      <w:r w:rsidRPr="00FB194E">
        <w:rPr>
          <w:i/>
          <w:iCs/>
        </w:rPr>
        <w:t>(Vertrouwelijkheid en bescherming van informatie)</w:t>
      </w:r>
    </w:p>
    <w:p w:rsidR="00D3525C" w:rsidRDefault="00CF0440" w14:paraId="732EA491" w14:textId="740011E9">
      <w:r>
        <w:t>Het eerste lid van artikel 17 regelt dat i</w:t>
      </w:r>
      <w:r w:rsidRPr="00D208B9" w:rsidR="008E680E">
        <w:t xml:space="preserve">n het land waar de informatie wordt ontvangen, deze informatie vertrouwelijk </w:t>
      </w:r>
      <w:r>
        <w:t xml:space="preserve">wordt </w:t>
      </w:r>
      <w:r w:rsidRPr="00D208B9" w:rsidR="008E680E">
        <w:t xml:space="preserve">behandeld. Voorts moet voor deze informatie aldaar hetzelfde niveau van bescherming gelden als voor soortgelijke informatie krachtens het nationale recht het geval is. </w:t>
      </w:r>
    </w:p>
    <w:p w:rsidR="00153189" w:rsidP="00153189" w:rsidRDefault="00C44432" w14:paraId="5F6C44FC" w14:textId="43B458E6">
      <w:r>
        <w:tab/>
      </w:r>
      <w:r w:rsidR="00153189">
        <w:t xml:space="preserve">In het </w:t>
      </w:r>
      <w:r w:rsidR="005D52F4">
        <w:t>tweede</w:t>
      </w:r>
      <w:r w:rsidR="00153189">
        <w:t xml:space="preserve"> lid van het artikel wordt bepaald dat op basis van het Verdrag verstrekte</w:t>
      </w:r>
      <w:r w:rsidRPr="007E7011" w:rsidR="00153189">
        <w:t xml:space="preserve"> persoon</w:t>
      </w:r>
      <w:r w:rsidR="00153189">
        <w:t>sgegevens</w:t>
      </w:r>
      <w:r w:rsidRPr="007E7011" w:rsidR="00153189">
        <w:t xml:space="preserve"> </w:t>
      </w:r>
      <w:r w:rsidR="00153189">
        <w:t>ten minste beschermd dienen te worden o</w:t>
      </w:r>
      <w:r w:rsidRPr="007E7011" w:rsidR="00153189">
        <w:t xml:space="preserve">vereenkomstig </w:t>
      </w:r>
      <w:r w:rsidR="00153189">
        <w:t xml:space="preserve">het niveau van bescherming voorzien in </w:t>
      </w:r>
      <w:r w:rsidRPr="007E7011" w:rsidR="00153189">
        <w:t xml:space="preserve">de </w:t>
      </w:r>
      <w:r w:rsidR="00153189">
        <w:t xml:space="preserve">wet- en </w:t>
      </w:r>
      <w:r w:rsidRPr="007E7011" w:rsidR="00153189">
        <w:t xml:space="preserve">regelgeving van </w:t>
      </w:r>
      <w:r w:rsidR="00153189">
        <w:t xml:space="preserve">het verstrekkende land. </w:t>
      </w:r>
      <w:r w:rsidR="008D1B74">
        <w:t>In paragraaf 2 van de</w:t>
      </w:r>
      <w:r w:rsidR="00CF0440">
        <w:t xml:space="preserve"> algemene </w:t>
      </w:r>
      <w:r w:rsidR="008D1B74">
        <w:t xml:space="preserve">toelichting is </w:t>
      </w:r>
      <w:r w:rsidR="001B05DE">
        <w:t xml:space="preserve">besproken dat </w:t>
      </w:r>
      <w:r w:rsidR="00286816">
        <w:t xml:space="preserve">de Bijlage bij het Verdrag </w:t>
      </w:r>
      <w:r w:rsidR="001B05DE">
        <w:t>een aantal databeschermingsprincipes omvat</w:t>
      </w:r>
      <w:r w:rsidR="009C5213">
        <w:t>. Daarnaast</w:t>
      </w:r>
      <w:r w:rsidR="00D31B8E">
        <w:t xml:space="preserve"> is</w:t>
      </w:r>
      <w:r w:rsidR="00CF0440">
        <w:t xml:space="preserve"> in diezelfde paragraaf</w:t>
      </w:r>
      <w:r w:rsidR="00D31B8E">
        <w:t xml:space="preserve"> de </w:t>
      </w:r>
      <w:r w:rsidR="00942689">
        <w:t xml:space="preserve">Ecuadoriaanse </w:t>
      </w:r>
      <w:r w:rsidR="00D31B8E">
        <w:t xml:space="preserve">wetgeving </w:t>
      </w:r>
      <w:r w:rsidR="00942689">
        <w:t xml:space="preserve">over de bescherming van persoonsgegevens </w:t>
      </w:r>
      <w:r w:rsidR="00CF0440">
        <w:t>uiteengezet</w:t>
      </w:r>
      <w:r w:rsidR="00001CF1">
        <w:t xml:space="preserve">, waaruit blijkt dat het beschermingsniveau van Ecuador </w:t>
      </w:r>
      <w:r w:rsidR="00CF0440">
        <w:t xml:space="preserve">naar het oordeel van de regering </w:t>
      </w:r>
      <w:r w:rsidR="00001CF1">
        <w:t>passend is</w:t>
      </w:r>
      <w:r w:rsidR="00942689">
        <w:t xml:space="preserve">. </w:t>
      </w:r>
      <w:r w:rsidR="008D1B74">
        <w:t>P</w:t>
      </w:r>
      <w:r w:rsidR="00153189">
        <w:t>ersoonsgegevens die door Nederland worden verstrekt op basis van het Verdrag</w:t>
      </w:r>
      <w:r w:rsidR="008D1B74">
        <w:t xml:space="preserve"> zullen</w:t>
      </w:r>
      <w:r w:rsidR="00153189">
        <w:t xml:space="preserve"> in </w:t>
      </w:r>
      <w:r w:rsidR="009C5213">
        <w:t>Ecuador</w:t>
      </w:r>
      <w:r w:rsidR="00153189">
        <w:t xml:space="preserve"> een beschermingsniveau genieten dat ten minste gelijk is aan dat in Nederland en in de Europese Unie. Partijen stellen elkaar vóór inwerkingtreding op de hoogte van alle relevante nationale wet- en regelgeving. Pas daarna kan uitwisseling van persoonsgegevens op basis van het Verdrag plaatsvinden. In geval van latere wijzigingen van </w:t>
      </w:r>
      <w:r w:rsidRPr="00CC14D1" w:rsidR="00153189">
        <w:t>de nationale</w:t>
      </w:r>
      <w:r w:rsidR="00153189">
        <w:t xml:space="preserve"> wetgeving zullen partijen elkaar over de inhoud van die wijzigingen informeren.</w:t>
      </w:r>
    </w:p>
    <w:p w:rsidR="00050DC9" w:rsidRDefault="00050DC9" w14:paraId="40CB1F1A" w14:textId="77777777"/>
    <w:p w:rsidRPr="00D208B9" w:rsidR="008E680E" w:rsidP="008E680E" w:rsidRDefault="008E680E" w14:paraId="1B4A9D1F" w14:textId="72759341">
      <w:pPr>
        <w:outlineLvl w:val="0"/>
      </w:pPr>
      <w:r w:rsidRPr="00D208B9">
        <w:rPr>
          <w:u w:val="single"/>
        </w:rPr>
        <w:t xml:space="preserve">Artikel </w:t>
      </w:r>
      <w:r w:rsidR="00016A46">
        <w:rPr>
          <w:u w:val="single"/>
        </w:rPr>
        <w:t>18</w:t>
      </w:r>
      <w:r w:rsidRPr="00D208B9">
        <w:t xml:space="preserve"> (</w:t>
      </w:r>
      <w:r w:rsidR="002904FE">
        <w:rPr>
          <w:i/>
        </w:rPr>
        <w:t>Weigeringsgronden</w:t>
      </w:r>
      <w:r w:rsidRPr="00D208B9">
        <w:t>)</w:t>
      </w:r>
    </w:p>
    <w:p w:rsidR="00D3525C" w:rsidRDefault="00CF0440" w14:paraId="187A7EE3" w14:textId="4608FA2C">
      <w:r>
        <w:t>A</w:t>
      </w:r>
      <w:r w:rsidRPr="00F1482F" w:rsidR="008E680E">
        <w:t>rtikel</w:t>
      </w:r>
      <w:r>
        <w:t xml:space="preserve"> 18</w:t>
      </w:r>
      <w:r w:rsidRPr="00F1482F" w:rsidR="008E680E">
        <w:t xml:space="preserve"> bevat de gronden waarop het verlenen van bijstand </w:t>
      </w:r>
      <w:r w:rsidRPr="00F1482F" w:rsidR="00F1482F">
        <w:t>kan worden geweigerd</w:t>
      </w:r>
      <w:r w:rsidRPr="00E82EE6" w:rsidR="00F1482F">
        <w:t xml:space="preserve">, </w:t>
      </w:r>
      <w:r w:rsidRPr="00E82EE6" w:rsidR="008E680E">
        <w:t>a</w:t>
      </w:r>
      <w:r w:rsidRPr="00F1482F" w:rsidR="008E680E">
        <w:t>fhankelijk kan worden gesteld van het nakomen van bepaalde voorwaarden of, in voorkomend geval, kan worden uitgesteld</w:t>
      </w:r>
      <w:r w:rsidRPr="00D208B9" w:rsidR="008E680E">
        <w:t>. Nederland zal krachtens dit artikel bijvoorbeeld geen bijstand verlenen als deze wordt gevraagd ten behoeve van onderzoek in een zaak die hier te lande al onderwerp is geweest van een strafvervolging. Hetzelfde geldt bij een nog lopende strafrechtelijke procedure. Informatie wordt niet verstrekt dan na daartoe verkregen toestemming van de desbetref</w:t>
      </w:r>
      <w:r w:rsidR="00484336">
        <w:t>f</w:t>
      </w:r>
      <w:r w:rsidRPr="00D208B9" w:rsidR="008E680E">
        <w:t>ende gerechtelijke autoriteit. Deze autoriteit kan de nodige waarborgen verlangen om te voorkomen dat de gegevens in het verzoekende land worden gebruikt om tegen dezelfde verdachte een strafvervolging voor hetzelfde feit te beginnen. De redenen v</w:t>
      </w:r>
      <w:r w:rsidR="003701EC">
        <w:t>oor</w:t>
      </w:r>
      <w:r w:rsidRPr="00D208B9" w:rsidR="008E680E">
        <w:t xml:space="preserve"> het afzien of uitstellen van </w:t>
      </w:r>
      <w:r w:rsidR="00F1482F">
        <w:t xml:space="preserve">het verlenen van </w:t>
      </w:r>
      <w:r w:rsidRPr="00D208B9" w:rsidR="008E680E">
        <w:t>de bijstand dienen aan de andere partij te worden medegedeeld.</w:t>
      </w:r>
    </w:p>
    <w:p w:rsidRPr="00D208B9" w:rsidR="008E680E" w:rsidP="008E680E" w:rsidRDefault="008E680E" w14:paraId="2E628F07" w14:textId="77777777"/>
    <w:p w:rsidRPr="00D208B9" w:rsidR="008E680E" w:rsidP="008E680E" w:rsidRDefault="008E680E" w14:paraId="1615BABD" w14:textId="243B33D0">
      <w:pPr>
        <w:outlineLvl w:val="0"/>
      </w:pPr>
      <w:r w:rsidRPr="00D208B9">
        <w:rPr>
          <w:u w:val="single"/>
        </w:rPr>
        <w:t xml:space="preserve">Artikel </w:t>
      </w:r>
      <w:r w:rsidR="00016A46">
        <w:rPr>
          <w:u w:val="single"/>
        </w:rPr>
        <w:t>19</w:t>
      </w:r>
      <w:r w:rsidRPr="00D208B9">
        <w:t xml:space="preserve"> (</w:t>
      </w:r>
      <w:r w:rsidRPr="00D208B9">
        <w:rPr>
          <w:i/>
        </w:rPr>
        <w:t>Kosten</w:t>
      </w:r>
      <w:r w:rsidRPr="00D208B9">
        <w:t>)</w:t>
      </w:r>
    </w:p>
    <w:p w:rsidR="00D3525C" w:rsidRDefault="008E680E" w14:paraId="5AA9AB2B" w14:textId="2E8B839E">
      <w:r w:rsidRPr="00D208B9">
        <w:t xml:space="preserve">De douaneadministraties zien in beginsel af van alle vorderingen tot terugbetaling van de door hen onder het </w:t>
      </w:r>
      <w:r>
        <w:t>Verdrag</w:t>
      </w:r>
      <w:r w:rsidRPr="00D208B9">
        <w:t xml:space="preserve"> gemaakte kosten</w:t>
      </w:r>
      <w:r w:rsidR="00153189">
        <w:t xml:space="preserve">. </w:t>
      </w:r>
    </w:p>
    <w:p w:rsidRPr="00D208B9" w:rsidR="008E680E" w:rsidP="008E680E" w:rsidRDefault="008E680E" w14:paraId="3A18678A" w14:textId="77777777"/>
    <w:p w:rsidRPr="00D208B9" w:rsidR="008E680E" w:rsidP="008E680E" w:rsidRDefault="008E680E" w14:paraId="5548E795" w14:textId="5F47989F">
      <w:r w:rsidRPr="00D208B9">
        <w:rPr>
          <w:u w:val="single"/>
        </w:rPr>
        <w:t xml:space="preserve">Artikel </w:t>
      </w:r>
      <w:r w:rsidR="00016A46">
        <w:rPr>
          <w:u w:val="single"/>
        </w:rPr>
        <w:t>20</w:t>
      </w:r>
      <w:r w:rsidRPr="00D208B9">
        <w:t xml:space="preserve"> (</w:t>
      </w:r>
      <w:r w:rsidRPr="00D208B9">
        <w:rPr>
          <w:i/>
        </w:rPr>
        <w:t>Uitvoering</w:t>
      </w:r>
      <w:r w:rsidR="00153189">
        <w:rPr>
          <w:i/>
        </w:rPr>
        <w:t xml:space="preserve"> </w:t>
      </w:r>
      <w:r w:rsidRPr="009B376E" w:rsidR="00153189">
        <w:rPr>
          <w:i/>
        </w:rPr>
        <w:t>en toepassing</w:t>
      </w:r>
      <w:r w:rsidRPr="00D208B9">
        <w:rPr>
          <w:i/>
        </w:rPr>
        <w:t xml:space="preserve"> van het </w:t>
      </w:r>
      <w:r>
        <w:rPr>
          <w:i/>
        </w:rPr>
        <w:t>Verdrag</w:t>
      </w:r>
      <w:r w:rsidRPr="00D208B9">
        <w:t>)</w:t>
      </w:r>
    </w:p>
    <w:p w:rsidR="00D3525C" w:rsidRDefault="008E680E" w14:paraId="68E91FC9" w14:textId="29F184CA">
      <w:r w:rsidRPr="00D208B9">
        <w:t xml:space="preserve">De douaneadministraties </w:t>
      </w:r>
      <w:r w:rsidR="00D76DE0">
        <w:t>kunnen</w:t>
      </w:r>
      <w:r w:rsidRPr="00D208B9" w:rsidR="00D76DE0">
        <w:t xml:space="preserve"> </w:t>
      </w:r>
      <w:r w:rsidRPr="00D208B9">
        <w:t xml:space="preserve">ter regeling van de praktische aspecten bij de uitvoering van het </w:t>
      </w:r>
      <w:r>
        <w:t>Verdrag</w:t>
      </w:r>
      <w:r w:rsidRPr="00D208B9">
        <w:t xml:space="preserve"> nadere afspraken</w:t>
      </w:r>
      <w:r w:rsidR="00D76DE0">
        <w:t xml:space="preserve"> maken in de vorm van een </w:t>
      </w:r>
      <w:r w:rsidRPr="00D76DE0" w:rsidR="00D76DE0">
        <w:t>Memorandum van Overeenstemming</w:t>
      </w:r>
      <w:r w:rsidR="009E42EB">
        <w:t>, dat desgewenst snel kan worden aangepast</w:t>
      </w:r>
      <w:r w:rsidRPr="00D76DE0">
        <w:t>.</w:t>
      </w:r>
      <w:r w:rsidRPr="00D208B9">
        <w:t xml:space="preserve"> </w:t>
      </w:r>
      <w:r w:rsidR="00CF0440">
        <w:t xml:space="preserve">In </w:t>
      </w:r>
      <w:r w:rsidR="003E345E">
        <w:t xml:space="preserve">de artikelen 6 en 7 is bepaald dat deze niet juridisch </w:t>
      </w:r>
      <w:r w:rsidR="003E345E">
        <w:lastRenderedPageBreak/>
        <w:t>verbindende afspraken in het bijzonder kunnen worden opgesteld inzake het automatisch en het vooraf verstrekken van informatie.</w:t>
      </w:r>
    </w:p>
    <w:p w:rsidR="008E680E" w:rsidP="008E680E" w:rsidRDefault="008E680E" w14:paraId="527547FF" w14:textId="77777777"/>
    <w:p w:rsidR="008E680E" w:rsidP="008E680E" w:rsidRDefault="008E680E" w14:paraId="7857E3A4" w14:textId="391F05EF">
      <w:r w:rsidRPr="00D208B9">
        <w:rPr>
          <w:u w:val="single"/>
        </w:rPr>
        <w:t>Artikel 2</w:t>
      </w:r>
      <w:r w:rsidR="00016A46">
        <w:rPr>
          <w:u w:val="single"/>
        </w:rPr>
        <w:t>1</w:t>
      </w:r>
      <w:r w:rsidRPr="00D208B9">
        <w:t xml:space="preserve"> (</w:t>
      </w:r>
      <w:r w:rsidRPr="003766D6">
        <w:rPr>
          <w:i/>
          <w:iCs/>
        </w:rPr>
        <w:t>Territoriale toepassing</w:t>
      </w:r>
      <w:r w:rsidRPr="00D208B9">
        <w:t>)</w:t>
      </w:r>
    </w:p>
    <w:p w:rsidRPr="00D208B9" w:rsidR="008E680E" w:rsidP="008E680E" w:rsidRDefault="005652B8" w14:paraId="5EC4FAE5" w14:textId="3B54105E">
      <w:r>
        <w:t>Op grond van het eerste en tweede lid zal h</w:t>
      </w:r>
      <w:r w:rsidR="008E680E">
        <w:t>et Verdrag voor</w:t>
      </w:r>
      <w:r w:rsidR="001636D7">
        <w:t xml:space="preserve"> het gehele</w:t>
      </w:r>
      <w:r>
        <w:t xml:space="preserve"> grondgebied van de Republiek Ecuador en het</w:t>
      </w:r>
      <w:r w:rsidR="001636D7">
        <w:t xml:space="preserve"> Koninkrijk</w:t>
      </w:r>
      <w:r w:rsidR="008E680E">
        <w:t xml:space="preserve"> gelden</w:t>
      </w:r>
      <w:r w:rsidR="001636D7">
        <w:t>.</w:t>
      </w:r>
      <w:r w:rsidR="008E680E">
        <w:t xml:space="preserve"> De term “grondgebied” in dit artikel wordt conform internationaal recht ge</w:t>
      </w:r>
      <w:r w:rsidR="008E680E">
        <w:rPr>
          <w:rFonts w:cs="Arial"/>
        </w:rPr>
        <w:t>ï</w:t>
      </w:r>
      <w:r w:rsidR="008E680E">
        <w:t xml:space="preserve">nterpreteerd. </w:t>
      </w:r>
      <w:r>
        <w:t xml:space="preserve">Het derde lid bepaalt dat de Unierechtelijke verplichtingen alleen voor het Europese deel van het Koninkrijk gelden. </w:t>
      </w:r>
      <w:r w:rsidRPr="005652B8">
        <w:t xml:space="preserve">Caribisch </w:t>
      </w:r>
      <w:r w:rsidR="00046ED1">
        <w:t xml:space="preserve">Nederland </w:t>
      </w:r>
      <w:r w:rsidRPr="005652B8">
        <w:t xml:space="preserve">(Bonaire, </w:t>
      </w:r>
      <w:proofErr w:type="gramStart"/>
      <w:r w:rsidRPr="005652B8">
        <w:t>Sint Eustatius</w:t>
      </w:r>
      <w:proofErr w:type="gramEnd"/>
      <w:r w:rsidRPr="005652B8">
        <w:t xml:space="preserve"> en Saba</w:t>
      </w:r>
      <w:r w:rsidR="00046ED1">
        <w:t>)</w:t>
      </w:r>
      <w:r w:rsidR="00AE37BD">
        <w:t>,</w:t>
      </w:r>
      <w:r w:rsidR="00046ED1">
        <w:t xml:space="preserve"> </w:t>
      </w:r>
      <w:r w:rsidRPr="005652B8">
        <w:t xml:space="preserve">alsmede de landen Aruba, Curaçao en Sint Maarten </w:t>
      </w:r>
      <w:r>
        <w:t>maken</w:t>
      </w:r>
      <w:r w:rsidRPr="005652B8">
        <w:t xml:space="preserve"> </w:t>
      </w:r>
      <w:r>
        <w:t xml:space="preserve">immers </w:t>
      </w:r>
      <w:r w:rsidRPr="005652B8">
        <w:t>geen deel uit van de Europese Unie.</w:t>
      </w:r>
    </w:p>
    <w:p w:rsidRPr="00D208B9" w:rsidR="008E680E" w:rsidP="008E680E" w:rsidRDefault="008E680E" w14:paraId="45DA07D2" w14:textId="77777777"/>
    <w:p w:rsidRPr="003766D6" w:rsidR="008E680E" w:rsidP="008E680E" w:rsidRDefault="008E680E" w14:paraId="586ADAF4" w14:textId="3CDF9BEE">
      <w:r w:rsidRPr="003130A1">
        <w:rPr>
          <w:u w:val="single"/>
        </w:rPr>
        <w:t>Artikel 2</w:t>
      </w:r>
      <w:r w:rsidR="00016A46">
        <w:rPr>
          <w:u w:val="single"/>
        </w:rPr>
        <w:t>2</w:t>
      </w:r>
      <w:r w:rsidRPr="003766D6">
        <w:t xml:space="preserve"> </w:t>
      </w:r>
      <w:r w:rsidRPr="003766D6" w:rsidR="00C11465">
        <w:t>(</w:t>
      </w:r>
      <w:r w:rsidRPr="003766D6" w:rsidR="00147BDD">
        <w:rPr>
          <w:i/>
        </w:rPr>
        <w:t>Regeling van geschillen</w:t>
      </w:r>
      <w:r w:rsidRPr="003766D6" w:rsidR="00C11465">
        <w:t>)</w:t>
      </w:r>
    </w:p>
    <w:p w:rsidR="008E680E" w:rsidP="008E680E" w:rsidRDefault="008E680E" w14:paraId="165EB06A" w14:textId="3552A5FE">
      <w:r>
        <w:t xml:space="preserve">De douaneadministraties proberen er onderling uit te komen indien er geschillen ontstaan. Indien douaneadministraties hier niet in slagen, is geschillenbeslechting via diplomatieke kanalen de aangewezen weg. </w:t>
      </w:r>
    </w:p>
    <w:p w:rsidR="008E680E" w:rsidP="008E680E" w:rsidRDefault="008E680E" w14:paraId="49A289F4" w14:textId="77777777"/>
    <w:p w:rsidR="008E680E" w:rsidP="008E680E" w:rsidRDefault="00016A46" w14:paraId="7B933F5C" w14:textId="501EF61E">
      <w:pPr>
        <w:rPr>
          <w:i/>
        </w:rPr>
      </w:pPr>
      <w:r>
        <w:rPr>
          <w:u w:val="single"/>
        </w:rPr>
        <w:t>Artikel 23</w:t>
      </w:r>
      <w:r w:rsidR="008E680E">
        <w:rPr>
          <w:u w:val="single"/>
        </w:rPr>
        <w:t xml:space="preserve"> </w:t>
      </w:r>
      <w:r w:rsidRPr="00147BDD" w:rsidR="008E680E">
        <w:t>(</w:t>
      </w:r>
      <w:r w:rsidR="008E680E">
        <w:rPr>
          <w:i/>
        </w:rPr>
        <w:t>Inwerkingtreding</w:t>
      </w:r>
      <w:r w:rsidRPr="00147BDD" w:rsidR="008E680E">
        <w:t>)</w:t>
      </w:r>
    </w:p>
    <w:p w:rsidRPr="000D7812" w:rsidR="008E680E" w:rsidP="008E680E" w:rsidRDefault="008E680E" w14:paraId="5AF2B7F0" w14:textId="3F7F83B2">
      <w:r>
        <w:t xml:space="preserve">Dit artikel bepaalt dat het </w:t>
      </w:r>
      <w:r w:rsidR="00A61D26">
        <w:t>V</w:t>
      </w:r>
      <w:r>
        <w:t xml:space="preserve">erdrag in werking zal treden op de eerste dag van de tweede maand nadat beide </w:t>
      </w:r>
      <w:r w:rsidR="005D133B">
        <w:t>partijen</w:t>
      </w:r>
      <w:r w:rsidR="0093300D">
        <w:t xml:space="preserve"> </w:t>
      </w:r>
      <w:r w:rsidRPr="00FE3DCB" w:rsidR="00B37714">
        <w:t>elkaar</w:t>
      </w:r>
      <w:r w:rsidR="00B37714">
        <w:t xml:space="preserve"> </w:t>
      </w:r>
      <w:r w:rsidR="0093300D">
        <w:t>hebben</w:t>
      </w:r>
      <w:r>
        <w:t xml:space="preserve"> genotificeerd</w:t>
      </w:r>
      <w:r w:rsidR="0093300D">
        <w:t xml:space="preserve"> dat de vereiste nationale procedures zijn doorlopen</w:t>
      </w:r>
      <w:r>
        <w:t>.</w:t>
      </w:r>
    </w:p>
    <w:p w:rsidR="008E680E" w:rsidP="008E680E" w:rsidRDefault="008E680E" w14:paraId="2C87546C" w14:textId="77777777">
      <w:pPr>
        <w:rPr>
          <w:i/>
        </w:rPr>
      </w:pPr>
    </w:p>
    <w:p w:rsidRPr="001636D7" w:rsidR="008E680E" w:rsidP="008E680E" w:rsidRDefault="008E680E" w14:paraId="5EBE6BBB" w14:textId="4ACF18FF">
      <w:pPr>
        <w:rPr>
          <w:i/>
          <w:u w:val="single"/>
        </w:rPr>
      </w:pPr>
      <w:r w:rsidRPr="001636D7">
        <w:rPr>
          <w:u w:val="single"/>
        </w:rPr>
        <w:t xml:space="preserve">Artikel </w:t>
      </w:r>
      <w:r w:rsidRPr="00844DC7" w:rsidR="00016A46">
        <w:rPr>
          <w:u w:val="single"/>
        </w:rPr>
        <w:t>24</w:t>
      </w:r>
      <w:r w:rsidRPr="003766D6">
        <w:t xml:space="preserve"> (</w:t>
      </w:r>
      <w:r w:rsidRPr="003766D6">
        <w:rPr>
          <w:i/>
        </w:rPr>
        <w:t>Herziening)</w:t>
      </w:r>
    </w:p>
    <w:p w:rsidR="008E680E" w:rsidP="008E680E" w:rsidRDefault="001636D7" w14:paraId="4A37BD20" w14:textId="3832C5DC">
      <w:r w:rsidRPr="001636D7">
        <w:t>V</w:t>
      </w:r>
      <w:r w:rsidRPr="001636D7" w:rsidR="008E680E">
        <w:t xml:space="preserve">erdragsluitende partijen </w:t>
      </w:r>
      <w:r w:rsidR="00C06EC4">
        <w:t>kunnen</w:t>
      </w:r>
      <w:r w:rsidRPr="001636D7" w:rsidR="008E680E">
        <w:t xml:space="preserve"> </w:t>
      </w:r>
      <w:r w:rsidR="00C06EC4">
        <w:t xml:space="preserve">op elk gewenst moment </w:t>
      </w:r>
      <w:r w:rsidRPr="001636D7">
        <w:t xml:space="preserve">op verzoek van een van de partijen </w:t>
      </w:r>
      <w:r w:rsidRPr="001636D7" w:rsidR="008E680E">
        <w:t>bijeenkomen voor herzien</w:t>
      </w:r>
      <w:r w:rsidRPr="001636D7">
        <w:t xml:space="preserve">ing van het </w:t>
      </w:r>
      <w:r w:rsidR="00A61D26">
        <w:t>V</w:t>
      </w:r>
      <w:r w:rsidRPr="001636D7">
        <w:t>erdrag</w:t>
      </w:r>
      <w:r w:rsidRPr="001636D7" w:rsidR="008E680E">
        <w:t xml:space="preserve">. </w:t>
      </w:r>
    </w:p>
    <w:p w:rsidR="008E680E" w:rsidP="008E680E" w:rsidRDefault="008E680E" w14:paraId="575F4672" w14:textId="77777777">
      <w:pPr>
        <w:rPr>
          <w:u w:val="single"/>
        </w:rPr>
      </w:pPr>
    </w:p>
    <w:p w:rsidR="008E680E" w:rsidP="008E680E" w:rsidRDefault="00016A46" w14:paraId="7D1E6ABD" w14:textId="5E42BEE2">
      <w:pPr>
        <w:rPr>
          <w:i/>
        </w:rPr>
      </w:pPr>
      <w:r>
        <w:rPr>
          <w:u w:val="single"/>
        </w:rPr>
        <w:t>Artikel 25</w:t>
      </w:r>
      <w:r w:rsidR="008E680E">
        <w:rPr>
          <w:u w:val="single"/>
        </w:rPr>
        <w:t xml:space="preserve"> </w:t>
      </w:r>
      <w:r w:rsidRPr="00611996" w:rsidR="00DE6BE7">
        <w:t>(</w:t>
      </w:r>
      <w:r w:rsidR="008E680E">
        <w:rPr>
          <w:i/>
        </w:rPr>
        <w:t>Duur en beëindiging</w:t>
      </w:r>
      <w:r w:rsidRPr="00611996" w:rsidR="00DE6BE7">
        <w:t>)</w:t>
      </w:r>
    </w:p>
    <w:p w:rsidRPr="00D208B9" w:rsidR="008E680E" w:rsidP="008E680E" w:rsidRDefault="008E680E" w14:paraId="12F1C102" w14:textId="21A46E9B">
      <w:r>
        <w:t xml:space="preserve">Dit artikel bepaalt dat het </w:t>
      </w:r>
      <w:r w:rsidR="00A61D26">
        <w:t>V</w:t>
      </w:r>
      <w:r>
        <w:t>erdra</w:t>
      </w:r>
      <w:r w:rsidR="001636D7">
        <w:t xml:space="preserve">g </w:t>
      </w:r>
      <w:r w:rsidR="00C06EC4">
        <w:t xml:space="preserve">in beginsel </w:t>
      </w:r>
      <w:r w:rsidR="001636D7">
        <w:t>voor onbepaalde duur van kracht is. Iedere verdragsluitende partij heeft de mogelijkheid</w:t>
      </w:r>
      <w:r>
        <w:t xml:space="preserve"> de andere partij in</w:t>
      </w:r>
      <w:r w:rsidR="001636D7">
        <w:t xml:space="preserve"> te </w:t>
      </w:r>
      <w:r>
        <w:t>licht</w:t>
      </w:r>
      <w:r w:rsidR="001636D7">
        <w:t>en</w:t>
      </w:r>
      <w:r>
        <w:t xml:space="preserve"> over het voornemen tot opzegging van het </w:t>
      </w:r>
      <w:r w:rsidR="00A61D26">
        <w:t>V</w:t>
      </w:r>
      <w:r>
        <w:t>erdrag. Indien dit aan de orde is, geldt ee</w:t>
      </w:r>
      <w:r w:rsidR="001636D7">
        <w:t xml:space="preserve">n minimale opzegtermijn van drie </w:t>
      </w:r>
      <w:r>
        <w:t>maanden.</w:t>
      </w:r>
    </w:p>
    <w:p w:rsidR="00E6328D" w:rsidP="008E680E" w:rsidRDefault="00E6328D" w14:paraId="3AE0FA1C" w14:textId="77777777"/>
    <w:p w:rsidR="00AE37BD" w:rsidP="008E680E" w:rsidRDefault="00AE37BD" w14:paraId="082F1F9F" w14:textId="77777777"/>
    <w:p w:rsidR="00AE37BD" w:rsidP="008E680E" w:rsidRDefault="00AE37BD" w14:paraId="3A6721EC" w14:textId="77777777"/>
    <w:p w:rsidR="00AE37BD" w:rsidP="008E680E" w:rsidRDefault="00AE37BD" w14:paraId="3D8366FA" w14:textId="77777777"/>
    <w:p w:rsidR="00AE37BD" w:rsidP="008E680E" w:rsidRDefault="00AE37BD" w14:paraId="5B9598C6" w14:textId="77777777"/>
    <w:p w:rsidR="00AE37BD" w:rsidP="008E680E" w:rsidRDefault="00AE37BD" w14:paraId="0D2EE769" w14:textId="77777777"/>
    <w:p w:rsidR="00AE37BD" w:rsidP="008E680E" w:rsidRDefault="00AE37BD" w14:paraId="0267FF62" w14:textId="77777777"/>
    <w:p w:rsidR="00AE37BD" w:rsidP="008E680E" w:rsidRDefault="00AE37BD" w14:paraId="70AA7E6B" w14:textId="77777777"/>
    <w:p w:rsidR="00AE37BD" w:rsidP="008E680E" w:rsidRDefault="00AE37BD" w14:paraId="1BBDB31A" w14:textId="77777777"/>
    <w:p w:rsidR="00AE37BD" w:rsidP="008E680E" w:rsidRDefault="00AE37BD" w14:paraId="4A867F65" w14:textId="77777777"/>
    <w:p w:rsidR="00AE37BD" w:rsidP="008E680E" w:rsidRDefault="00AE37BD" w14:paraId="2D32C905" w14:textId="77777777"/>
    <w:p w:rsidRPr="00FB194E" w:rsidR="00D3525C" w:rsidRDefault="00581BE4" w14:paraId="50A1B1BF" w14:textId="47E70126">
      <w:pPr>
        <w:rPr>
          <w:u w:val="single"/>
        </w:rPr>
      </w:pPr>
      <w:r w:rsidRPr="00FB194E">
        <w:rPr>
          <w:u w:val="single"/>
        </w:rPr>
        <w:lastRenderedPageBreak/>
        <w:t>Bijlage</w:t>
      </w:r>
    </w:p>
    <w:p w:rsidR="008E680E" w:rsidP="007A3362" w:rsidRDefault="00D27937" w14:paraId="662CBE22" w14:textId="38B139AD">
      <w:r>
        <w:t xml:space="preserve">De </w:t>
      </w:r>
      <w:r w:rsidR="00CB55EF">
        <w:t>B</w:t>
      </w:r>
      <w:r>
        <w:t>ijlage maakt integr</w:t>
      </w:r>
      <w:r w:rsidR="00183FCC">
        <w:t>erend</w:t>
      </w:r>
      <w:r>
        <w:t xml:space="preserve"> onderdeel uit van het Verdrag, en bevat nadere </w:t>
      </w:r>
      <w:r w:rsidR="00844DC7">
        <w:t xml:space="preserve">waarborgen </w:t>
      </w:r>
      <w:r w:rsidR="00AE12B1">
        <w:t>voor</w:t>
      </w:r>
      <w:r>
        <w:t xml:space="preserve"> de uitwisseling van persoonsgegevens</w:t>
      </w:r>
      <w:r w:rsidR="0099370A">
        <w:t xml:space="preserve"> waarin</w:t>
      </w:r>
      <w:r w:rsidR="00A473AF">
        <w:t xml:space="preserve"> de </w:t>
      </w:r>
      <w:r w:rsidR="001826DD">
        <w:t xml:space="preserve">in </w:t>
      </w:r>
      <w:r w:rsidR="00A473AF">
        <w:t xml:space="preserve">de </w:t>
      </w:r>
      <w:r w:rsidR="00FD138B">
        <w:t>A</w:t>
      </w:r>
      <w:r w:rsidR="00BF787A">
        <w:t>lgemene verordening gegevensbescherming</w:t>
      </w:r>
      <w:r w:rsidR="00B4102F">
        <w:t xml:space="preserve"> </w:t>
      </w:r>
      <w:r w:rsidR="001826DD">
        <w:t xml:space="preserve">genoemde beginselen </w:t>
      </w:r>
      <w:r w:rsidR="007B4D64">
        <w:t>met betrekking tot</w:t>
      </w:r>
      <w:r w:rsidR="00B4102F">
        <w:t xml:space="preserve"> </w:t>
      </w:r>
      <w:r w:rsidR="00A01B50">
        <w:t>rechtmatigheid, behoorlijkheid en transparantie, doelbinding, dataminimalisatie, juistheid, opslagbeperking, en vertrouwelijkheid en integriteit</w:t>
      </w:r>
      <w:r w:rsidRPr="00B03187" w:rsidR="00B03187">
        <w:t xml:space="preserve"> </w:t>
      </w:r>
      <w:r w:rsidR="00B03187">
        <w:t>worden geadresseerd</w:t>
      </w:r>
      <w:r w:rsidR="00A01B50">
        <w:t>.</w:t>
      </w:r>
    </w:p>
    <w:p w:rsidR="00661375" w:rsidP="008E680E" w:rsidRDefault="00661375" w14:paraId="257607E5" w14:textId="77777777"/>
    <w:p w:rsidRPr="00D208B9" w:rsidR="005B571E" w:rsidP="00683A3C" w:rsidRDefault="005B571E" w14:paraId="1CE556EF" w14:textId="6F473AD2"/>
    <w:p w:rsidRPr="00D208B9" w:rsidR="008E680E" w:rsidP="008E680E" w:rsidRDefault="008E680E" w14:paraId="5D86FEB5" w14:textId="77777777">
      <w:pPr>
        <w:outlineLvl w:val="0"/>
      </w:pPr>
    </w:p>
    <w:p w:rsidRPr="00D208B9" w:rsidR="008E680E" w:rsidP="008E680E" w:rsidRDefault="008E680E" w14:paraId="1EE65639" w14:textId="77777777">
      <w:pPr>
        <w:outlineLvl w:val="0"/>
      </w:pPr>
      <w:r w:rsidRPr="00D208B9">
        <w:t xml:space="preserve">De </w:t>
      </w:r>
      <w:r>
        <w:t>Staatssecretaris</w:t>
      </w:r>
      <w:r w:rsidRPr="00D208B9">
        <w:t xml:space="preserve"> van Financiën,</w:t>
      </w:r>
    </w:p>
    <w:p w:rsidRPr="00D208B9" w:rsidR="008E680E" w:rsidP="008E680E" w:rsidRDefault="008E680E" w14:paraId="058694D7" w14:textId="77777777"/>
    <w:p w:rsidRPr="00D208B9" w:rsidR="008E680E" w:rsidP="008E680E" w:rsidRDefault="008E680E" w14:paraId="17089E33" w14:textId="77777777"/>
    <w:p w:rsidRPr="00D208B9" w:rsidR="008E680E" w:rsidP="008E680E" w:rsidRDefault="008E680E" w14:paraId="40A9D6CE" w14:textId="77777777"/>
    <w:p w:rsidRPr="00D208B9" w:rsidR="008E680E" w:rsidP="008E680E" w:rsidRDefault="008E680E" w14:paraId="4EA2733A" w14:textId="77777777"/>
    <w:p w:rsidRPr="00D208B9" w:rsidR="008E680E" w:rsidP="008E680E" w:rsidRDefault="008E680E" w14:paraId="206D6CBD" w14:textId="4FE191F5">
      <w:r w:rsidRPr="00D208B9">
        <w:t xml:space="preserve">De </w:t>
      </w:r>
      <w:r>
        <w:t>M</w:t>
      </w:r>
      <w:r w:rsidRPr="00D208B9">
        <w:t xml:space="preserve">inister van Buitenlandse Zaken, </w:t>
      </w:r>
    </w:p>
    <w:p w:rsidRPr="00D208B9" w:rsidR="008E680E" w:rsidP="008E680E" w:rsidRDefault="008E680E" w14:paraId="20F14BA7" w14:textId="77777777"/>
    <w:sectPr w:rsidRPr="00D208B9" w:rsidR="008E680E"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A008" w14:textId="77777777" w:rsidR="00161E66" w:rsidRDefault="00161E66" w:rsidP="00F60320">
      <w:pPr>
        <w:spacing w:line="240" w:lineRule="auto"/>
      </w:pPr>
      <w:r>
        <w:separator/>
      </w:r>
    </w:p>
  </w:endnote>
  <w:endnote w:type="continuationSeparator" w:id="0">
    <w:p w14:paraId="02B67FA1" w14:textId="77777777" w:rsidR="00161E66" w:rsidRDefault="00161E66" w:rsidP="00F60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645561"/>
      <w:docPartObj>
        <w:docPartGallery w:val="Page Numbers (Bottom of Page)"/>
        <w:docPartUnique/>
      </w:docPartObj>
    </w:sdtPr>
    <w:sdtEndPr/>
    <w:sdtContent>
      <w:p w14:paraId="6D41DD55" w14:textId="133C5E6F" w:rsidR="00262E54" w:rsidRDefault="00262E54">
        <w:pPr>
          <w:pStyle w:val="Voettekst"/>
          <w:jc w:val="right"/>
        </w:pPr>
        <w:r>
          <w:fldChar w:fldCharType="begin"/>
        </w:r>
        <w:r>
          <w:instrText>PAGE   \* MERGEFORMAT</w:instrText>
        </w:r>
        <w:r>
          <w:fldChar w:fldCharType="separate"/>
        </w:r>
        <w:r>
          <w:t>2</w:t>
        </w:r>
        <w:r>
          <w:fldChar w:fldCharType="end"/>
        </w:r>
      </w:p>
    </w:sdtContent>
  </w:sdt>
  <w:p w14:paraId="7A48D4EA" w14:textId="77777777" w:rsidR="00AA0E20" w:rsidRDefault="00AA0E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2FAA" w14:textId="77777777" w:rsidR="00161E66" w:rsidRDefault="00161E66" w:rsidP="00F60320">
      <w:pPr>
        <w:spacing w:line="240" w:lineRule="auto"/>
      </w:pPr>
      <w:r>
        <w:separator/>
      </w:r>
    </w:p>
  </w:footnote>
  <w:footnote w:type="continuationSeparator" w:id="0">
    <w:p w14:paraId="306884E8" w14:textId="77777777" w:rsidR="00161E66" w:rsidRDefault="00161E66" w:rsidP="00F60320">
      <w:pPr>
        <w:spacing w:line="240" w:lineRule="auto"/>
      </w:pPr>
      <w:r>
        <w:continuationSeparator/>
      </w:r>
    </w:p>
  </w:footnote>
  <w:footnote w:id="1">
    <w:p w14:paraId="10E44614" w14:textId="77777777" w:rsidR="00C06EC4" w:rsidRPr="00715AEB" w:rsidRDefault="00C06EC4" w:rsidP="00F60320">
      <w:pPr>
        <w:pStyle w:val="Voetnoottekst"/>
        <w:rPr>
          <w:sz w:val="16"/>
          <w:szCs w:val="16"/>
        </w:rPr>
      </w:pPr>
      <w:r w:rsidRPr="00491BCB">
        <w:rPr>
          <w:rStyle w:val="Voetnootmarkering"/>
          <w:sz w:val="16"/>
          <w:szCs w:val="16"/>
        </w:rPr>
        <w:footnoteRef/>
      </w:r>
      <w:r w:rsidRPr="00491BCB">
        <w:rPr>
          <w:sz w:val="16"/>
          <w:szCs w:val="16"/>
        </w:rPr>
        <w:t xml:space="preserve"> </w:t>
      </w:r>
      <w:proofErr w:type="gramStart"/>
      <w:r w:rsidRPr="00491BCB">
        <w:rPr>
          <w:rFonts w:cs="Arial"/>
          <w:sz w:val="16"/>
          <w:szCs w:val="16"/>
        </w:rPr>
        <w:t>http://www.wcoomd.org/en/topics/enforcement-and-compliance/instruments-and-tools/~/media/DFAAF3B7943E4A53B12475C7CE54D8BD.ash</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BF2"/>
    <w:multiLevelType w:val="multilevel"/>
    <w:tmpl w:val="6FD0E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0E11499"/>
    <w:multiLevelType w:val="hybridMultilevel"/>
    <w:tmpl w:val="708AFC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5C3FF41"/>
    <w:multiLevelType w:val="singleLevel"/>
    <w:tmpl w:val="7C5E2825"/>
    <w:lvl w:ilvl="0">
      <w:start w:val="3"/>
      <w:numFmt w:val="decimal"/>
      <w:lvlText w:val="%1."/>
      <w:lvlJc w:val="left"/>
      <w:pPr>
        <w:tabs>
          <w:tab w:val="num" w:pos="648"/>
        </w:tabs>
        <w:ind w:left="648" w:hanging="648"/>
      </w:pPr>
      <w:rPr>
        <w:rFonts w:ascii="Times New Roman" w:hAnsi="Times New Roman" w:cs="Times New Roman"/>
        <w:color w:val="000000"/>
      </w:rPr>
    </w:lvl>
  </w:abstractNum>
  <w:abstractNum w:abstractNumId="3" w15:restartNumberingAfterBreak="0">
    <w:nsid w:val="607B1AD3"/>
    <w:multiLevelType w:val="singleLevel"/>
    <w:tmpl w:val="7B2CE4A8"/>
    <w:lvl w:ilvl="0">
      <w:start w:val="1"/>
      <w:numFmt w:val="lowerLetter"/>
      <w:lvlText w:val="%1."/>
      <w:legacy w:legacy="1" w:legacySpace="0" w:legacyIndent="283"/>
      <w:lvlJc w:val="left"/>
      <w:pPr>
        <w:ind w:left="283" w:hanging="283"/>
      </w:pPr>
    </w:lvl>
  </w:abstractNum>
  <w:abstractNum w:abstractNumId="4" w15:restartNumberingAfterBreak="0">
    <w:nsid w:val="69386182"/>
    <w:multiLevelType w:val="hybridMultilevel"/>
    <w:tmpl w:val="E2D0E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2243659">
    <w:abstractNumId w:val="3"/>
  </w:num>
  <w:num w:numId="2" w16cid:durableId="1144006315">
    <w:abstractNumId w:val="2"/>
  </w:num>
  <w:num w:numId="3" w16cid:durableId="1462918040">
    <w:abstractNumId w:val="0"/>
  </w:num>
  <w:num w:numId="4" w16cid:durableId="466627419">
    <w:abstractNumId w:val="4"/>
  </w:num>
  <w:num w:numId="5" w16cid:durableId="118452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20"/>
    <w:rsid w:val="00001CF1"/>
    <w:rsid w:val="00002C54"/>
    <w:rsid w:val="000040D1"/>
    <w:rsid w:val="00012550"/>
    <w:rsid w:val="000143D9"/>
    <w:rsid w:val="00016A46"/>
    <w:rsid w:val="00024566"/>
    <w:rsid w:val="000272F7"/>
    <w:rsid w:val="00040ED4"/>
    <w:rsid w:val="000449D2"/>
    <w:rsid w:val="00045B48"/>
    <w:rsid w:val="00046ED1"/>
    <w:rsid w:val="00050DC9"/>
    <w:rsid w:val="00050E74"/>
    <w:rsid w:val="0005101C"/>
    <w:rsid w:val="0006307F"/>
    <w:rsid w:val="00065809"/>
    <w:rsid w:val="0007755A"/>
    <w:rsid w:val="000849E1"/>
    <w:rsid w:val="00092F96"/>
    <w:rsid w:val="0009713E"/>
    <w:rsid w:val="000977F9"/>
    <w:rsid w:val="000A73DF"/>
    <w:rsid w:val="000B00A6"/>
    <w:rsid w:val="000B2D87"/>
    <w:rsid w:val="000B480A"/>
    <w:rsid w:val="000C0D31"/>
    <w:rsid w:val="000D5316"/>
    <w:rsid w:val="000D6E8E"/>
    <w:rsid w:val="000E1C31"/>
    <w:rsid w:val="000E733A"/>
    <w:rsid w:val="000F0B30"/>
    <w:rsid w:val="00103CA5"/>
    <w:rsid w:val="0010703A"/>
    <w:rsid w:val="00107621"/>
    <w:rsid w:val="0010795E"/>
    <w:rsid w:val="001151EE"/>
    <w:rsid w:val="00115D11"/>
    <w:rsid w:val="00116E7A"/>
    <w:rsid w:val="00122154"/>
    <w:rsid w:val="00126394"/>
    <w:rsid w:val="001342B9"/>
    <w:rsid w:val="001358F1"/>
    <w:rsid w:val="00146A2F"/>
    <w:rsid w:val="00147BDD"/>
    <w:rsid w:val="00151390"/>
    <w:rsid w:val="00151762"/>
    <w:rsid w:val="00153189"/>
    <w:rsid w:val="001557D9"/>
    <w:rsid w:val="00157093"/>
    <w:rsid w:val="00161E66"/>
    <w:rsid w:val="001636D7"/>
    <w:rsid w:val="001639F5"/>
    <w:rsid w:val="00163FE6"/>
    <w:rsid w:val="00165C2F"/>
    <w:rsid w:val="00166706"/>
    <w:rsid w:val="00167336"/>
    <w:rsid w:val="0017054B"/>
    <w:rsid w:val="00177F46"/>
    <w:rsid w:val="001826DD"/>
    <w:rsid w:val="00183FCC"/>
    <w:rsid w:val="0018667B"/>
    <w:rsid w:val="00193F10"/>
    <w:rsid w:val="001A74CC"/>
    <w:rsid w:val="001A7595"/>
    <w:rsid w:val="001B05DE"/>
    <w:rsid w:val="001B2F3C"/>
    <w:rsid w:val="001B457A"/>
    <w:rsid w:val="001B6BA1"/>
    <w:rsid w:val="001C0C4A"/>
    <w:rsid w:val="001C796C"/>
    <w:rsid w:val="001D2A89"/>
    <w:rsid w:val="001D61F0"/>
    <w:rsid w:val="001E2675"/>
    <w:rsid w:val="001E5931"/>
    <w:rsid w:val="001F2DE1"/>
    <w:rsid w:val="001F508D"/>
    <w:rsid w:val="001F58EA"/>
    <w:rsid w:val="001F620E"/>
    <w:rsid w:val="001F6FD4"/>
    <w:rsid w:val="001F747B"/>
    <w:rsid w:val="001F75FC"/>
    <w:rsid w:val="00201D32"/>
    <w:rsid w:val="002133F1"/>
    <w:rsid w:val="00214EDE"/>
    <w:rsid w:val="00216CA6"/>
    <w:rsid w:val="00220452"/>
    <w:rsid w:val="00231F36"/>
    <w:rsid w:val="00241C13"/>
    <w:rsid w:val="002427CB"/>
    <w:rsid w:val="00244BF7"/>
    <w:rsid w:val="00245B70"/>
    <w:rsid w:val="002545AB"/>
    <w:rsid w:val="00254F24"/>
    <w:rsid w:val="0026140C"/>
    <w:rsid w:val="00262E54"/>
    <w:rsid w:val="00265E7F"/>
    <w:rsid w:val="00266F2D"/>
    <w:rsid w:val="00271C34"/>
    <w:rsid w:val="00276BCC"/>
    <w:rsid w:val="00284A52"/>
    <w:rsid w:val="00284E3D"/>
    <w:rsid w:val="00286816"/>
    <w:rsid w:val="002904FE"/>
    <w:rsid w:val="00290915"/>
    <w:rsid w:val="002948BB"/>
    <w:rsid w:val="00295BFA"/>
    <w:rsid w:val="00296242"/>
    <w:rsid w:val="002A0C3A"/>
    <w:rsid w:val="002A353B"/>
    <w:rsid w:val="002A3A74"/>
    <w:rsid w:val="002B1225"/>
    <w:rsid w:val="002B19EE"/>
    <w:rsid w:val="002B319E"/>
    <w:rsid w:val="002B505D"/>
    <w:rsid w:val="002B6E4A"/>
    <w:rsid w:val="002C2519"/>
    <w:rsid w:val="002D3731"/>
    <w:rsid w:val="002E0655"/>
    <w:rsid w:val="002E0EC8"/>
    <w:rsid w:val="002E2E67"/>
    <w:rsid w:val="002E6176"/>
    <w:rsid w:val="002E6EEE"/>
    <w:rsid w:val="002E73C8"/>
    <w:rsid w:val="002E76E2"/>
    <w:rsid w:val="002F1DA1"/>
    <w:rsid w:val="002F3ED4"/>
    <w:rsid w:val="002F4B36"/>
    <w:rsid w:val="002F5C73"/>
    <w:rsid w:val="00300C2F"/>
    <w:rsid w:val="003018CB"/>
    <w:rsid w:val="003035B0"/>
    <w:rsid w:val="003047E9"/>
    <w:rsid w:val="00306AD6"/>
    <w:rsid w:val="00313CC3"/>
    <w:rsid w:val="00324C58"/>
    <w:rsid w:val="00330624"/>
    <w:rsid w:val="00335987"/>
    <w:rsid w:val="003413F2"/>
    <w:rsid w:val="00342249"/>
    <w:rsid w:val="0034609A"/>
    <w:rsid w:val="00360BF7"/>
    <w:rsid w:val="00364458"/>
    <w:rsid w:val="00365A12"/>
    <w:rsid w:val="003701EC"/>
    <w:rsid w:val="003748C4"/>
    <w:rsid w:val="003766D6"/>
    <w:rsid w:val="00380A20"/>
    <w:rsid w:val="00381F47"/>
    <w:rsid w:val="00391616"/>
    <w:rsid w:val="003B09CD"/>
    <w:rsid w:val="003B160C"/>
    <w:rsid w:val="003B4ACE"/>
    <w:rsid w:val="003D09E5"/>
    <w:rsid w:val="003D1E46"/>
    <w:rsid w:val="003D295F"/>
    <w:rsid w:val="003E2B08"/>
    <w:rsid w:val="003E345E"/>
    <w:rsid w:val="003E41F5"/>
    <w:rsid w:val="0041392D"/>
    <w:rsid w:val="004146EB"/>
    <w:rsid w:val="00415D21"/>
    <w:rsid w:val="00426074"/>
    <w:rsid w:val="00437536"/>
    <w:rsid w:val="004429DF"/>
    <w:rsid w:val="00443891"/>
    <w:rsid w:val="00446EC6"/>
    <w:rsid w:val="00447EAD"/>
    <w:rsid w:val="00447ED7"/>
    <w:rsid w:val="00447F58"/>
    <w:rsid w:val="00450F25"/>
    <w:rsid w:val="00452168"/>
    <w:rsid w:val="0046736A"/>
    <w:rsid w:val="004673ED"/>
    <w:rsid w:val="00470206"/>
    <w:rsid w:val="004714E6"/>
    <w:rsid w:val="00472CA9"/>
    <w:rsid w:val="00473D96"/>
    <w:rsid w:val="004775F3"/>
    <w:rsid w:val="00484336"/>
    <w:rsid w:val="004862D4"/>
    <w:rsid w:val="00486D70"/>
    <w:rsid w:val="00487CB9"/>
    <w:rsid w:val="00490D75"/>
    <w:rsid w:val="00491BCB"/>
    <w:rsid w:val="00494C1A"/>
    <w:rsid w:val="004977A9"/>
    <w:rsid w:val="004A0FA3"/>
    <w:rsid w:val="004B0CAD"/>
    <w:rsid w:val="004B5520"/>
    <w:rsid w:val="004C02BA"/>
    <w:rsid w:val="004C06C2"/>
    <w:rsid w:val="004C335B"/>
    <w:rsid w:val="004C3D47"/>
    <w:rsid w:val="004C5058"/>
    <w:rsid w:val="004D04CF"/>
    <w:rsid w:val="004D3CEE"/>
    <w:rsid w:val="004D632E"/>
    <w:rsid w:val="004D7E02"/>
    <w:rsid w:val="004D7FBC"/>
    <w:rsid w:val="004E13C6"/>
    <w:rsid w:val="004E66DA"/>
    <w:rsid w:val="00503F64"/>
    <w:rsid w:val="00505802"/>
    <w:rsid w:val="0051082E"/>
    <w:rsid w:val="005114FE"/>
    <w:rsid w:val="00512504"/>
    <w:rsid w:val="00516F24"/>
    <w:rsid w:val="00525221"/>
    <w:rsid w:val="00525C94"/>
    <w:rsid w:val="00530B38"/>
    <w:rsid w:val="00531B85"/>
    <w:rsid w:val="00531EE6"/>
    <w:rsid w:val="005469F2"/>
    <w:rsid w:val="0055108C"/>
    <w:rsid w:val="005554F7"/>
    <w:rsid w:val="005652B8"/>
    <w:rsid w:val="00565B4F"/>
    <w:rsid w:val="00565CDC"/>
    <w:rsid w:val="00577E8F"/>
    <w:rsid w:val="00581BE4"/>
    <w:rsid w:val="005908B1"/>
    <w:rsid w:val="00592A53"/>
    <w:rsid w:val="00595F6E"/>
    <w:rsid w:val="005A01C1"/>
    <w:rsid w:val="005A104D"/>
    <w:rsid w:val="005A15C3"/>
    <w:rsid w:val="005A271D"/>
    <w:rsid w:val="005A2831"/>
    <w:rsid w:val="005A7CCD"/>
    <w:rsid w:val="005B0785"/>
    <w:rsid w:val="005B235A"/>
    <w:rsid w:val="005B3DFA"/>
    <w:rsid w:val="005B3F5B"/>
    <w:rsid w:val="005B571E"/>
    <w:rsid w:val="005C54C5"/>
    <w:rsid w:val="005C634C"/>
    <w:rsid w:val="005D133B"/>
    <w:rsid w:val="005D198C"/>
    <w:rsid w:val="005D2C17"/>
    <w:rsid w:val="005D52F4"/>
    <w:rsid w:val="005D731B"/>
    <w:rsid w:val="005E6B41"/>
    <w:rsid w:val="005E747B"/>
    <w:rsid w:val="005E767E"/>
    <w:rsid w:val="005E78F5"/>
    <w:rsid w:val="005F0587"/>
    <w:rsid w:val="005F51B3"/>
    <w:rsid w:val="005F5A66"/>
    <w:rsid w:val="00606A6F"/>
    <w:rsid w:val="0061131D"/>
    <w:rsid w:val="00611996"/>
    <w:rsid w:val="00623899"/>
    <w:rsid w:val="00634261"/>
    <w:rsid w:val="006371C7"/>
    <w:rsid w:val="0065366C"/>
    <w:rsid w:val="006538D8"/>
    <w:rsid w:val="0065563B"/>
    <w:rsid w:val="00661375"/>
    <w:rsid w:val="00673F15"/>
    <w:rsid w:val="00681010"/>
    <w:rsid w:val="00682999"/>
    <w:rsid w:val="006835F3"/>
    <w:rsid w:val="00683A3C"/>
    <w:rsid w:val="00691B92"/>
    <w:rsid w:val="006A12F9"/>
    <w:rsid w:val="006A1A7B"/>
    <w:rsid w:val="006B4599"/>
    <w:rsid w:val="006B5866"/>
    <w:rsid w:val="006C0C99"/>
    <w:rsid w:val="006C268C"/>
    <w:rsid w:val="006D529C"/>
    <w:rsid w:val="006E2BAB"/>
    <w:rsid w:val="006E3B46"/>
    <w:rsid w:val="006F0571"/>
    <w:rsid w:val="006F101A"/>
    <w:rsid w:val="006F5899"/>
    <w:rsid w:val="0071449E"/>
    <w:rsid w:val="0071624E"/>
    <w:rsid w:val="00716C26"/>
    <w:rsid w:val="0072482D"/>
    <w:rsid w:val="00724CCA"/>
    <w:rsid w:val="007265DE"/>
    <w:rsid w:val="00730990"/>
    <w:rsid w:val="00735542"/>
    <w:rsid w:val="00737DB4"/>
    <w:rsid w:val="0074466F"/>
    <w:rsid w:val="007549F4"/>
    <w:rsid w:val="00756389"/>
    <w:rsid w:val="007574A8"/>
    <w:rsid w:val="00757F89"/>
    <w:rsid w:val="007615E5"/>
    <w:rsid w:val="00763203"/>
    <w:rsid w:val="00765944"/>
    <w:rsid w:val="00772936"/>
    <w:rsid w:val="007766F8"/>
    <w:rsid w:val="00782193"/>
    <w:rsid w:val="00786E75"/>
    <w:rsid w:val="00790215"/>
    <w:rsid w:val="00791002"/>
    <w:rsid w:val="007911E5"/>
    <w:rsid w:val="0079233A"/>
    <w:rsid w:val="007A3362"/>
    <w:rsid w:val="007B4D64"/>
    <w:rsid w:val="007B6C37"/>
    <w:rsid w:val="007C09D3"/>
    <w:rsid w:val="007C2E8A"/>
    <w:rsid w:val="007C61DE"/>
    <w:rsid w:val="007E19E7"/>
    <w:rsid w:val="007F689B"/>
    <w:rsid w:val="007F69F3"/>
    <w:rsid w:val="007F782A"/>
    <w:rsid w:val="00811FA3"/>
    <w:rsid w:val="00821707"/>
    <w:rsid w:val="00822962"/>
    <w:rsid w:val="00822E77"/>
    <w:rsid w:val="00830F4A"/>
    <w:rsid w:val="00836710"/>
    <w:rsid w:val="00840C20"/>
    <w:rsid w:val="00844C77"/>
    <w:rsid w:val="00844DC7"/>
    <w:rsid w:val="00845B83"/>
    <w:rsid w:val="00850B21"/>
    <w:rsid w:val="00850F22"/>
    <w:rsid w:val="00860951"/>
    <w:rsid w:val="008649F5"/>
    <w:rsid w:val="00864C7B"/>
    <w:rsid w:val="00866913"/>
    <w:rsid w:val="00875585"/>
    <w:rsid w:val="00886567"/>
    <w:rsid w:val="00886DFF"/>
    <w:rsid w:val="00890E2A"/>
    <w:rsid w:val="008934B4"/>
    <w:rsid w:val="008965A0"/>
    <w:rsid w:val="008A4947"/>
    <w:rsid w:val="008A5273"/>
    <w:rsid w:val="008A7094"/>
    <w:rsid w:val="008A74B5"/>
    <w:rsid w:val="008B01F5"/>
    <w:rsid w:val="008B7768"/>
    <w:rsid w:val="008D0803"/>
    <w:rsid w:val="008D137A"/>
    <w:rsid w:val="008D1B74"/>
    <w:rsid w:val="008D2F7D"/>
    <w:rsid w:val="008E16D3"/>
    <w:rsid w:val="008E1DA5"/>
    <w:rsid w:val="008E3C38"/>
    <w:rsid w:val="008E680E"/>
    <w:rsid w:val="008F0324"/>
    <w:rsid w:val="008F1E98"/>
    <w:rsid w:val="008F6800"/>
    <w:rsid w:val="008F6CB5"/>
    <w:rsid w:val="009009DE"/>
    <w:rsid w:val="009031F7"/>
    <w:rsid w:val="00905545"/>
    <w:rsid w:val="0091322A"/>
    <w:rsid w:val="00913C38"/>
    <w:rsid w:val="00921B18"/>
    <w:rsid w:val="00926112"/>
    <w:rsid w:val="00930A21"/>
    <w:rsid w:val="0093300D"/>
    <w:rsid w:val="00936A2A"/>
    <w:rsid w:val="009406EC"/>
    <w:rsid w:val="00942689"/>
    <w:rsid w:val="009459F9"/>
    <w:rsid w:val="00945C5C"/>
    <w:rsid w:val="0094636B"/>
    <w:rsid w:val="0094726D"/>
    <w:rsid w:val="00951413"/>
    <w:rsid w:val="00954028"/>
    <w:rsid w:val="0095464E"/>
    <w:rsid w:val="00961BB6"/>
    <w:rsid w:val="00962B89"/>
    <w:rsid w:val="00965E40"/>
    <w:rsid w:val="00972FA3"/>
    <w:rsid w:val="00980386"/>
    <w:rsid w:val="00980479"/>
    <w:rsid w:val="00980948"/>
    <w:rsid w:val="00982C85"/>
    <w:rsid w:val="009847E8"/>
    <w:rsid w:val="00985F96"/>
    <w:rsid w:val="00991CEB"/>
    <w:rsid w:val="009929FC"/>
    <w:rsid w:val="0099370A"/>
    <w:rsid w:val="009938D2"/>
    <w:rsid w:val="0099748F"/>
    <w:rsid w:val="009A0334"/>
    <w:rsid w:val="009A091C"/>
    <w:rsid w:val="009B0735"/>
    <w:rsid w:val="009B31E7"/>
    <w:rsid w:val="009B376E"/>
    <w:rsid w:val="009B7289"/>
    <w:rsid w:val="009B73EC"/>
    <w:rsid w:val="009C0C30"/>
    <w:rsid w:val="009C2C8A"/>
    <w:rsid w:val="009C5061"/>
    <w:rsid w:val="009C51B8"/>
    <w:rsid w:val="009C5213"/>
    <w:rsid w:val="009C7915"/>
    <w:rsid w:val="009E11F1"/>
    <w:rsid w:val="009E1A0C"/>
    <w:rsid w:val="009E29B2"/>
    <w:rsid w:val="009E42EB"/>
    <w:rsid w:val="009E57B2"/>
    <w:rsid w:val="009F3542"/>
    <w:rsid w:val="009F4FA9"/>
    <w:rsid w:val="009F6F5A"/>
    <w:rsid w:val="009F7882"/>
    <w:rsid w:val="00A01B50"/>
    <w:rsid w:val="00A03945"/>
    <w:rsid w:val="00A03B75"/>
    <w:rsid w:val="00A06040"/>
    <w:rsid w:val="00A14AC7"/>
    <w:rsid w:val="00A14C59"/>
    <w:rsid w:val="00A16CBB"/>
    <w:rsid w:val="00A17C6E"/>
    <w:rsid w:val="00A261DE"/>
    <w:rsid w:val="00A3757A"/>
    <w:rsid w:val="00A44982"/>
    <w:rsid w:val="00A46040"/>
    <w:rsid w:val="00A47270"/>
    <w:rsid w:val="00A473AF"/>
    <w:rsid w:val="00A47A6F"/>
    <w:rsid w:val="00A520AA"/>
    <w:rsid w:val="00A53DF2"/>
    <w:rsid w:val="00A54ECE"/>
    <w:rsid w:val="00A57905"/>
    <w:rsid w:val="00A61D26"/>
    <w:rsid w:val="00A66819"/>
    <w:rsid w:val="00A737BD"/>
    <w:rsid w:val="00A74583"/>
    <w:rsid w:val="00A74E5E"/>
    <w:rsid w:val="00A856FD"/>
    <w:rsid w:val="00A867B8"/>
    <w:rsid w:val="00A90E86"/>
    <w:rsid w:val="00AA0E20"/>
    <w:rsid w:val="00AA1BD9"/>
    <w:rsid w:val="00AA3462"/>
    <w:rsid w:val="00AA384A"/>
    <w:rsid w:val="00AA3BE1"/>
    <w:rsid w:val="00AA6FFE"/>
    <w:rsid w:val="00AB69EB"/>
    <w:rsid w:val="00AC2F91"/>
    <w:rsid w:val="00AC3CFB"/>
    <w:rsid w:val="00AC566F"/>
    <w:rsid w:val="00AD326E"/>
    <w:rsid w:val="00AD37AA"/>
    <w:rsid w:val="00AD398D"/>
    <w:rsid w:val="00AE12B1"/>
    <w:rsid w:val="00AE37BD"/>
    <w:rsid w:val="00AE6E4C"/>
    <w:rsid w:val="00AE7787"/>
    <w:rsid w:val="00AF243F"/>
    <w:rsid w:val="00AF3DE9"/>
    <w:rsid w:val="00AF4849"/>
    <w:rsid w:val="00AF4D45"/>
    <w:rsid w:val="00B03187"/>
    <w:rsid w:val="00B1376B"/>
    <w:rsid w:val="00B2440C"/>
    <w:rsid w:val="00B2607C"/>
    <w:rsid w:val="00B33040"/>
    <w:rsid w:val="00B37714"/>
    <w:rsid w:val="00B37CDA"/>
    <w:rsid w:val="00B4102F"/>
    <w:rsid w:val="00B43AF9"/>
    <w:rsid w:val="00B512AC"/>
    <w:rsid w:val="00B5331D"/>
    <w:rsid w:val="00B55E8E"/>
    <w:rsid w:val="00B55EAB"/>
    <w:rsid w:val="00B6171A"/>
    <w:rsid w:val="00B6429C"/>
    <w:rsid w:val="00B706E6"/>
    <w:rsid w:val="00B70A6F"/>
    <w:rsid w:val="00B70E4D"/>
    <w:rsid w:val="00B72BFC"/>
    <w:rsid w:val="00B8017E"/>
    <w:rsid w:val="00B83192"/>
    <w:rsid w:val="00B83E5D"/>
    <w:rsid w:val="00B87BD7"/>
    <w:rsid w:val="00B92DAD"/>
    <w:rsid w:val="00B94373"/>
    <w:rsid w:val="00B96C64"/>
    <w:rsid w:val="00BA1258"/>
    <w:rsid w:val="00BA5005"/>
    <w:rsid w:val="00BC2BB8"/>
    <w:rsid w:val="00BC2BFE"/>
    <w:rsid w:val="00BC675C"/>
    <w:rsid w:val="00BC6F66"/>
    <w:rsid w:val="00BD235F"/>
    <w:rsid w:val="00BD6791"/>
    <w:rsid w:val="00BE0252"/>
    <w:rsid w:val="00BE62F0"/>
    <w:rsid w:val="00BF2A38"/>
    <w:rsid w:val="00BF6117"/>
    <w:rsid w:val="00BF67D1"/>
    <w:rsid w:val="00BF76F5"/>
    <w:rsid w:val="00BF787A"/>
    <w:rsid w:val="00C01688"/>
    <w:rsid w:val="00C0447B"/>
    <w:rsid w:val="00C06EC4"/>
    <w:rsid w:val="00C07365"/>
    <w:rsid w:val="00C11465"/>
    <w:rsid w:val="00C17A94"/>
    <w:rsid w:val="00C24A6D"/>
    <w:rsid w:val="00C303F3"/>
    <w:rsid w:val="00C30BD0"/>
    <w:rsid w:val="00C431CC"/>
    <w:rsid w:val="00C43CA9"/>
    <w:rsid w:val="00C44432"/>
    <w:rsid w:val="00C45A51"/>
    <w:rsid w:val="00C52C86"/>
    <w:rsid w:val="00C6231B"/>
    <w:rsid w:val="00C635B3"/>
    <w:rsid w:val="00C63DA8"/>
    <w:rsid w:val="00C73967"/>
    <w:rsid w:val="00C773A4"/>
    <w:rsid w:val="00C96370"/>
    <w:rsid w:val="00CA60BD"/>
    <w:rsid w:val="00CB5274"/>
    <w:rsid w:val="00CB55EF"/>
    <w:rsid w:val="00CC14D1"/>
    <w:rsid w:val="00CC4737"/>
    <w:rsid w:val="00CC7DBD"/>
    <w:rsid w:val="00CD6224"/>
    <w:rsid w:val="00CD71D3"/>
    <w:rsid w:val="00CE0CFE"/>
    <w:rsid w:val="00CE2689"/>
    <w:rsid w:val="00CE32EF"/>
    <w:rsid w:val="00CF0361"/>
    <w:rsid w:val="00CF0440"/>
    <w:rsid w:val="00CF28C0"/>
    <w:rsid w:val="00CF4F64"/>
    <w:rsid w:val="00D03C54"/>
    <w:rsid w:val="00D03CF8"/>
    <w:rsid w:val="00D108B0"/>
    <w:rsid w:val="00D20CA6"/>
    <w:rsid w:val="00D27937"/>
    <w:rsid w:val="00D30D0F"/>
    <w:rsid w:val="00D31B8E"/>
    <w:rsid w:val="00D34F3E"/>
    <w:rsid w:val="00D3525C"/>
    <w:rsid w:val="00D37189"/>
    <w:rsid w:val="00D40FB0"/>
    <w:rsid w:val="00D443DD"/>
    <w:rsid w:val="00D445D1"/>
    <w:rsid w:val="00D5136F"/>
    <w:rsid w:val="00D53458"/>
    <w:rsid w:val="00D53A90"/>
    <w:rsid w:val="00D566C3"/>
    <w:rsid w:val="00D57D33"/>
    <w:rsid w:val="00D6392F"/>
    <w:rsid w:val="00D67ADC"/>
    <w:rsid w:val="00D73574"/>
    <w:rsid w:val="00D76DB3"/>
    <w:rsid w:val="00D76DE0"/>
    <w:rsid w:val="00D777A7"/>
    <w:rsid w:val="00D80C98"/>
    <w:rsid w:val="00D81E38"/>
    <w:rsid w:val="00D83BA3"/>
    <w:rsid w:val="00DA104B"/>
    <w:rsid w:val="00DA6E7F"/>
    <w:rsid w:val="00DB0741"/>
    <w:rsid w:val="00DB0B08"/>
    <w:rsid w:val="00DB3FF6"/>
    <w:rsid w:val="00DC020A"/>
    <w:rsid w:val="00DC055F"/>
    <w:rsid w:val="00DC21D6"/>
    <w:rsid w:val="00DD0363"/>
    <w:rsid w:val="00DD1F4E"/>
    <w:rsid w:val="00DD4B8F"/>
    <w:rsid w:val="00DD4F40"/>
    <w:rsid w:val="00DD5A6D"/>
    <w:rsid w:val="00DD7E36"/>
    <w:rsid w:val="00DE6BE7"/>
    <w:rsid w:val="00DE7FE9"/>
    <w:rsid w:val="00DF0EF9"/>
    <w:rsid w:val="00DF261B"/>
    <w:rsid w:val="00E0794F"/>
    <w:rsid w:val="00E179DB"/>
    <w:rsid w:val="00E24EBB"/>
    <w:rsid w:val="00E26713"/>
    <w:rsid w:val="00E27816"/>
    <w:rsid w:val="00E30880"/>
    <w:rsid w:val="00E33ACE"/>
    <w:rsid w:val="00E34929"/>
    <w:rsid w:val="00E34FC1"/>
    <w:rsid w:val="00E47564"/>
    <w:rsid w:val="00E54C60"/>
    <w:rsid w:val="00E61CBC"/>
    <w:rsid w:val="00E6328D"/>
    <w:rsid w:val="00E642C6"/>
    <w:rsid w:val="00E74D78"/>
    <w:rsid w:val="00E77AE4"/>
    <w:rsid w:val="00E80BDD"/>
    <w:rsid w:val="00E82EE6"/>
    <w:rsid w:val="00E85450"/>
    <w:rsid w:val="00E862AC"/>
    <w:rsid w:val="00EA364D"/>
    <w:rsid w:val="00EA558A"/>
    <w:rsid w:val="00EA59E8"/>
    <w:rsid w:val="00EB1919"/>
    <w:rsid w:val="00EB362E"/>
    <w:rsid w:val="00EB53BC"/>
    <w:rsid w:val="00EB60FF"/>
    <w:rsid w:val="00EC14EE"/>
    <w:rsid w:val="00EC4F94"/>
    <w:rsid w:val="00EC6F58"/>
    <w:rsid w:val="00ED0EFE"/>
    <w:rsid w:val="00ED4EA2"/>
    <w:rsid w:val="00ED750B"/>
    <w:rsid w:val="00EF431F"/>
    <w:rsid w:val="00F020D3"/>
    <w:rsid w:val="00F05215"/>
    <w:rsid w:val="00F112AB"/>
    <w:rsid w:val="00F1482F"/>
    <w:rsid w:val="00F151DD"/>
    <w:rsid w:val="00F16B10"/>
    <w:rsid w:val="00F223E9"/>
    <w:rsid w:val="00F22CDC"/>
    <w:rsid w:val="00F27155"/>
    <w:rsid w:val="00F272ED"/>
    <w:rsid w:val="00F30ACA"/>
    <w:rsid w:val="00F32197"/>
    <w:rsid w:val="00F35F5D"/>
    <w:rsid w:val="00F4465F"/>
    <w:rsid w:val="00F477C8"/>
    <w:rsid w:val="00F500B1"/>
    <w:rsid w:val="00F53366"/>
    <w:rsid w:val="00F53853"/>
    <w:rsid w:val="00F55A63"/>
    <w:rsid w:val="00F579F2"/>
    <w:rsid w:val="00F60320"/>
    <w:rsid w:val="00F66C6E"/>
    <w:rsid w:val="00F70F6A"/>
    <w:rsid w:val="00F7121C"/>
    <w:rsid w:val="00F73DA2"/>
    <w:rsid w:val="00F751A4"/>
    <w:rsid w:val="00F77297"/>
    <w:rsid w:val="00F8556E"/>
    <w:rsid w:val="00F86709"/>
    <w:rsid w:val="00F9366E"/>
    <w:rsid w:val="00F94198"/>
    <w:rsid w:val="00F9762A"/>
    <w:rsid w:val="00FB14C9"/>
    <w:rsid w:val="00FB194E"/>
    <w:rsid w:val="00FB5248"/>
    <w:rsid w:val="00FB5C28"/>
    <w:rsid w:val="00FB6CB3"/>
    <w:rsid w:val="00FD138B"/>
    <w:rsid w:val="00FD7F6A"/>
    <w:rsid w:val="00FE3DCB"/>
    <w:rsid w:val="00FF1BA9"/>
    <w:rsid w:val="00FF3811"/>
    <w:rsid w:val="00FF5C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0320"/>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after="0" w:line="360"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603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0320"/>
    <w:rPr>
      <w:rFonts w:ascii="Verdana" w:hAnsi="Verdana"/>
      <w:sz w:val="18"/>
    </w:rPr>
  </w:style>
  <w:style w:type="paragraph" w:styleId="Voettekst">
    <w:name w:val="footer"/>
    <w:basedOn w:val="Standaard"/>
    <w:link w:val="VoettekstChar"/>
    <w:uiPriority w:val="99"/>
    <w:unhideWhenUsed/>
    <w:rsid w:val="00F603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60320"/>
    <w:rPr>
      <w:rFonts w:ascii="Verdana" w:hAnsi="Verdana"/>
      <w:sz w:val="18"/>
    </w:rPr>
  </w:style>
  <w:style w:type="paragraph" w:styleId="Voetnoottekst">
    <w:name w:val="footnote text"/>
    <w:basedOn w:val="Standaard"/>
    <w:link w:val="VoetnoottekstChar"/>
    <w:uiPriority w:val="99"/>
    <w:semiHidden/>
    <w:rsid w:val="00F60320"/>
    <w:rPr>
      <w:sz w:val="24"/>
    </w:rPr>
  </w:style>
  <w:style w:type="character" w:customStyle="1" w:styleId="VoetnoottekstChar">
    <w:name w:val="Voetnoottekst Char"/>
    <w:basedOn w:val="Standaardalinea-lettertype"/>
    <w:link w:val="Voetnoottekst"/>
    <w:uiPriority w:val="99"/>
    <w:semiHidden/>
    <w:rsid w:val="00F60320"/>
    <w:rPr>
      <w:rFonts w:ascii="Arial" w:eastAsia="Times New Roman" w:hAnsi="Arial" w:cs="Times New Roman"/>
      <w:sz w:val="24"/>
      <w:szCs w:val="20"/>
      <w:lang w:eastAsia="nl-NL"/>
    </w:rPr>
  </w:style>
  <w:style w:type="character" w:styleId="Voetnootmarkering">
    <w:name w:val="footnote reference"/>
    <w:uiPriority w:val="99"/>
    <w:semiHidden/>
    <w:rsid w:val="00F60320"/>
    <w:rPr>
      <w:vertAlign w:val="superscript"/>
    </w:rPr>
  </w:style>
  <w:style w:type="character" w:styleId="Verwijzingopmerking">
    <w:name w:val="annotation reference"/>
    <w:uiPriority w:val="99"/>
    <w:semiHidden/>
    <w:rsid w:val="00F60320"/>
    <w:rPr>
      <w:sz w:val="16"/>
      <w:szCs w:val="16"/>
    </w:rPr>
  </w:style>
  <w:style w:type="paragraph" w:styleId="Tekstopmerking">
    <w:name w:val="annotation text"/>
    <w:basedOn w:val="Standaard"/>
    <w:link w:val="TekstopmerkingChar"/>
    <w:uiPriority w:val="99"/>
    <w:semiHidden/>
    <w:rsid w:val="00F60320"/>
  </w:style>
  <w:style w:type="character" w:customStyle="1" w:styleId="TekstopmerkingChar">
    <w:name w:val="Tekst opmerking Char"/>
    <w:basedOn w:val="Standaardalinea-lettertype"/>
    <w:link w:val="Tekstopmerking"/>
    <w:uiPriority w:val="99"/>
    <w:semiHidden/>
    <w:rsid w:val="00F6032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F6032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0320"/>
    <w:rPr>
      <w:rFonts w:ascii="Tahoma" w:eastAsia="Times New Roman" w:hAnsi="Tahoma" w:cs="Tahoma"/>
      <w:sz w:val="16"/>
      <w:szCs w:val="16"/>
      <w:lang w:eastAsia="nl-NL"/>
    </w:rPr>
  </w:style>
  <w:style w:type="character" w:customStyle="1" w:styleId="preformatted">
    <w:name w:val="preformatted"/>
    <w:rsid w:val="00A47A6F"/>
  </w:style>
  <w:style w:type="paragraph" w:styleId="Onderwerpvanopmerking">
    <w:name w:val="annotation subject"/>
    <w:basedOn w:val="Tekstopmerking"/>
    <w:next w:val="Tekstopmerking"/>
    <w:link w:val="OnderwerpvanopmerkingChar"/>
    <w:uiPriority w:val="99"/>
    <w:semiHidden/>
    <w:unhideWhenUsed/>
    <w:rsid w:val="00A47A6F"/>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A47A6F"/>
    <w:rPr>
      <w:rFonts w:ascii="Arial" w:eastAsia="Times New Roman" w:hAnsi="Arial" w:cs="Times New Roman"/>
      <w:b/>
      <w:bCs/>
      <w:sz w:val="20"/>
      <w:szCs w:val="20"/>
      <w:lang w:eastAsia="nl-NL"/>
    </w:rPr>
  </w:style>
  <w:style w:type="paragraph" w:styleId="Revisie">
    <w:name w:val="Revision"/>
    <w:hidden/>
    <w:uiPriority w:val="99"/>
    <w:semiHidden/>
    <w:rsid w:val="005469F2"/>
    <w:pPr>
      <w:spacing w:after="0" w:line="240" w:lineRule="auto"/>
    </w:pPr>
    <w:rPr>
      <w:rFonts w:ascii="Arial" w:eastAsia="Times New Roman" w:hAnsi="Arial" w:cs="Times New Roman"/>
      <w:sz w:val="20"/>
      <w:szCs w:val="20"/>
      <w:lang w:eastAsia="nl-NL"/>
    </w:rPr>
  </w:style>
  <w:style w:type="paragraph" w:styleId="Lijstalinea">
    <w:name w:val="List Paragraph"/>
    <w:basedOn w:val="Standaard"/>
    <w:uiPriority w:val="34"/>
    <w:qFormat/>
    <w:rsid w:val="00306AD6"/>
    <w:pPr>
      <w:ind w:left="720"/>
      <w:contextualSpacing/>
    </w:pPr>
  </w:style>
  <w:style w:type="paragraph" w:customStyle="1" w:styleId="Default">
    <w:name w:val="Default"/>
    <w:rsid w:val="009847E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2A0C3A"/>
    <w:rPr>
      <w:color w:val="0000FF" w:themeColor="hyperlink"/>
      <w:u w:val="single"/>
    </w:rPr>
  </w:style>
  <w:style w:type="character" w:styleId="Onopgelostemelding">
    <w:name w:val="Unresolved Mention"/>
    <w:basedOn w:val="Standaardalinea-lettertype"/>
    <w:uiPriority w:val="99"/>
    <w:semiHidden/>
    <w:unhideWhenUsed/>
    <w:rsid w:val="002A0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32420">
      <w:bodyDiv w:val="1"/>
      <w:marLeft w:val="0"/>
      <w:marRight w:val="0"/>
      <w:marTop w:val="0"/>
      <w:marBottom w:val="0"/>
      <w:divBdr>
        <w:top w:val="none" w:sz="0" w:space="0" w:color="auto"/>
        <w:left w:val="none" w:sz="0" w:space="0" w:color="auto"/>
        <w:bottom w:val="none" w:sz="0" w:space="0" w:color="auto"/>
        <w:right w:val="none" w:sz="0" w:space="0" w:color="auto"/>
      </w:divBdr>
      <w:divsChild>
        <w:div w:id="456801236">
          <w:marLeft w:val="0"/>
          <w:marRight w:val="0"/>
          <w:marTop w:val="0"/>
          <w:marBottom w:val="0"/>
          <w:divBdr>
            <w:top w:val="none" w:sz="0" w:space="0" w:color="auto"/>
            <w:left w:val="none" w:sz="0" w:space="0" w:color="auto"/>
            <w:bottom w:val="none" w:sz="0" w:space="0" w:color="auto"/>
            <w:right w:val="none" w:sz="0" w:space="0" w:color="auto"/>
          </w:divBdr>
        </w:div>
        <w:div w:id="1351299312">
          <w:marLeft w:val="0"/>
          <w:marRight w:val="0"/>
          <w:marTop w:val="0"/>
          <w:marBottom w:val="0"/>
          <w:divBdr>
            <w:top w:val="none" w:sz="0" w:space="0" w:color="auto"/>
            <w:left w:val="none" w:sz="0" w:space="0" w:color="auto"/>
            <w:bottom w:val="none" w:sz="0" w:space="0" w:color="auto"/>
            <w:right w:val="none" w:sz="0" w:space="0" w:color="auto"/>
          </w:divBdr>
        </w:div>
        <w:div w:id="95173405">
          <w:marLeft w:val="0"/>
          <w:marRight w:val="0"/>
          <w:marTop w:val="0"/>
          <w:marBottom w:val="0"/>
          <w:divBdr>
            <w:top w:val="none" w:sz="0" w:space="0" w:color="auto"/>
            <w:left w:val="none" w:sz="0" w:space="0" w:color="auto"/>
            <w:bottom w:val="none" w:sz="0" w:space="0" w:color="auto"/>
            <w:right w:val="none" w:sz="0" w:space="0" w:color="auto"/>
          </w:divBdr>
        </w:div>
        <w:div w:id="1623075370">
          <w:marLeft w:val="0"/>
          <w:marRight w:val="0"/>
          <w:marTop w:val="0"/>
          <w:marBottom w:val="0"/>
          <w:divBdr>
            <w:top w:val="none" w:sz="0" w:space="0" w:color="auto"/>
            <w:left w:val="none" w:sz="0" w:space="0" w:color="auto"/>
            <w:bottom w:val="none" w:sz="0" w:space="0" w:color="auto"/>
            <w:right w:val="none" w:sz="0" w:space="0" w:color="auto"/>
          </w:divBdr>
        </w:div>
        <w:div w:id="337849758">
          <w:marLeft w:val="0"/>
          <w:marRight w:val="0"/>
          <w:marTop w:val="0"/>
          <w:marBottom w:val="0"/>
          <w:divBdr>
            <w:top w:val="none" w:sz="0" w:space="0" w:color="auto"/>
            <w:left w:val="none" w:sz="0" w:space="0" w:color="auto"/>
            <w:bottom w:val="none" w:sz="0" w:space="0" w:color="auto"/>
            <w:right w:val="none" w:sz="0" w:space="0" w:color="auto"/>
          </w:divBdr>
        </w:div>
        <w:div w:id="763570201">
          <w:marLeft w:val="0"/>
          <w:marRight w:val="0"/>
          <w:marTop w:val="0"/>
          <w:marBottom w:val="0"/>
          <w:divBdr>
            <w:top w:val="none" w:sz="0" w:space="0" w:color="auto"/>
            <w:left w:val="none" w:sz="0" w:space="0" w:color="auto"/>
            <w:bottom w:val="none" w:sz="0" w:space="0" w:color="auto"/>
            <w:right w:val="none" w:sz="0" w:space="0" w:color="auto"/>
          </w:divBdr>
        </w:div>
        <w:div w:id="1668171431">
          <w:marLeft w:val="0"/>
          <w:marRight w:val="0"/>
          <w:marTop w:val="0"/>
          <w:marBottom w:val="0"/>
          <w:divBdr>
            <w:top w:val="none" w:sz="0" w:space="0" w:color="auto"/>
            <w:left w:val="none" w:sz="0" w:space="0" w:color="auto"/>
            <w:bottom w:val="none" w:sz="0" w:space="0" w:color="auto"/>
            <w:right w:val="none" w:sz="0" w:space="0" w:color="auto"/>
          </w:divBdr>
        </w:div>
        <w:div w:id="205221534">
          <w:marLeft w:val="0"/>
          <w:marRight w:val="0"/>
          <w:marTop w:val="0"/>
          <w:marBottom w:val="0"/>
          <w:divBdr>
            <w:top w:val="none" w:sz="0" w:space="0" w:color="auto"/>
            <w:left w:val="none" w:sz="0" w:space="0" w:color="auto"/>
            <w:bottom w:val="none" w:sz="0" w:space="0" w:color="auto"/>
            <w:right w:val="none" w:sz="0" w:space="0" w:color="auto"/>
          </w:divBdr>
        </w:div>
        <w:div w:id="1115906680">
          <w:marLeft w:val="0"/>
          <w:marRight w:val="0"/>
          <w:marTop w:val="0"/>
          <w:marBottom w:val="0"/>
          <w:divBdr>
            <w:top w:val="none" w:sz="0" w:space="0" w:color="auto"/>
            <w:left w:val="none" w:sz="0" w:space="0" w:color="auto"/>
            <w:bottom w:val="none" w:sz="0" w:space="0" w:color="auto"/>
            <w:right w:val="none" w:sz="0" w:space="0" w:color="auto"/>
          </w:divBdr>
        </w:div>
        <w:div w:id="803810061">
          <w:marLeft w:val="0"/>
          <w:marRight w:val="0"/>
          <w:marTop w:val="0"/>
          <w:marBottom w:val="0"/>
          <w:divBdr>
            <w:top w:val="none" w:sz="0" w:space="0" w:color="auto"/>
            <w:left w:val="none" w:sz="0" w:space="0" w:color="auto"/>
            <w:bottom w:val="none" w:sz="0" w:space="0" w:color="auto"/>
            <w:right w:val="none" w:sz="0" w:space="0" w:color="auto"/>
          </w:divBdr>
        </w:div>
        <w:div w:id="364522700">
          <w:marLeft w:val="0"/>
          <w:marRight w:val="0"/>
          <w:marTop w:val="0"/>
          <w:marBottom w:val="0"/>
          <w:divBdr>
            <w:top w:val="none" w:sz="0" w:space="0" w:color="auto"/>
            <w:left w:val="none" w:sz="0" w:space="0" w:color="auto"/>
            <w:bottom w:val="none" w:sz="0" w:space="0" w:color="auto"/>
            <w:right w:val="none" w:sz="0" w:space="0" w:color="auto"/>
          </w:divBdr>
        </w:div>
        <w:div w:id="746809599">
          <w:marLeft w:val="0"/>
          <w:marRight w:val="0"/>
          <w:marTop w:val="0"/>
          <w:marBottom w:val="0"/>
          <w:divBdr>
            <w:top w:val="none" w:sz="0" w:space="0" w:color="auto"/>
            <w:left w:val="none" w:sz="0" w:space="0" w:color="auto"/>
            <w:bottom w:val="none" w:sz="0" w:space="0" w:color="auto"/>
            <w:right w:val="none" w:sz="0" w:space="0" w:color="auto"/>
          </w:divBdr>
        </w:div>
        <w:div w:id="532813477">
          <w:marLeft w:val="0"/>
          <w:marRight w:val="0"/>
          <w:marTop w:val="0"/>
          <w:marBottom w:val="0"/>
          <w:divBdr>
            <w:top w:val="none" w:sz="0" w:space="0" w:color="auto"/>
            <w:left w:val="none" w:sz="0" w:space="0" w:color="auto"/>
            <w:bottom w:val="none" w:sz="0" w:space="0" w:color="auto"/>
            <w:right w:val="none" w:sz="0" w:space="0" w:color="auto"/>
          </w:divBdr>
        </w:div>
        <w:div w:id="1441409189">
          <w:marLeft w:val="0"/>
          <w:marRight w:val="0"/>
          <w:marTop w:val="0"/>
          <w:marBottom w:val="0"/>
          <w:divBdr>
            <w:top w:val="none" w:sz="0" w:space="0" w:color="auto"/>
            <w:left w:val="none" w:sz="0" w:space="0" w:color="auto"/>
            <w:bottom w:val="none" w:sz="0" w:space="0" w:color="auto"/>
            <w:right w:val="none" w:sz="0" w:space="0" w:color="auto"/>
          </w:divBdr>
        </w:div>
        <w:div w:id="1207640843">
          <w:marLeft w:val="0"/>
          <w:marRight w:val="0"/>
          <w:marTop w:val="0"/>
          <w:marBottom w:val="0"/>
          <w:divBdr>
            <w:top w:val="none" w:sz="0" w:space="0" w:color="auto"/>
            <w:left w:val="none" w:sz="0" w:space="0" w:color="auto"/>
            <w:bottom w:val="none" w:sz="0" w:space="0" w:color="auto"/>
            <w:right w:val="none" w:sz="0" w:space="0" w:color="auto"/>
          </w:divBdr>
        </w:div>
        <w:div w:id="2133400827">
          <w:marLeft w:val="0"/>
          <w:marRight w:val="0"/>
          <w:marTop w:val="0"/>
          <w:marBottom w:val="0"/>
          <w:divBdr>
            <w:top w:val="none" w:sz="0" w:space="0" w:color="auto"/>
            <w:left w:val="none" w:sz="0" w:space="0" w:color="auto"/>
            <w:bottom w:val="none" w:sz="0" w:space="0" w:color="auto"/>
            <w:right w:val="none" w:sz="0" w:space="0" w:color="auto"/>
          </w:divBdr>
        </w:div>
        <w:div w:id="1417360010">
          <w:marLeft w:val="0"/>
          <w:marRight w:val="0"/>
          <w:marTop w:val="0"/>
          <w:marBottom w:val="0"/>
          <w:divBdr>
            <w:top w:val="none" w:sz="0" w:space="0" w:color="auto"/>
            <w:left w:val="none" w:sz="0" w:space="0" w:color="auto"/>
            <w:bottom w:val="none" w:sz="0" w:space="0" w:color="auto"/>
            <w:right w:val="none" w:sz="0" w:space="0" w:color="auto"/>
          </w:divBdr>
        </w:div>
        <w:div w:id="2026403046">
          <w:marLeft w:val="0"/>
          <w:marRight w:val="0"/>
          <w:marTop w:val="0"/>
          <w:marBottom w:val="0"/>
          <w:divBdr>
            <w:top w:val="none" w:sz="0" w:space="0" w:color="auto"/>
            <w:left w:val="none" w:sz="0" w:space="0" w:color="auto"/>
            <w:bottom w:val="none" w:sz="0" w:space="0" w:color="auto"/>
            <w:right w:val="none" w:sz="0" w:space="0" w:color="auto"/>
          </w:divBdr>
        </w:div>
        <w:div w:id="895899566">
          <w:marLeft w:val="0"/>
          <w:marRight w:val="0"/>
          <w:marTop w:val="0"/>
          <w:marBottom w:val="0"/>
          <w:divBdr>
            <w:top w:val="none" w:sz="0" w:space="0" w:color="auto"/>
            <w:left w:val="none" w:sz="0" w:space="0" w:color="auto"/>
            <w:bottom w:val="none" w:sz="0" w:space="0" w:color="auto"/>
            <w:right w:val="none" w:sz="0" w:space="0" w:color="auto"/>
          </w:divBdr>
        </w:div>
        <w:div w:id="1338727090">
          <w:marLeft w:val="0"/>
          <w:marRight w:val="0"/>
          <w:marTop w:val="0"/>
          <w:marBottom w:val="0"/>
          <w:divBdr>
            <w:top w:val="none" w:sz="0" w:space="0" w:color="auto"/>
            <w:left w:val="none" w:sz="0" w:space="0" w:color="auto"/>
            <w:bottom w:val="none" w:sz="0" w:space="0" w:color="auto"/>
            <w:right w:val="none" w:sz="0" w:space="0" w:color="auto"/>
          </w:divBdr>
        </w:div>
        <w:div w:id="1973512988">
          <w:marLeft w:val="0"/>
          <w:marRight w:val="0"/>
          <w:marTop w:val="0"/>
          <w:marBottom w:val="0"/>
          <w:divBdr>
            <w:top w:val="none" w:sz="0" w:space="0" w:color="auto"/>
            <w:left w:val="none" w:sz="0" w:space="0" w:color="auto"/>
            <w:bottom w:val="none" w:sz="0" w:space="0" w:color="auto"/>
            <w:right w:val="none" w:sz="0" w:space="0" w:color="auto"/>
          </w:divBdr>
        </w:div>
        <w:div w:id="924462503">
          <w:marLeft w:val="0"/>
          <w:marRight w:val="0"/>
          <w:marTop w:val="0"/>
          <w:marBottom w:val="0"/>
          <w:divBdr>
            <w:top w:val="none" w:sz="0" w:space="0" w:color="auto"/>
            <w:left w:val="none" w:sz="0" w:space="0" w:color="auto"/>
            <w:bottom w:val="none" w:sz="0" w:space="0" w:color="auto"/>
            <w:right w:val="none" w:sz="0" w:space="0" w:color="auto"/>
          </w:divBdr>
        </w:div>
        <w:div w:id="1711105666">
          <w:marLeft w:val="0"/>
          <w:marRight w:val="0"/>
          <w:marTop w:val="0"/>
          <w:marBottom w:val="0"/>
          <w:divBdr>
            <w:top w:val="none" w:sz="0" w:space="0" w:color="auto"/>
            <w:left w:val="none" w:sz="0" w:space="0" w:color="auto"/>
            <w:bottom w:val="none" w:sz="0" w:space="0" w:color="auto"/>
            <w:right w:val="none" w:sz="0" w:space="0" w:color="auto"/>
          </w:divBdr>
        </w:div>
      </w:divsChild>
    </w:div>
    <w:div w:id="1160000667">
      <w:bodyDiv w:val="1"/>
      <w:marLeft w:val="0"/>
      <w:marRight w:val="0"/>
      <w:marTop w:val="0"/>
      <w:marBottom w:val="0"/>
      <w:divBdr>
        <w:top w:val="none" w:sz="0" w:space="0" w:color="auto"/>
        <w:left w:val="none" w:sz="0" w:space="0" w:color="auto"/>
        <w:bottom w:val="none" w:sz="0" w:space="0" w:color="auto"/>
        <w:right w:val="none" w:sz="0" w:space="0" w:color="auto"/>
      </w:divBdr>
    </w:div>
    <w:div w:id="1167788096">
      <w:bodyDiv w:val="1"/>
      <w:marLeft w:val="0"/>
      <w:marRight w:val="0"/>
      <w:marTop w:val="0"/>
      <w:marBottom w:val="0"/>
      <w:divBdr>
        <w:top w:val="none" w:sz="0" w:space="0" w:color="auto"/>
        <w:left w:val="none" w:sz="0" w:space="0" w:color="auto"/>
        <w:bottom w:val="none" w:sz="0" w:space="0" w:color="auto"/>
        <w:right w:val="none" w:sz="0" w:space="0" w:color="auto"/>
      </w:divBdr>
    </w:div>
    <w:div w:id="1199002422">
      <w:bodyDiv w:val="1"/>
      <w:marLeft w:val="0"/>
      <w:marRight w:val="0"/>
      <w:marTop w:val="0"/>
      <w:marBottom w:val="0"/>
      <w:divBdr>
        <w:top w:val="none" w:sz="0" w:space="0" w:color="auto"/>
        <w:left w:val="none" w:sz="0" w:space="0" w:color="auto"/>
        <w:bottom w:val="none" w:sz="0" w:space="0" w:color="auto"/>
        <w:right w:val="none" w:sz="0" w:space="0" w:color="auto"/>
      </w:divBdr>
    </w:div>
    <w:div w:id="19121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4883</ap:Words>
  <ap:Characters>26860</ap:Characters>
  <ap:DocSecurity>0</ap:DocSecurity>
  <ap:Lines>223</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2025-01-27T12:48:00.0000000Z</dcterms:created>
  <dcterms:modified xsi:type="dcterms:W3CDTF">2025-01-27T12:48:00.0000000Z</dcterms:modified>
  <dc:description>------------------------</dc:description>
  <dc:subject/>
  <keywords/>
  <version/>
  <category/>
</coreProperties>
</file>