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5C3" w:rsidP="000505C3" w:rsidRDefault="000505C3" w14:paraId="0CC516A4" w14:textId="6FFB401E">
      <w:pPr>
        <w:jc w:val="center"/>
      </w:pPr>
      <w:r>
        <w:rPr>
          <w:b/>
        </w:rPr>
        <w:t>Policy recommendation</w:t>
      </w:r>
      <w:r>
        <w:t xml:space="preserve">s for round #2: 13.30-14.30: </w:t>
      </w:r>
      <w:r>
        <w:rPr>
          <w:i/>
        </w:rPr>
        <w:t>Dutch contributions to food security worldwide</w:t>
      </w:r>
    </w:p>
    <w:p w:rsidR="008F5D43" w:rsidP="000505C3" w:rsidRDefault="005D66C3" w14:paraId="6F1F3CE0" w14:textId="77777777">
      <w:pPr>
        <w:jc w:val="center"/>
        <w:rPr>
          <w:b/>
        </w:rPr>
      </w:pPr>
      <w:r>
        <w:rPr>
          <w:b/>
        </w:rPr>
        <w:t xml:space="preserve">submitted by </w:t>
      </w:r>
      <w:r w:rsidR="000607E6">
        <w:rPr>
          <w:b/>
        </w:rPr>
        <w:t xml:space="preserve">Sofía Monsalve Suárez, </w:t>
      </w:r>
    </w:p>
    <w:p w:rsidR="000505C3" w:rsidP="000505C3" w:rsidRDefault="000607E6" w14:paraId="73818BD9" w14:textId="61763C76">
      <w:pPr>
        <w:jc w:val="center"/>
        <w:rPr>
          <w:b/>
        </w:rPr>
      </w:pPr>
      <w:r>
        <w:rPr>
          <w:b/>
        </w:rPr>
        <w:t xml:space="preserve">member of the International Panel of Experts on Sustainable Food Systems </w:t>
      </w:r>
      <w:hyperlink w:history="1" r:id="rId8">
        <w:r w:rsidRPr="00586624">
          <w:rPr>
            <w:rStyle w:val="Hyperlink"/>
            <w:b/>
          </w:rPr>
          <w:t>IPES-Food</w:t>
        </w:r>
      </w:hyperlink>
      <w:r w:rsidR="008F5D43">
        <w:rPr>
          <w:b/>
        </w:rPr>
        <w:t xml:space="preserve"> </w:t>
      </w:r>
      <w:r>
        <w:rPr>
          <w:b/>
        </w:rPr>
        <w:t xml:space="preserve">and </w:t>
      </w:r>
      <w:hyperlink w:history="1" r:id="rId9">
        <w:r w:rsidRPr="00586624">
          <w:rPr>
            <w:rStyle w:val="Hyperlink"/>
            <w:b/>
          </w:rPr>
          <w:t>FIAN International</w:t>
        </w:r>
      </w:hyperlink>
      <w:r w:rsidR="000505C3">
        <w:rPr>
          <w:rStyle w:val="Funotenzeichen"/>
          <w:b/>
        </w:rPr>
        <w:footnoteReference w:id="1"/>
      </w:r>
      <w:r>
        <w:rPr>
          <w:b/>
        </w:rPr>
        <w:t xml:space="preserve"> to</w:t>
      </w:r>
    </w:p>
    <w:p w:rsidR="000505C3" w:rsidP="000505C3" w:rsidRDefault="005D66C3" w14:paraId="36157376" w14:textId="14D7BF54">
      <w:pPr>
        <w:jc w:val="center"/>
        <w:rPr>
          <w:b/>
        </w:rPr>
      </w:pPr>
      <w:r>
        <w:rPr>
          <w:b/>
        </w:rPr>
        <w:t>the Dutch Parliamentary Committee on Foreign Trade and Development Aid for</w:t>
      </w:r>
    </w:p>
    <w:p w:rsidR="002F794E" w:rsidP="000505C3" w:rsidRDefault="005D66C3" w14:paraId="00000001" w14:textId="33D3B9E1">
      <w:pPr>
        <w:jc w:val="center"/>
        <w:rPr>
          <w:b/>
        </w:rPr>
      </w:pPr>
      <w:r>
        <w:rPr>
          <w:b/>
        </w:rPr>
        <w:t>its Round Table meeting on February 5, 2025</w:t>
      </w:r>
    </w:p>
    <w:p w:rsidR="002F794E" w:rsidRDefault="002F794E" w14:paraId="00000002" w14:textId="77777777"/>
    <w:p w:rsidR="00E346FE" w:rsidRDefault="00BC4511" w14:paraId="28F00613" w14:textId="4B678EF7">
      <w:pPr>
        <w:rPr>
          <w:i/>
          <w:lang w:val="en-GB"/>
        </w:rPr>
      </w:pPr>
      <w:r w:rsidRPr="000505C3">
        <w:rPr>
          <w:i/>
          <w:lang w:val="en-GB"/>
        </w:rPr>
        <w:t>What is the worldwide state of food security?</w:t>
      </w:r>
    </w:p>
    <w:p w:rsidR="00BC4511" w:rsidP="00BC4511" w:rsidRDefault="00BC4511" w14:paraId="1EF03DF4" w14:textId="0B6B36F1">
      <w:pPr>
        <w:rPr>
          <w:iCs/>
          <w:lang w:val="en-GB"/>
        </w:rPr>
      </w:pPr>
      <w:r w:rsidRPr="00BC4511">
        <w:rPr>
          <w:iCs/>
          <w:lang w:val="en-GB"/>
        </w:rPr>
        <w:t>According to the UN Food and Agriculture Organization (</w:t>
      </w:r>
      <w:hyperlink w:history="1" r:id="rId10">
        <w:r w:rsidRPr="00081071">
          <w:rPr>
            <w:rStyle w:val="Hyperlink"/>
            <w:iCs/>
            <w:lang w:val="en-GB"/>
          </w:rPr>
          <w:t>FAO</w:t>
        </w:r>
      </w:hyperlink>
      <w:r w:rsidRPr="00BC4511">
        <w:rPr>
          <w:iCs/>
          <w:lang w:val="en-GB"/>
        </w:rPr>
        <w:t xml:space="preserve">), </w:t>
      </w:r>
      <w:r w:rsidR="00F511EB">
        <w:rPr>
          <w:iCs/>
          <w:lang w:val="en-GB"/>
        </w:rPr>
        <w:t>be</w:t>
      </w:r>
      <w:r w:rsidRPr="00BC4511">
        <w:rPr>
          <w:iCs/>
          <w:lang w:val="en-GB"/>
        </w:rPr>
        <w:t>tween 713 and 757 million people</w:t>
      </w:r>
      <w:r w:rsidR="00F511EB">
        <w:rPr>
          <w:iCs/>
          <w:lang w:val="en-GB"/>
        </w:rPr>
        <w:t xml:space="preserve"> may have</w:t>
      </w:r>
      <w:r>
        <w:rPr>
          <w:iCs/>
          <w:lang w:val="en-GB"/>
        </w:rPr>
        <w:t xml:space="preserve"> </w:t>
      </w:r>
      <w:r w:rsidRPr="00BC4511">
        <w:rPr>
          <w:iCs/>
          <w:lang w:val="en-GB"/>
        </w:rPr>
        <w:t>faced</w:t>
      </w:r>
      <w:r>
        <w:rPr>
          <w:iCs/>
          <w:lang w:val="en-GB"/>
        </w:rPr>
        <w:t xml:space="preserve"> </w:t>
      </w:r>
      <w:r w:rsidRPr="00BC4511">
        <w:rPr>
          <w:iCs/>
          <w:lang w:val="en-GB"/>
        </w:rPr>
        <w:t xml:space="preserve">hunger in 2023. Around 28.9% of the global population – 2.33 billion people – </w:t>
      </w:r>
      <w:r w:rsidR="00F511EB">
        <w:rPr>
          <w:iCs/>
          <w:lang w:val="en-GB"/>
        </w:rPr>
        <w:t>were</w:t>
      </w:r>
      <w:r w:rsidRPr="00BC4511">
        <w:rPr>
          <w:iCs/>
          <w:lang w:val="en-GB"/>
        </w:rPr>
        <w:t xml:space="preserve"> moderately</w:t>
      </w:r>
      <w:r>
        <w:rPr>
          <w:iCs/>
          <w:lang w:val="en-GB"/>
        </w:rPr>
        <w:t xml:space="preserve"> </w:t>
      </w:r>
      <w:r w:rsidRPr="00BC4511">
        <w:rPr>
          <w:iCs/>
          <w:lang w:val="en-GB"/>
        </w:rPr>
        <w:t>or</w:t>
      </w:r>
      <w:r>
        <w:rPr>
          <w:iCs/>
          <w:lang w:val="en-GB"/>
        </w:rPr>
        <w:t xml:space="preserve"> </w:t>
      </w:r>
      <w:r w:rsidRPr="00BC4511">
        <w:rPr>
          <w:iCs/>
          <w:lang w:val="en-GB"/>
        </w:rPr>
        <w:t>severely food insecure. Food insecurity disproportionately affects</w:t>
      </w:r>
      <w:r>
        <w:rPr>
          <w:iCs/>
          <w:lang w:val="en-GB"/>
        </w:rPr>
        <w:t xml:space="preserve"> </w:t>
      </w:r>
      <w:r w:rsidRPr="00BC4511">
        <w:rPr>
          <w:iCs/>
          <w:lang w:val="en-GB"/>
        </w:rPr>
        <w:t xml:space="preserve">women and people in rural areas. By 2050, </w:t>
      </w:r>
      <w:r w:rsidR="00B67848">
        <w:rPr>
          <w:iCs/>
          <w:lang w:val="en-GB"/>
        </w:rPr>
        <w:t xml:space="preserve">an </w:t>
      </w:r>
      <w:r w:rsidRPr="00BC4511">
        <w:rPr>
          <w:iCs/>
          <w:lang w:val="en-GB"/>
        </w:rPr>
        <w:t>estimated 70% of the global population will</w:t>
      </w:r>
      <w:r>
        <w:rPr>
          <w:iCs/>
          <w:lang w:val="en-GB"/>
        </w:rPr>
        <w:t xml:space="preserve"> </w:t>
      </w:r>
      <w:r w:rsidRPr="00BC4511">
        <w:rPr>
          <w:iCs/>
          <w:lang w:val="en-GB"/>
        </w:rPr>
        <w:t>live in cities, highlight</w:t>
      </w:r>
      <w:r w:rsidR="00B67848">
        <w:rPr>
          <w:iCs/>
          <w:lang w:val="en-GB"/>
        </w:rPr>
        <w:t>ing</w:t>
      </w:r>
      <w:r w:rsidRPr="00BC4511">
        <w:rPr>
          <w:iCs/>
          <w:lang w:val="en-GB"/>
        </w:rPr>
        <w:t xml:space="preserve"> the need to address </w:t>
      </w:r>
      <w:r w:rsidR="00B67848">
        <w:rPr>
          <w:iCs/>
          <w:lang w:val="en-GB"/>
        </w:rPr>
        <w:t xml:space="preserve">urban </w:t>
      </w:r>
      <w:r w:rsidR="00F511EB">
        <w:rPr>
          <w:iCs/>
          <w:lang w:val="en-GB"/>
        </w:rPr>
        <w:t>food security</w:t>
      </w:r>
      <w:r w:rsidRPr="00BC4511">
        <w:rPr>
          <w:iCs/>
          <w:lang w:val="en-GB"/>
        </w:rPr>
        <w:t xml:space="preserve"> and develop </w:t>
      </w:r>
      <w:r w:rsidR="00284D44">
        <w:rPr>
          <w:iCs/>
          <w:lang w:val="en-GB"/>
        </w:rPr>
        <w:t xml:space="preserve">fair </w:t>
      </w:r>
      <w:r w:rsidRPr="00BC4511">
        <w:rPr>
          <w:iCs/>
          <w:lang w:val="en-GB"/>
        </w:rPr>
        <w:t>rural-urban</w:t>
      </w:r>
      <w:r>
        <w:rPr>
          <w:iCs/>
          <w:lang w:val="en-GB"/>
        </w:rPr>
        <w:t xml:space="preserve"> </w:t>
      </w:r>
      <w:r w:rsidRPr="00BC4511">
        <w:rPr>
          <w:iCs/>
          <w:lang w:val="en-GB"/>
        </w:rPr>
        <w:t>linkages</w:t>
      </w:r>
      <w:r w:rsidR="00284D44">
        <w:rPr>
          <w:iCs/>
          <w:lang w:val="en-GB"/>
        </w:rPr>
        <w:t xml:space="preserve">. </w:t>
      </w:r>
    </w:p>
    <w:p w:rsidR="00883D64" w:rsidP="00BC4511" w:rsidRDefault="00A31CC4" w14:paraId="47891475" w14:textId="22CFF168">
      <w:pPr>
        <w:rPr>
          <w:iCs/>
          <w:lang w:val="en-US"/>
        </w:rPr>
      </w:pPr>
      <w:r>
        <w:rPr>
          <w:rFonts w:eastAsia="Times New Roman"/>
          <w:color w:val="000000"/>
        </w:rPr>
        <w:t>Food insecurity is not a problem of insufficient production. T</w:t>
      </w:r>
      <w:r w:rsidRPr="00F667C1" w:rsidR="00F667C1">
        <w:rPr>
          <w:iCs/>
        </w:rPr>
        <w:t>he world already produces more than </w:t>
      </w:r>
      <w:hyperlink w:tgtFrame="_blank" w:history="1" r:id="rId11">
        <w:r w:rsidRPr="00F667C1" w:rsidR="00F667C1">
          <w:rPr>
            <w:rStyle w:val="Hyperlink"/>
            <w:iCs/>
          </w:rPr>
          <w:t>enough food to feed everyone</w:t>
        </w:r>
      </w:hyperlink>
      <w:r w:rsidRPr="00F667C1" w:rsidR="00F667C1">
        <w:rPr>
          <w:iCs/>
          <w:lang w:val="en-US"/>
        </w:rPr>
        <w:t>. Yet</w:t>
      </w:r>
      <w:r w:rsidRPr="00F667C1" w:rsidR="00F667C1">
        <w:rPr>
          <w:iCs/>
        </w:rPr>
        <w:t> </w:t>
      </w:r>
      <w:r w:rsidR="00FF6BFA">
        <w:rPr>
          <w:iCs/>
        </w:rPr>
        <w:t>food</w:t>
      </w:r>
      <w:r w:rsidRPr="00F667C1" w:rsidR="00F667C1">
        <w:rPr>
          <w:iCs/>
        </w:rPr>
        <w:t xml:space="preserve"> is</w:t>
      </w:r>
      <w:r w:rsidR="00FF6BFA">
        <w:rPr>
          <w:iCs/>
        </w:rPr>
        <w:t xml:space="preserve"> unfairly </w:t>
      </w:r>
      <w:r w:rsidRPr="00F667C1" w:rsidR="00F667C1">
        <w:rPr>
          <w:iCs/>
        </w:rPr>
        <w:t>allocated</w:t>
      </w:r>
      <w:r w:rsidR="00FF6BFA">
        <w:rPr>
          <w:iCs/>
        </w:rPr>
        <w:t xml:space="preserve"> due to poverty</w:t>
      </w:r>
      <w:r w:rsidR="00CA6E8A">
        <w:rPr>
          <w:iCs/>
        </w:rPr>
        <w:t xml:space="preserve">, inequality, </w:t>
      </w:r>
      <w:r w:rsidR="00D15646">
        <w:rPr>
          <w:iCs/>
        </w:rPr>
        <w:t>discrimination, economic shocks, conflict</w:t>
      </w:r>
      <w:r w:rsidR="00DC3C03">
        <w:rPr>
          <w:iCs/>
        </w:rPr>
        <w:t>s</w:t>
      </w:r>
      <w:r w:rsidR="00D15646">
        <w:rPr>
          <w:iCs/>
        </w:rPr>
        <w:t xml:space="preserve"> and </w:t>
      </w:r>
      <w:r w:rsidRPr="00883D64" w:rsidR="00D15646">
        <w:rPr>
          <w:iCs/>
          <w:lang w:val="en-US"/>
        </w:rPr>
        <w:t xml:space="preserve">escalating </w:t>
      </w:r>
      <w:r w:rsidR="00D15646">
        <w:rPr>
          <w:iCs/>
          <w:lang w:val="en-US"/>
        </w:rPr>
        <w:t xml:space="preserve">ecological and </w:t>
      </w:r>
      <w:r w:rsidRPr="00883D64" w:rsidR="00D15646">
        <w:rPr>
          <w:iCs/>
          <w:lang w:val="en-US"/>
        </w:rPr>
        <w:t>climate</w:t>
      </w:r>
      <w:r w:rsidR="00D15646">
        <w:rPr>
          <w:iCs/>
          <w:lang w:val="en-US"/>
        </w:rPr>
        <w:t xml:space="preserve"> crises</w:t>
      </w:r>
      <w:r w:rsidR="00FA1F0E">
        <w:rPr>
          <w:iCs/>
          <w:lang w:val="en-US"/>
        </w:rPr>
        <w:t xml:space="preserve">. </w:t>
      </w:r>
      <w:r w:rsidR="00B67848">
        <w:rPr>
          <w:iCs/>
          <w:lang w:val="en-US"/>
        </w:rPr>
        <w:t>T</w:t>
      </w:r>
      <w:r w:rsidR="006F0582">
        <w:rPr>
          <w:iCs/>
          <w:lang w:val="en-US"/>
        </w:rPr>
        <w:t xml:space="preserve">he focus on fossil </w:t>
      </w:r>
      <w:r w:rsidR="00FA1F0E">
        <w:rPr>
          <w:iCs/>
          <w:lang w:val="en-US"/>
        </w:rPr>
        <w:t>fuel-based</w:t>
      </w:r>
      <w:r w:rsidR="006F0582">
        <w:rPr>
          <w:iCs/>
          <w:lang w:val="en-US"/>
        </w:rPr>
        <w:t xml:space="preserve"> inputs for intensified agriculture and livestock production increases vulnerability to external shocks and fuel</w:t>
      </w:r>
      <w:r w:rsidR="00B67848">
        <w:rPr>
          <w:iCs/>
          <w:lang w:val="en-US"/>
        </w:rPr>
        <w:t>s</w:t>
      </w:r>
      <w:r w:rsidR="006F0582">
        <w:rPr>
          <w:iCs/>
          <w:lang w:val="en-US"/>
        </w:rPr>
        <w:t xml:space="preserve"> climate change, biodiversity loss and land degradation.</w:t>
      </w:r>
    </w:p>
    <w:p w:rsidRPr="00B67848" w:rsidR="006F0582" w:rsidP="00BC4511" w:rsidRDefault="006F0582" w14:paraId="4502F52F" w14:textId="688CF04C">
      <w:pPr>
        <w:rPr>
          <w:iCs/>
          <w:lang w:val="en-US"/>
        </w:rPr>
      </w:pPr>
      <w:r>
        <w:rPr>
          <w:iCs/>
          <w:lang w:val="en-US"/>
        </w:rPr>
        <w:t xml:space="preserve">Although small scale food producers feed </w:t>
      </w:r>
      <w:proofErr w:type="gramStart"/>
      <w:r>
        <w:rPr>
          <w:iCs/>
          <w:lang w:val="en-US"/>
        </w:rPr>
        <w:t>the majority of</w:t>
      </w:r>
      <w:proofErr w:type="gramEnd"/>
      <w:r>
        <w:rPr>
          <w:iCs/>
          <w:lang w:val="en-US"/>
        </w:rPr>
        <w:t xml:space="preserve"> the world´s population, unfair t</w:t>
      </w:r>
      <w:r w:rsidR="00CB7DA7">
        <w:rPr>
          <w:iCs/>
          <w:lang w:val="en-US"/>
        </w:rPr>
        <w:t>ra</w:t>
      </w:r>
      <w:r>
        <w:rPr>
          <w:iCs/>
          <w:lang w:val="en-US"/>
        </w:rPr>
        <w:t xml:space="preserve">de and market rules and </w:t>
      </w:r>
      <w:r w:rsidR="00B67848">
        <w:rPr>
          <w:iCs/>
          <w:lang w:val="en-US"/>
        </w:rPr>
        <w:t xml:space="preserve">a </w:t>
      </w:r>
      <w:r>
        <w:rPr>
          <w:iCs/>
          <w:lang w:val="en-US"/>
        </w:rPr>
        <w:t xml:space="preserve">lack of public support for family farming and agroecology </w:t>
      </w:r>
      <w:r w:rsidR="00B67848">
        <w:rPr>
          <w:iCs/>
          <w:lang w:val="en-US"/>
        </w:rPr>
        <w:t xml:space="preserve">– as well as </w:t>
      </w:r>
      <w:r w:rsidR="00FA1F0E">
        <w:rPr>
          <w:iCs/>
          <w:lang w:val="en-US"/>
        </w:rPr>
        <w:t xml:space="preserve">lack </w:t>
      </w:r>
      <w:r w:rsidR="00C25DA9">
        <w:rPr>
          <w:iCs/>
          <w:lang w:val="en-US"/>
        </w:rPr>
        <w:t>of access to natural resources</w:t>
      </w:r>
      <w:r w:rsidR="00B67848">
        <w:rPr>
          <w:iCs/>
          <w:lang w:val="en-US"/>
        </w:rPr>
        <w:t xml:space="preserve"> –</w:t>
      </w:r>
      <w:r w:rsidR="00C25DA9">
        <w:rPr>
          <w:iCs/>
          <w:lang w:val="en-US"/>
        </w:rPr>
        <w:t xml:space="preserve"> </w:t>
      </w:r>
      <w:r>
        <w:rPr>
          <w:iCs/>
          <w:lang w:val="en-US"/>
        </w:rPr>
        <w:t>continue to pose structural barriers for food security worldwide.</w:t>
      </w:r>
    </w:p>
    <w:p w:rsidR="00BC4511" w:rsidRDefault="00BC4511" w14:paraId="69C960EC" w14:textId="77777777">
      <w:pPr>
        <w:rPr>
          <w:iCs/>
        </w:rPr>
      </w:pPr>
    </w:p>
    <w:p w:rsidR="00E346FE" w:rsidP="000163A9" w:rsidRDefault="000163A9" w14:paraId="7C879543" w14:textId="750B61D5">
      <w:pPr>
        <w:rPr>
          <w:i/>
          <w:lang w:val="en-GB"/>
        </w:rPr>
      </w:pPr>
      <w:r>
        <w:rPr>
          <w:i/>
          <w:lang w:val="en-GB"/>
        </w:rPr>
        <w:t>W</w:t>
      </w:r>
      <w:r w:rsidRPr="000505C3">
        <w:rPr>
          <w:i/>
          <w:lang w:val="en-GB"/>
        </w:rPr>
        <w:t xml:space="preserve">hat part can the Netherlands play in increasing food security worldwide? </w:t>
      </w:r>
    </w:p>
    <w:p w:rsidRPr="00B67848" w:rsidR="000163A9" w:rsidRDefault="00C21746" w14:paraId="478FDCA2" w14:textId="4AF79984">
      <w:pPr>
        <w:rPr>
          <w:b/>
          <w:bCs/>
          <w:iCs/>
          <w:lang w:val="en-GB"/>
        </w:rPr>
      </w:pPr>
      <w:r w:rsidRPr="00E862BC">
        <w:rPr>
          <w:b/>
          <w:bCs/>
          <w:iCs/>
          <w:lang w:val="en-GB"/>
        </w:rPr>
        <w:t xml:space="preserve">Continue support </w:t>
      </w:r>
      <w:r w:rsidRPr="00E862BC" w:rsidR="00F34599">
        <w:rPr>
          <w:b/>
          <w:bCs/>
          <w:iCs/>
          <w:lang w:val="en-GB"/>
        </w:rPr>
        <w:t xml:space="preserve">international cooperation </w:t>
      </w:r>
      <w:r w:rsidR="00B420DC">
        <w:rPr>
          <w:b/>
          <w:bCs/>
          <w:iCs/>
          <w:lang w:val="en-GB"/>
        </w:rPr>
        <w:t>in</w:t>
      </w:r>
      <w:r w:rsidRPr="00E862BC" w:rsidR="00A34D94">
        <w:rPr>
          <w:b/>
          <w:bCs/>
          <w:iCs/>
          <w:lang w:val="en-GB"/>
        </w:rPr>
        <w:t xml:space="preserve"> UN agencies and the multilateral system </w:t>
      </w:r>
    </w:p>
    <w:p w:rsidR="002C564A" w:rsidRDefault="00BB725E" w14:paraId="27278857" w14:textId="015D4B9B">
      <w:r w:rsidRPr="3D0799B2">
        <w:rPr>
          <w:lang w:val="en-US"/>
        </w:rPr>
        <w:t>Dutch global food security policies contribute to global stability and are committed to achieving the Zero Hunger goal (SDG2).</w:t>
      </w:r>
      <w:r w:rsidR="00B420DC">
        <w:rPr>
          <w:lang w:val="en-US"/>
        </w:rPr>
        <w:t xml:space="preserve"> </w:t>
      </w:r>
      <w:r w:rsidRPr="3D0799B2">
        <w:rPr>
          <w:lang w:val="en-US"/>
        </w:rPr>
        <w:t>The Netherlands has been a strong supporter of global food governance</w:t>
      </w:r>
      <w:r w:rsidRPr="3D0799B2" w:rsidR="00CD1374">
        <w:rPr>
          <w:lang w:val="en-US"/>
        </w:rPr>
        <w:t xml:space="preserve"> through various commitments:</w:t>
      </w:r>
    </w:p>
    <w:p w:rsidR="005663AB" w:rsidP="00971711" w:rsidRDefault="002C564A" w14:paraId="1846B8C6" w14:textId="77777777">
      <w:pPr>
        <w:numPr>
          <w:ilvl w:val="0"/>
          <w:numId w:val="1"/>
        </w:numPr>
      </w:pPr>
      <w:r>
        <w:t xml:space="preserve">It is </w:t>
      </w:r>
      <w:r w:rsidR="00CE1C47">
        <w:t xml:space="preserve">an active and </w:t>
      </w:r>
      <w:r>
        <w:t xml:space="preserve">committed </w:t>
      </w:r>
      <w:r w:rsidR="00CE1C47">
        <w:t>member of</w:t>
      </w:r>
      <w:r w:rsidR="00682D36">
        <w:t xml:space="preserve"> the UN</w:t>
      </w:r>
      <w:r>
        <w:t xml:space="preserve"> Committee for World Food Security (CFS), the foremost inclusive and multi-actor platform for global food </w:t>
      </w:r>
      <w:r w:rsidR="002A206F">
        <w:t>governance.</w:t>
      </w:r>
      <w:r w:rsidR="00971711">
        <w:t xml:space="preserve"> The Netherlands should reaffirm and strengthen its support to the CFS</w:t>
      </w:r>
      <w:r w:rsidR="005663AB">
        <w:t xml:space="preserve">. </w:t>
      </w:r>
    </w:p>
    <w:p w:rsidR="00971711" w:rsidP="00971711" w:rsidRDefault="003C6120" w14:paraId="6B0AF936" w14:textId="0B9A40CC">
      <w:pPr>
        <w:numPr>
          <w:ilvl w:val="0"/>
          <w:numId w:val="1"/>
        </w:numPr>
      </w:pPr>
      <w:r w:rsidRPr="3D0799B2">
        <w:rPr>
          <w:lang w:val="en-US"/>
        </w:rPr>
        <w:t>W</w:t>
      </w:r>
      <w:r w:rsidRPr="3D0799B2" w:rsidR="00971711">
        <w:rPr>
          <w:lang w:val="en-US"/>
        </w:rPr>
        <w:t xml:space="preserve">hile securing equal and balanced participation of all stakeholder groups, </w:t>
      </w:r>
      <w:r w:rsidRPr="3D0799B2">
        <w:rPr>
          <w:lang w:val="en-US"/>
        </w:rPr>
        <w:t xml:space="preserve">the Netherlands </w:t>
      </w:r>
      <w:r w:rsidRPr="3D0799B2" w:rsidR="00E70A85">
        <w:rPr>
          <w:lang w:val="en-US"/>
        </w:rPr>
        <w:t xml:space="preserve">should </w:t>
      </w:r>
      <w:r w:rsidRPr="3D0799B2" w:rsidR="00971711">
        <w:rPr>
          <w:lang w:val="en-US"/>
        </w:rPr>
        <w:t>not trade accountable multilateralism</w:t>
      </w:r>
      <w:r w:rsidRPr="3D0799B2" w:rsidR="00606C16">
        <w:rPr>
          <w:lang w:val="en-US"/>
        </w:rPr>
        <w:t xml:space="preserve"> in UN fora</w:t>
      </w:r>
      <w:r w:rsidRPr="3D0799B2" w:rsidR="00971711">
        <w:rPr>
          <w:lang w:val="en-US"/>
        </w:rPr>
        <w:t xml:space="preserve"> for </w:t>
      </w:r>
      <w:proofErr w:type="spellStart"/>
      <w:r w:rsidRPr="3D0799B2" w:rsidR="00971711">
        <w:rPr>
          <w:lang w:val="en-US"/>
        </w:rPr>
        <w:t>multistakeholderism</w:t>
      </w:r>
      <w:proofErr w:type="spellEnd"/>
      <w:r w:rsidRPr="3D0799B2" w:rsidR="00971711">
        <w:rPr>
          <w:lang w:val="en-US"/>
        </w:rPr>
        <w:t xml:space="preserve">, which is prone to corporate capture and other power </w:t>
      </w:r>
      <w:r w:rsidRPr="3D0799B2" w:rsidR="00D31702">
        <w:rPr>
          <w:lang w:val="en-US"/>
        </w:rPr>
        <w:t>imbalances.</w:t>
      </w:r>
    </w:p>
    <w:p w:rsidR="002C564A" w:rsidP="002C564A" w:rsidRDefault="0079617D" w14:paraId="06743BC7" w14:textId="3D9BDFC9">
      <w:pPr>
        <w:pStyle w:val="Listenabsatz"/>
        <w:numPr>
          <w:ilvl w:val="0"/>
          <w:numId w:val="2"/>
        </w:numPr>
      </w:pPr>
      <w:r>
        <w:t xml:space="preserve">The Netherlands </w:t>
      </w:r>
      <w:r w:rsidR="00FA1F0E">
        <w:t xml:space="preserve">should continue to </w:t>
      </w:r>
      <w:r w:rsidR="002A206F">
        <w:t xml:space="preserve">support research on agriculture and sustainable food systems </w:t>
      </w:r>
      <w:r w:rsidRPr="002A206F" w:rsidR="002A206F">
        <w:t>through the Consultative Group on International Agricultural Research</w:t>
      </w:r>
      <w:r w:rsidR="002A206F">
        <w:t>.</w:t>
      </w:r>
      <w:r w:rsidR="001506C1">
        <w:t xml:space="preserve"> </w:t>
      </w:r>
    </w:p>
    <w:p w:rsidR="00CE1C47" w:rsidP="005342C4" w:rsidRDefault="001506C1" w14:paraId="3D92303F" w14:textId="0DE38C89">
      <w:pPr>
        <w:pStyle w:val="Listenabsatz"/>
        <w:numPr>
          <w:ilvl w:val="0"/>
          <w:numId w:val="2"/>
        </w:numPr>
      </w:pPr>
      <w:r>
        <w:t xml:space="preserve">The Netherlands should continue supporting </w:t>
      </w:r>
      <w:r w:rsidR="00CE1C47">
        <w:t>smallholder farmers t</w:t>
      </w:r>
      <w:r w:rsidR="002D047B">
        <w:t xml:space="preserve">hrough </w:t>
      </w:r>
      <w:hyperlink w:history="1" r:id="rId12">
        <w:r w:rsidRPr="00526467" w:rsidR="002D047B">
          <w:rPr>
            <w:rStyle w:val="Hyperlink"/>
          </w:rPr>
          <w:t>IFAD</w:t>
        </w:r>
      </w:hyperlink>
      <w:r w:rsidR="00D31702">
        <w:t>.</w:t>
      </w:r>
      <w:r w:rsidR="002D047B">
        <w:t xml:space="preserve"> </w:t>
      </w:r>
    </w:p>
    <w:p w:rsidR="00E11E51" w:rsidP="00E11E51" w:rsidRDefault="00E11E51" w14:paraId="1D5BD57D" w14:textId="77777777">
      <w:pPr>
        <w:rPr>
          <w:b/>
        </w:rPr>
      </w:pPr>
    </w:p>
    <w:p w:rsidR="00E862BC" w:rsidP="00E11E51" w:rsidRDefault="00E11E51" w14:paraId="5A3513AD" w14:textId="5156F46A">
      <w:pPr>
        <w:rPr>
          <w:b/>
        </w:rPr>
      </w:pPr>
      <w:r>
        <w:rPr>
          <w:b/>
        </w:rPr>
        <w:lastRenderedPageBreak/>
        <w:t xml:space="preserve">Maintain the commitment to ODA for </w:t>
      </w:r>
      <w:r w:rsidR="00E862BC">
        <w:rPr>
          <w:b/>
        </w:rPr>
        <w:t>agriculture and food security</w:t>
      </w:r>
      <w:r w:rsidR="00337FC1">
        <w:rPr>
          <w:b/>
        </w:rPr>
        <w:t xml:space="preserve">, </w:t>
      </w:r>
      <w:r w:rsidR="00E862BC">
        <w:rPr>
          <w:b/>
        </w:rPr>
        <w:t>take a food system approach</w:t>
      </w:r>
      <w:r w:rsidR="00337FC1">
        <w:rPr>
          <w:b/>
        </w:rPr>
        <w:t xml:space="preserve"> and</w:t>
      </w:r>
      <w:r w:rsidR="00161A7E">
        <w:rPr>
          <w:b/>
        </w:rPr>
        <w:t xml:space="preserve"> contribute towards a </w:t>
      </w:r>
      <w:r w:rsidR="006440AD">
        <w:rPr>
          <w:b/>
        </w:rPr>
        <w:t>just transition to sustainable agri-food systems</w:t>
      </w:r>
    </w:p>
    <w:p w:rsidR="002A4D73" w:rsidP="002A4D73" w:rsidRDefault="006C18E6" w14:paraId="09C98590" w14:textId="143A1E5A">
      <w:r w:rsidRPr="3D0799B2">
        <w:rPr>
          <w:lang w:val="en-US"/>
        </w:rPr>
        <w:t xml:space="preserve">Dutch Official Development Assistance (ODA) has </w:t>
      </w:r>
      <w:r w:rsidR="00526467">
        <w:rPr>
          <w:lang w:val="en-US"/>
        </w:rPr>
        <w:t>long</w:t>
      </w:r>
      <w:r w:rsidRPr="3D0799B2">
        <w:rPr>
          <w:lang w:val="en-US"/>
        </w:rPr>
        <w:t xml:space="preserve"> prioritized food security, with an average annual budget of 350 million euros </w:t>
      </w:r>
      <w:r w:rsidR="00FA1F0E">
        <w:rPr>
          <w:lang w:val="en-US"/>
        </w:rPr>
        <w:t>in recent</w:t>
      </w:r>
      <w:r w:rsidRPr="3D0799B2">
        <w:rPr>
          <w:lang w:val="en-US"/>
        </w:rPr>
        <w:t xml:space="preserve"> years. It has </w:t>
      </w:r>
      <w:r w:rsidR="001506C1">
        <w:rPr>
          <w:lang w:val="en-US"/>
        </w:rPr>
        <w:t>proven to be a</w:t>
      </w:r>
      <w:r w:rsidRPr="3D0799B2">
        <w:rPr>
          <w:lang w:val="en-US"/>
        </w:rPr>
        <w:t xml:space="preserve"> reliable and committed partner to Dutch and international grassroots civil society, academia and </w:t>
      </w:r>
      <w:r w:rsidR="001506C1">
        <w:rPr>
          <w:lang w:val="en-US"/>
        </w:rPr>
        <w:t xml:space="preserve">the </w:t>
      </w:r>
      <w:r w:rsidRPr="3D0799B2">
        <w:rPr>
          <w:lang w:val="en-US"/>
        </w:rPr>
        <w:t xml:space="preserve">private sector, funding a broad range of projects promoting the ‘Dutch diamond approach’. </w:t>
      </w:r>
      <w:r w:rsidR="001506C1">
        <w:rPr>
          <w:lang w:val="en-US"/>
        </w:rPr>
        <w:t>T</w:t>
      </w:r>
      <w:r w:rsidRPr="3D0799B2" w:rsidR="002A4D73">
        <w:rPr>
          <w:lang w:val="en-US"/>
        </w:rPr>
        <w:t xml:space="preserve">he recent announcement </w:t>
      </w:r>
      <w:r w:rsidR="00FA1F0E">
        <w:rPr>
          <w:lang w:val="en-US"/>
        </w:rPr>
        <w:t xml:space="preserve">to </w:t>
      </w:r>
      <w:r w:rsidRPr="3D0799B2" w:rsidR="002A4D73">
        <w:rPr>
          <w:lang w:val="en-US"/>
        </w:rPr>
        <w:t>drastically cut the budget for civil society organizations engaged in promoting food systems transformation would severely impair the Netherlands</w:t>
      </w:r>
      <w:r w:rsidR="00E346FE">
        <w:rPr>
          <w:lang w:val="en-US"/>
        </w:rPr>
        <w:t>’</w:t>
      </w:r>
      <w:r w:rsidRPr="3D0799B2" w:rsidR="002A4D73">
        <w:rPr>
          <w:lang w:val="en-US"/>
        </w:rPr>
        <w:t xml:space="preserve"> </w:t>
      </w:r>
      <w:r w:rsidR="00FA1F0E">
        <w:rPr>
          <w:lang w:val="en-US"/>
        </w:rPr>
        <w:t>positive role</w:t>
      </w:r>
      <w:r w:rsidR="00E346FE">
        <w:rPr>
          <w:lang w:val="en-US"/>
        </w:rPr>
        <w:t xml:space="preserve"> in this field.</w:t>
      </w:r>
      <w:r w:rsidRPr="3D0799B2" w:rsidR="002A4D73">
        <w:rPr>
          <w:lang w:val="en-US"/>
        </w:rPr>
        <w:t xml:space="preserve"> </w:t>
      </w:r>
    </w:p>
    <w:p w:rsidR="006C18E6" w:rsidP="00E11E51" w:rsidRDefault="006C18E6" w14:paraId="3A020195" w14:textId="77777777">
      <w:pPr>
        <w:rPr>
          <w:b/>
        </w:rPr>
      </w:pPr>
    </w:p>
    <w:p w:rsidR="00237011" w:rsidP="00F56B70" w:rsidRDefault="00E11E51" w14:paraId="76EAF9C3" w14:textId="5435038F">
      <w:r w:rsidRPr="3D0799B2">
        <w:rPr>
          <w:lang w:val="en-US"/>
        </w:rPr>
        <w:t xml:space="preserve">Dutch agriculture-relevant ODA interventions over the period 2012-2021 </w:t>
      </w:r>
      <w:hyperlink w:history="1" r:id="rId13">
        <w:r w:rsidRPr="0089042E">
          <w:rPr>
            <w:rStyle w:val="Hyperlink"/>
            <w:lang w:val="en-US"/>
          </w:rPr>
          <w:t>focused mainly on incremental changes</w:t>
        </w:r>
      </w:hyperlink>
      <w:r w:rsidRPr="3D0799B2">
        <w:rPr>
          <w:lang w:val="en-US"/>
        </w:rPr>
        <w:t xml:space="preserve">. Only 9% of interventions furthered a truly </w:t>
      </w:r>
      <w:r w:rsidRPr="3D0799B2">
        <w:rPr>
          <w:i/>
          <w:iCs/>
          <w:lang w:val="en-US"/>
        </w:rPr>
        <w:t>transformational</w:t>
      </w:r>
      <w:r w:rsidRPr="3D0799B2">
        <w:rPr>
          <w:lang w:val="en-US"/>
        </w:rPr>
        <w:t xml:space="preserve"> or systems approach, applying a wide range of agroecological elements, focusing on redesigning the whole agroecosystem based on ecological processes and inclusive and accountable (food) governance structures.</w:t>
      </w:r>
      <w:r w:rsidRPr="3D0799B2" w:rsidR="002A4D73">
        <w:rPr>
          <w:lang w:val="en-US"/>
        </w:rPr>
        <w:t xml:space="preserve"> </w:t>
      </w:r>
      <w:r w:rsidR="00E346FE">
        <w:rPr>
          <w:lang w:val="en-US"/>
        </w:rPr>
        <w:t>T</w:t>
      </w:r>
      <w:r w:rsidRPr="3D0799B2" w:rsidR="00A32A7F">
        <w:rPr>
          <w:lang w:val="en-US"/>
        </w:rPr>
        <w:t>hese transformational approaches</w:t>
      </w:r>
      <w:r w:rsidRPr="3D0799B2" w:rsidR="002A4D73">
        <w:rPr>
          <w:lang w:val="en-US"/>
        </w:rPr>
        <w:t xml:space="preserve"> </w:t>
      </w:r>
      <w:r w:rsidRPr="3D0799B2" w:rsidR="00480926">
        <w:rPr>
          <w:lang w:val="en-US"/>
        </w:rPr>
        <w:t>in Dutch ODA</w:t>
      </w:r>
      <w:r w:rsidR="00E346FE">
        <w:rPr>
          <w:lang w:val="en-US"/>
        </w:rPr>
        <w:t xml:space="preserve"> should be scaled up</w:t>
      </w:r>
      <w:r w:rsidRPr="3D0799B2" w:rsidR="00480926">
        <w:rPr>
          <w:lang w:val="en-US"/>
        </w:rPr>
        <w:t xml:space="preserve">. </w:t>
      </w:r>
    </w:p>
    <w:p w:rsidR="0012233D" w:rsidP="00F56B70" w:rsidRDefault="0012233D" w14:paraId="058B366A" w14:textId="77777777"/>
    <w:p w:rsidR="00EE2E2F" w:rsidP="00F56B70" w:rsidRDefault="00627485" w14:paraId="12D7E843" w14:textId="00025FE2">
      <w:r w:rsidRPr="3D0799B2">
        <w:rPr>
          <w:b/>
          <w:bCs/>
          <w:lang w:val="en-US"/>
        </w:rPr>
        <w:t xml:space="preserve">Seek better synergies </w:t>
      </w:r>
      <w:r w:rsidRPr="3D0799B2" w:rsidR="0012233D">
        <w:rPr>
          <w:b/>
          <w:bCs/>
          <w:lang w:val="en-US"/>
        </w:rPr>
        <w:t xml:space="preserve">across </w:t>
      </w:r>
      <w:r w:rsidRPr="3D0799B2" w:rsidR="00EE2E2F">
        <w:rPr>
          <w:b/>
          <w:bCs/>
          <w:lang w:val="en-US"/>
        </w:rPr>
        <w:t>domestic food production, trade and aid policies</w:t>
      </w:r>
    </w:p>
    <w:p w:rsidR="007B402D" w:rsidRDefault="00313DBF" w14:paraId="5103E137" w14:textId="2C5871E9">
      <w:pPr>
        <w:rPr>
          <w:lang w:val="en-US"/>
        </w:rPr>
      </w:pPr>
      <w:r>
        <w:rPr>
          <w:lang w:val="en-US"/>
        </w:rPr>
        <w:t>S</w:t>
      </w:r>
      <w:r w:rsidRPr="0012233D" w:rsidR="0012233D">
        <w:rPr>
          <w:lang w:val="en-US"/>
        </w:rPr>
        <w:t>upporting </w:t>
      </w:r>
      <w:hyperlink w:tgtFrame="_blank" w:history="1" r:id="rId14">
        <w:r w:rsidRPr="0012233D" w:rsidR="0012233D">
          <w:rPr>
            <w:rStyle w:val="Hyperlink"/>
            <w:lang w:val="en-US"/>
          </w:rPr>
          <w:t>local and territorial markets</w:t>
        </w:r>
      </w:hyperlink>
      <w:r w:rsidRPr="0012233D" w:rsidR="0012233D">
        <w:rPr>
          <w:lang w:val="en-US"/>
        </w:rPr>
        <w:t> is critical to building food systems that are more resilient to economic and supply chain disruptions. These markets </w:t>
      </w:r>
      <w:hyperlink w:tgtFrame="_blank" w:history="1" r:id="rId15">
        <w:r w:rsidRPr="0012233D" w:rsidR="0012233D">
          <w:rPr>
            <w:rStyle w:val="Hyperlink"/>
            <w:lang w:val="en-US"/>
          </w:rPr>
          <w:t>provide livelihoods</w:t>
        </w:r>
      </w:hyperlink>
      <w:r w:rsidRPr="0012233D" w:rsidR="0012233D">
        <w:rPr>
          <w:lang w:val="en-US"/>
        </w:rPr>
        <w:t xml:space="preserve"> and help ensure </w:t>
      </w:r>
      <w:r w:rsidR="00FA1F0E">
        <w:rPr>
          <w:lang w:val="en-US"/>
        </w:rPr>
        <w:t xml:space="preserve">that </w:t>
      </w:r>
      <w:r w:rsidRPr="0012233D" w:rsidR="0012233D">
        <w:rPr>
          <w:lang w:val="en-US"/>
        </w:rPr>
        <w:t>diverse, nutritious foods reach those who need them, even during supply chain shocks</w:t>
      </w:r>
      <w:r w:rsidR="00E346FE">
        <w:rPr>
          <w:lang w:val="en-US"/>
        </w:rPr>
        <w:t xml:space="preserve">, </w:t>
      </w:r>
      <w:r w:rsidR="00CB7DA7">
        <w:rPr>
          <w:lang w:val="en-US"/>
        </w:rPr>
        <w:t>contribut</w:t>
      </w:r>
      <w:r w:rsidR="00E346FE">
        <w:rPr>
          <w:lang w:val="en-US"/>
        </w:rPr>
        <w:t>ing</w:t>
      </w:r>
      <w:r w:rsidR="00CB7DA7">
        <w:rPr>
          <w:lang w:val="en-US"/>
        </w:rPr>
        <w:t xml:space="preserve"> to local </w:t>
      </w:r>
      <w:r w:rsidR="00FA1F0E">
        <w:rPr>
          <w:lang w:val="en-US"/>
        </w:rPr>
        <w:t>economic</w:t>
      </w:r>
      <w:r w:rsidR="00CB7DA7">
        <w:rPr>
          <w:lang w:val="en-US"/>
        </w:rPr>
        <w:t xml:space="preserve"> development and stability. </w:t>
      </w:r>
    </w:p>
    <w:p w:rsidR="005F5134" w:rsidRDefault="005F5134" w14:paraId="476B1404" w14:textId="77777777">
      <w:pPr>
        <w:rPr>
          <w:lang w:val="en-US"/>
        </w:rPr>
      </w:pPr>
    </w:p>
    <w:p w:rsidR="005F5134" w:rsidRDefault="005F5134" w14:paraId="79767A57" w14:textId="1E6CDBE1">
      <w:pPr>
        <w:rPr>
          <w:lang w:val="en-US"/>
        </w:rPr>
      </w:pPr>
      <w:r>
        <w:rPr>
          <w:lang w:val="en-US"/>
        </w:rPr>
        <w:t xml:space="preserve">ODA interventions </w:t>
      </w:r>
      <w:r w:rsidR="00E346FE">
        <w:rPr>
          <w:lang w:val="en-US"/>
        </w:rPr>
        <w:t>to</w:t>
      </w:r>
      <w:r>
        <w:rPr>
          <w:lang w:val="en-US"/>
        </w:rPr>
        <w:t xml:space="preserve"> </w:t>
      </w:r>
      <w:r w:rsidR="00326DDD">
        <w:rPr>
          <w:lang w:val="en-US"/>
        </w:rPr>
        <w:t>strengthen local food security a</w:t>
      </w:r>
      <w:r w:rsidR="00E346FE">
        <w:rPr>
          <w:lang w:val="en-US"/>
        </w:rPr>
        <w:t>re</w:t>
      </w:r>
      <w:r w:rsidR="00326DDD">
        <w:rPr>
          <w:lang w:val="en-US"/>
        </w:rPr>
        <w:t xml:space="preserve"> often undermined by international trade and investment policies</w:t>
      </w:r>
      <w:r w:rsidR="007F71DD">
        <w:rPr>
          <w:lang w:val="en-US"/>
        </w:rPr>
        <w:t>, which dump excess</w:t>
      </w:r>
      <w:r w:rsidR="00FA1F0E">
        <w:rPr>
          <w:lang w:val="en-US"/>
        </w:rPr>
        <w:t xml:space="preserve"> </w:t>
      </w:r>
      <w:r w:rsidR="00E346FE">
        <w:rPr>
          <w:lang w:val="en-US"/>
        </w:rPr>
        <w:t>food</w:t>
      </w:r>
      <w:r w:rsidR="007F71DD">
        <w:rPr>
          <w:lang w:val="en-US"/>
        </w:rPr>
        <w:t xml:space="preserve"> production</w:t>
      </w:r>
      <w:r w:rsidR="00716AA6">
        <w:rPr>
          <w:lang w:val="en-US"/>
        </w:rPr>
        <w:t xml:space="preserve"> in low and middle-income countries</w:t>
      </w:r>
      <w:r w:rsidR="00E346FE">
        <w:rPr>
          <w:lang w:val="en-US"/>
        </w:rPr>
        <w:t>’ markets</w:t>
      </w:r>
      <w:r w:rsidR="00716AA6">
        <w:rPr>
          <w:lang w:val="en-US"/>
        </w:rPr>
        <w:t xml:space="preserve">. </w:t>
      </w:r>
      <w:r w:rsidR="00326DDD">
        <w:rPr>
          <w:lang w:val="en-US"/>
        </w:rPr>
        <w:t xml:space="preserve"> </w:t>
      </w:r>
    </w:p>
    <w:p w:rsidR="00F55620" w:rsidRDefault="00F55620" w14:paraId="753D11B9" w14:textId="77777777">
      <w:pPr>
        <w:rPr>
          <w:lang w:val="en-US"/>
        </w:rPr>
      </w:pPr>
    </w:p>
    <w:p w:rsidR="0059077F" w:rsidRDefault="1FE75F14" w14:paraId="6C301151" w14:textId="61FF42CA">
      <w:r w:rsidRPr="1FE75F14">
        <w:rPr>
          <w:lang w:val="en-US"/>
        </w:rPr>
        <w:t xml:space="preserve">In a time of shifting global power structures, and ongoing economic development and emancipation of low and middle-income countries, </w:t>
      </w:r>
      <w:r w:rsidR="00E346FE">
        <w:rPr>
          <w:lang w:val="en-US"/>
        </w:rPr>
        <w:t>trade</w:t>
      </w:r>
      <w:r w:rsidRPr="1FE75F14">
        <w:rPr>
          <w:lang w:val="en-US"/>
        </w:rPr>
        <w:t xml:space="preserve"> reform is long </w:t>
      </w:r>
      <w:r w:rsidR="00B420DC">
        <w:rPr>
          <w:lang w:val="en-US"/>
        </w:rPr>
        <w:t>overd</w:t>
      </w:r>
      <w:r w:rsidRPr="1FE75F14" w:rsidR="00B420DC">
        <w:rPr>
          <w:lang w:val="en-US"/>
        </w:rPr>
        <w:t>ue</w:t>
      </w:r>
      <w:r w:rsidR="00FA1F0E">
        <w:rPr>
          <w:lang w:val="en-US"/>
        </w:rPr>
        <w:t xml:space="preserve">. </w:t>
      </w:r>
      <w:r w:rsidRPr="1FE75F14">
        <w:rPr>
          <w:lang w:val="en-US"/>
        </w:rPr>
        <w:t xml:space="preserve">Kenya </w:t>
      </w:r>
      <w:r w:rsidR="00FA1F0E">
        <w:rPr>
          <w:lang w:val="en-US"/>
        </w:rPr>
        <w:t>has long called</w:t>
      </w:r>
      <w:r w:rsidRPr="1FE75F14">
        <w:rPr>
          <w:lang w:val="en-US"/>
        </w:rPr>
        <w:t xml:space="preserve"> for fairer trade agreements and </w:t>
      </w:r>
      <w:r w:rsidR="00E346FE">
        <w:rPr>
          <w:lang w:val="en-US"/>
        </w:rPr>
        <w:t>has</w:t>
      </w:r>
      <w:r w:rsidRPr="1FE75F14">
        <w:rPr>
          <w:lang w:val="en-US"/>
        </w:rPr>
        <w:t xml:space="preserve"> joined South Africa, Tanzania, and Burkina Faso </w:t>
      </w:r>
      <w:r w:rsidR="00E346FE">
        <w:rPr>
          <w:lang w:val="en-US"/>
        </w:rPr>
        <w:t>in terminating a</w:t>
      </w:r>
      <w:r w:rsidRPr="1FE75F14">
        <w:rPr>
          <w:lang w:val="en-US"/>
        </w:rPr>
        <w:t xml:space="preserve"> bilateral investment treaty with the Netherlands. Nigerian dairy farmers can</w:t>
      </w:r>
      <w:r w:rsidR="00FA1F0E">
        <w:rPr>
          <w:lang w:val="en-US"/>
        </w:rPr>
        <w:t>no</w:t>
      </w:r>
      <w:r w:rsidRPr="1FE75F14">
        <w:rPr>
          <w:lang w:val="en-US"/>
        </w:rPr>
        <w:t>t compete with cheap imports of over</w:t>
      </w:r>
      <w:r w:rsidR="00FA1F0E">
        <w:rPr>
          <w:lang w:val="en-US"/>
        </w:rPr>
        <w:t>-</w:t>
      </w:r>
      <w:r w:rsidRPr="1FE75F14">
        <w:rPr>
          <w:lang w:val="en-US"/>
        </w:rPr>
        <w:t xml:space="preserve">subsidized European powdered milk. Likewise, </w:t>
      </w:r>
      <w:r w:rsidR="00FA1F0E">
        <w:rPr>
          <w:lang w:val="en-US"/>
        </w:rPr>
        <w:t>Ghana’s</w:t>
      </w:r>
      <w:r w:rsidRPr="1FE75F14">
        <w:rPr>
          <w:lang w:val="en-US"/>
        </w:rPr>
        <w:t xml:space="preserve"> poultry sector </w:t>
      </w:r>
      <w:r w:rsidR="00FA1F0E">
        <w:rPr>
          <w:lang w:val="en-US"/>
        </w:rPr>
        <w:t>cannot</w:t>
      </w:r>
      <w:r w:rsidRPr="1FE75F14">
        <w:rPr>
          <w:lang w:val="en-US"/>
        </w:rPr>
        <w:t xml:space="preserve"> flourish </w:t>
      </w:r>
      <w:r w:rsidR="00FA1F0E">
        <w:rPr>
          <w:lang w:val="en-US"/>
        </w:rPr>
        <w:t>without halting imports of</w:t>
      </w:r>
      <w:r w:rsidRPr="1FE75F14">
        <w:rPr>
          <w:lang w:val="en-US"/>
        </w:rPr>
        <w:t xml:space="preserve"> cheap Dutch frozen chicken cuts.</w:t>
      </w:r>
    </w:p>
    <w:p w:rsidR="00A64098" w:rsidRDefault="00A64098" w14:paraId="3B74AE11" w14:textId="77777777"/>
    <w:p w:rsidRPr="00CD3CC9" w:rsidR="00F55620" w:rsidRDefault="0059077F" w14:paraId="51C9AAC3" w14:textId="382AF855">
      <w:pPr>
        <w:rPr>
          <w:lang w:val="en-US"/>
        </w:rPr>
      </w:pPr>
      <w:r>
        <w:t>T</w:t>
      </w:r>
      <w:r w:rsidR="006E2C15">
        <w:t xml:space="preserve">he Dutch government together with EU institutions should start supporting </w:t>
      </w:r>
      <w:r w:rsidRPr="009E48F1" w:rsidR="009E48F1">
        <w:t>low and middle-income</w:t>
      </w:r>
      <w:r w:rsidR="006E2C15">
        <w:t xml:space="preserve"> countries</w:t>
      </w:r>
      <w:r w:rsidR="00F77F93">
        <w:t xml:space="preserve"> </w:t>
      </w:r>
      <w:r w:rsidR="006E2C15">
        <w:t xml:space="preserve">to effectively </w:t>
      </w:r>
      <w:r w:rsidR="00F77F93">
        <w:t xml:space="preserve">regulate </w:t>
      </w:r>
      <w:r w:rsidR="006E2C15">
        <w:t xml:space="preserve">their markets </w:t>
      </w:r>
      <w:r w:rsidR="00E01EF1">
        <w:t>for ensuring the right to food of their population</w:t>
      </w:r>
      <w:r w:rsidR="006E2C15">
        <w:t xml:space="preserve"> and </w:t>
      </w:r>
      <w:r w:rsidR="002D5041">
        <w:t>to strengthen their</w:t>
      </w:r>
      <w:r w:rsidR="006E2C15">
        <w:t xml:space="preserve"> domestic food markets. To rebalance agriculture, biodiversity, climate and other land use goals, the Dutch domestic food production system should be oriented more towards supplying a European domestic market, avoiding overproduction and dumping of excess production on developing countries markets.  </w:t>
      </w:r>
    </w:p>
    <w:p w:rsidR="002F794E" w:rsidRDefault="002F794E" w14:paraId="00000012" w14:textId="77777777"/>
    <w:p w:rsidR="002F794E" w:rsidRDefault="1FE75F14" w14:paraId="00000013" w14:textId="63369B75">
      <w:r w:rsidRPr="1FE75F14">
        <w:rPr>
          <w:lang w:val="en-US"/>
        </w:rPr>
        <w:t>We appreciate continued efforts of the Dutch government to support countries, small-scale food producers and other constituencies in the Global South to increase their food producing capacities in a sustainable manner, and support in further resilience building, especially of marginalized groups.</w:t>
      </w:r>
    </w:p>
    <w:sectPr w:rsidR="002F794E">
      <w:pgSz w:w="12240" w:h="15840"/>
      <w:pgMar w:top="1440" w:right="1440" w:bottom="1440" w:left="1440" w:header="720" w:footer="720" w:gutter="0"/>
      <w:pgNumType w:start="1"/>
      <w:cols w:space="72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F8EB" w14:textId="77777777" w:rsidR="00152DB2" w:rsidRDefault="00152DB2" w:rsidP="000505C3">
      <w:pPr>
        <w:spacing w:line="240" w:lineRule="auto"/>
      </w:pPr>
      <w:r>
        <w:separator/>
      </w:r>
    </w:p>
  </w:endnote>
  <w:endnote w:type="continuationSeparator" w:id="0">
    <w:p w14:paraId="754AB23D" w14:textId="77777777" w:rsidR="00152DB2" w:rsidRDefault="00152DB2" w:rsidP="00050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178C" w14:textId="77777777" w:rsidR="00152DB2" w:rsidRDefault="00152DB2" w:rsidP="000505C3">
      <w:pPr>
        <w:spacing w:line="240" w:lineRule="auto"/>
      </w:pPr>
      <w:r>
        <w:separator/>
      </w:r>
    </w:p>
  </w:footnote>
  <w:footnote w:type="continuationSeparator" w:id="0">
    <w:p w14:paraId="21003D64" w14:textId="77777777" w:rsidR="00152DB2" w:rsidRDefault="00152DB2" w:rsidP="000505C3">
      <w:pPr>
        <w:spacing w:line="240" w:lineRule="auto"/>
      </w:pPr>
      <w:r>
        <w:continuationSeparator/>
      </w:r>
    </w:p>
  </w:footnote>
  <w:footnote w:id="1">
    <w:p w14:paraId="48D1645E" w14:textId="3039C16D" w:rsidR="000505C3" w:rsidRPr="000505C3" w:rsidRDefault="000505C3" w:rsidP="000505C3">
      <w:pPr>
        <w:rPr>
          <w:lang w:val="en-US"/>
        </w:rPr>
      </w:pPr>
      <w:r>
        <w:rPr>
          <w:rStyle w:val="Funotenzeichen"/>
        </w:rPr>
        <w:footnoteRef/>
      </w:r>
      <w:r>
        <w:t xml:space="preserve"> </w:t>
      </w:r>
      <w:r w:rsidR="00523DD7" w:rsidRPr="005D66C3">
        <w:rPr>
          <w:sz w:val="20"/>
          <w:szCs w:val="20"/>
        </w:rPr>
        <w:t>I</w:t>
      </w:r>
      <w:r w:rsidR="00523DD7">
        <w:t xml:space="preserve"> </w:t>
      </w:r>
      <w:r w:rsidRPr="000505C3">
        <w:rPr>
          <w:sz w:val="20"/>
          <w:szCs w:val="20"/>
          <w:lang w:val="en-US"/>
        </w:rPr>
        <w:t>would like to a</w:t>
      </w:r>
      <w:proofErr w:type="spellStart"/>
      <w:r w:rsidR="002B28FC">
        <w:rPr>
          <w:sz w:val="20"/>
          <w:szCs w:val="20"/>
        </w:rPr>
        <w:t>cknowledge</w:t>
      </w:r>
      <w:proofErr w:type="spellEnd"/>
      <w:r w:rsidRPr="000505C3">
        <w:rPr>
          <w:sz w:val="20"/>
          <w:szCs w:val="20"/>
        </w:rPr>
        <w:t xml:space="preserve"> the support of the </w:t>
      </w:r>
      <w:r w:rsidRPr="000505C3">
        <w:rPr>
          <w:sz w:val="20"/>
          <w:szCs w:val="20"/>
          <w:lang w:val="en-US"/>
        </w:rPr>
        <w:t xml:space="preserve">members of the Food4All Coalition (Both ENDS, Cordaid, Max Foundation, Oxfam Novib, SNV, The Hunger Project, </w:t>
      </w:r>
      <w:proofErr w:type="spellStart"/>
      <w:r w:rsidRPr="000505C3">
        <w:rPr>
          <w:sz w:val="20"/>
          <w:szCs w:val="20"/>
          <w:lang w:val="en-US"/>
        </w:rPr>
        <w:t>Woord</w:t>
      </w:r>
      <w:proofErr w:type="spellEnd"/>
      <w:r w:rsidRPr="000505C3">
        <w:rPr>
          <w:sz w:val="20"/>
          <w:szCs w:val="20"/>
          <w:lang w:val="en-US"/>
        </w:rPr>
        <w:t xml:space="preserve"> </w:t>
      </w:r>
      <w:proofErr w:type="spellStart"/>
      <w:r w:rsidRPr="000505C3">
        <w:rPr>
          <w:sz w:val="20"/>
          <w:szCs w:val="20"/>
          <w:lang w:val="en-US"/>
        </w:rPr>
        <w:t>en</w:t>
      </w:r>
      <w:proofErr w:type="spellEnd"/>
      <w:r w:rsidRPr="000505C3">
        <w:rPr>
          <w:sz w:val="20"/>
          <w:szCs w:val="20"/>
          <w:lang w:val="en-US"/>
        </w:rPr>
        <w:t xml:space="preserve"> </w:t>
      </w:r>
      <w:proofErr w:type="spellStart"/>
      <w:r w:rsidRPr="000505C3">
        <w:rPr>
          <w:sz w:val="20"/>
          <w:szCs w:val="20"/>
          <w:lang w:val="en-US"/>
        </w:rPr>
        <w:t>Daad</w:t>
      </w:r>
      <w:proofErr w:type="spellEnd"/>
      <w:r w:rsidRPr="000505C3">
        <w:rPr>
          <w:sz w:val="20"/>
          <w:szCs w:val="20"/>
          <w:lang w:val="en-US"/>
        </w:rPr>
        <w:t>, WWF, World Vision)</w:t>
      </w:r>
      <w:r w:rsidRPr="000505C3">
        <w:rPr>
          <w:sz w:val="20"/>
          <w:szCs w:val="20"/>
        </w:rPr>
        <w:t xml:space="preserve"> in drafting this paper. The messages and policy recommendations of this document are endorsed by the Food4All Coalition.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96259"/>
    <w:multiLevelType w:val="hybridMultilevel"/>
    <w:tmpl w:val="13142E16"/>
    <w:lvl w:ilvl="0" w:tplc="F3268A38">
      <w:start w:val="2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22486"/>
    <w:multiLevelType w:val="multilevel"/>
    <w:tmpl w:val="A76664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65944158">
    <w:abstractNumId w:val="1"/>
  </w:num>
  <w:num w:numId="2" w16cid:durableId="195235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94E"/>
    <w:rsid w:val="000006C3"/>
    <w:rsid w:val="000163A9"/>
    <w:rsid w:val="0003229C"/>
    <w:rsid w:val="00033E7E"/>
    <w:rsid w:val="000505C3"/>
    <w:rsid w:val="000607E6"/>
    <w:rsid w:val="00066E3C"/>
    <w:rsid w:val="00081071"/>
    <w:rsid w:val="000D2522"/>
    <w:rsid w:val="0012233D"/>
    <w:rsid w:val="00125DEE"/>
    <w:rsid w:val="001506C1"/>
    <w:rsid w:val="00152DB2"/>
    <w:rsid w:val="00161A7E"/>
    <w:rsid w:val="002122AA"/>
    <w:rsid w:val="00237011"/>
    <w:rsid w:val="00284D44"/>
    <w:rsid w:val="002A206F"/>
    <w:rsid w:val="002A4D73"/>
    <w:rsid w:val="002B28FC"/>
    <w:rsid w:val="002C564A"/>
    <w:rsid w:val="002D047B"/>
    <w:rsid w:val="002D5041"/>
    <w:rsid w:val="002F0109"/>
    <w:rsid w:val="002F794E"/>
    <w:rsid w:val="00313DBF"/>
    <w:rsid w:val="00326DDD"/>
    <w:rsid w:val="00337FC1"/>
    <w:rsid w:val="00385517"/>
    <w:rsid w:val="003866CA"/>
    <w:rsid w:val="003C6120"/>
    <w:rsid w:val="003F11AF"/>
    <w:rsid w:val="00460444"/>
    <w:rsid w:val="00480926"/>
    <w:rsid w:val="004A4C0D"/>
    <w:rsid w:val="004B7F2C"/>
    <w:rsid w:val="004D1253"/>
    <w:rsid w:val="004F44C9"/>
    <w:rsid w:val="00507788"/>
    <w:rsid w:val="00523DD7"/>
    <w:rsid w:val="00526467"/>
    <w:rsid w:val="005663AB"/>
    <w:rsid w:val="00567D34"/>
    <w:rsid w:val="00586624"/>
    <w:rsid w:val="0059077F"/>
    <w:rsid w:val="005C3CAE"/>
    <w:rsid w:val="005D66C3"/>
    <w:rsid w:val="005F5134"/>
    <w:rsid w:val="00606C16"/>
    <w:rsid w:val="00627485"/>
    <w:rsid w:val="00632337"/>
    <w:rsid w:val="006440AD"/>
    <w:rsid w:val="00653286"/>
    <w:rsid w:val="00682D36"/>
    <w:rsid w:val="006852C8"/>
    <w:rsid w:val="006947CC"/>
    <w:rsid w:val="006C18E6"/>
    <w:rsid w:val="006E2C15"/>
    <w:rsid w:val="006F0582"/>
    <w:rsid w:val="00716AA6"/>
    <w:rsid w:val="00743A79"/>
    <w:rsid w:val="00762E2F"/>
    <w:rsid w:val="00794BC9"/>
    <w:rsid w:val="0079617D"/>
    <w:rsid w:val="007B402D"/>
    <w:rsid w:val="007F71DD"/>
    <w:rsid w:val="00853FBC"/>
    <w:rsid w:val="00855098"/>
    <w:rsid w:val="00883D64"/>
    <w:rsid w:val="0089042E"/>
    <w:rsid w:val="00890C5B"/>
    <w:rsid w:val="008D278F"/>
    <w:rsid w:val="008F5D43"/>
    <w:rsid w:val="00934C3B"/>
    <w:rsid w:val="00971711"/>
    <w:rsid w:val="009734DD"/>
    <w:rsid w:val="00996F8C"/>
    <w:rsid w:val="009A4C49"/>
    <w:rsid w:val="009E34DF"/>
    <w:rsid w:val="009E48F1"/>
    <w:rsid w:val="00A31CC4"/>
    <w:rsid w:val="00A32A7F"/>
    <w:rsid w:val="00A34D94"/>
    <w:rsid w:val="00A4038B"/>
    <w:rsid w:val="00A64098"/>
    <w:rsid w:val="00A66053"/>
    <w:rsid w:val="00B00B0A"/>
    <w:rsid w:val="00B420DC"/>
    <w:rsid w:val="00B67848"/>
    <w:rsid w:val="00B9436F"/>
    <w:rsid w:val="00BB725E"/>
    <w:rsid w:val="00BC4511"/>
    <w:rsid w:val="00C21746"/>
    <w:rsid w:val="00C25DA9"/>
    <w:rsid w:val="00C757D9"/>
    <w:rsid w:val="00CA626A"/>
    <w:rsid w:val="00CA6E8A"/>
    <w:rsid w:val="00CB7DA7"/>
    <w:rsid w:val="00CD1374"/>
    <w:rsid w:val="00CD3CC9"/>
    <w:rsid w:val="00CE1C47"/>
    <w:rsid w:val="00CF4897"/>
    <w:rsid w:val="00D15646"/>
    <w:rsid w:val="00D31702"/>
    <w:rsid w:val="00D80439"/>
    <w:rsid w:val="00DC3C03"/>
    <w:rsid w:val="00E01EF1"/>
    <w:rsid w:val="00E057DE"/>
    <w:rsid w:val="00E11E51"/>
    <w:rsid w:val="00E346FE"/>
    <w:rsid w:val="00E44AB6"/>
    <w:rsid w:val="00E57503"/>
    <w:rsid w:val="00E70A85"/>
    <w:rsid w:val="00E862BC"/>
    <w:rsid w:val="00EE2E2F"/>
    <w:rsid w:val="00EE4109"/>
    <w:rsid w:val="00F170EB"/>
    <w:rsid w:val="00F34599"/>
    <w:rsid w:val="00F511EB"/>
    <w:rsid w:val="00F55620"/>
    <w:rsid w:val="00F56B70"/>
    <w:rsid w:val="00F667C1"/>
    <w:rsid w:val="00F77F93"/>
    <w:rsid w:val="00FA1F0E"/>
    <w:rsid w:val="00FF6BFA"/>
    <w:rsid w:val="1FE75F14"/>
    <w:rsid w:val="3D079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8966"/>
  <w15:docId w15:val="{47E2833E-6612-43B5-ADFE-A6DE3B35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Funotentext">
    <w:name w:val="footnote text"/>
    <w:basedOn w:val="Standard"/>
    <w:link w:val="FunotentextZchn"/>
    <w:uiPriority w:val="99"/>
    <w:unhideWhenUsed/>
    <w:rsid w:val="000505C3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505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05C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B28F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28F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C564A"/>
    <w:pPr>
      <w:ind w:left="720"/>
      <w:contextualSpacing/>
    </w:pPr>
  </w:style>
  <w:style w:type="paragraph" w:styleId="berarbeitung">
    <w:name w:val="Revision"/>
    <w:hidden/>
    <w:uiPriority w:val="99"/>
    <w:semiHidden/>
    <w:rsid w:val="00890C5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90C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90C5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90C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0C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0C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pes-food.org/" TargetMode="External" Id="rId8" /><Relationship Type="http://schemas.openxmlformats.org/officeDocument/2006/relationships/hyperlink" Target="https://www.oxfamnovib.nl/Files/rapporten/2022/Discussion%20paper%20DEF.pdf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ifad.org/en/" TargetMode="Externa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hyperlink" Target="https://www.ers.usda.gov/data-products/charts-of-note/chart-detail?chartId=107818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www.fao.org/cfs/cfs-hlpe/publications/hlpe-19" TargetMode="External" Id="rId15" /><Relationship Type="http://schemas.openxmlformats.org/officeDocument/2006/relationships/hyperlink" Target="https://openknowledge.fao.org/server/api/core/bitstreams/5366f75c-159d-4701-ad19-b3e1e91519e7/content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fian.org/en/" TargetMode="External" Id="rId9" /><Relationship Type="http://schemas.openxmlformats.org/officeDocument/2006/relationships/hyperlink" Target="https://ipes-food.org/report/food-from-somewhere/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893</ap:Words>
  <ap:Characters>5630</ap:Characters>
  <ap:DocSecurity>0</ap:DocSecurity>
  <ap:Lines>46</ap:Lines>
  <ap:Paragraphs>13</ap:Paragraphs>
  <ap:ScaleCrop>false</ap:ScaleCrop>
  <ap:LinksUpToDate>false</ap:LinksUpToDate>
  <ap:CharactersWithSpaces>6510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2025-01-30T14:02:00.0000000Z</dcterms:created>
  <dcterms:modified xsi:type="dcterms:W3CDTF">2025-01-30T14:02:00.0000000Z</dcterms:modified>
  <dc:description>------------------------</dc:description>
  <dc:subject/>
  <dc:title/>
  <keywords/>
  <version/>
  <category/>
</coreProperties>
</file>