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D91" w:rsidP="00B20A0D" w:rsidRDefault="00F11565" w14:paraId="68E6708B" w14:textId="663FDD27">
      <w:pPr>
        <w:jc w:val="center"/>
        <w:rPr>
          <w:b/>
          <w:bCs/>
        </w:rPr>
      </w:pPr>
      <w:r>
        <w:rPr>
          <w:b/>
          <w:bCs/>
        </w:rPr>
        <w:t xml:space="preserve">Obstacles and Opportunities for </w:t>
      </w:r>
      <w:r w:rsidR="00C13DB0">
        <w:rPr>
          <w:b/>
          <w:bCs/>
        </w:rPr>
        <w:t xml:space="preserve">Confronting </w:t>
      </w:r>
      <w:r>
        <w:rPr>
          <w:b/>
          <w:bCs/>
        </w:rPr>
        <w:t xml:space="preserve">Rising </w:t>
      </w:r>
      <w:r w:rsidR="00C80D46">
        <w:rPr>
          <w:b/>
          <w:bCs/>
        </w:rPr>
        <w:t xml:space="preserve">Global Food </w:t>
      </w:r>
      <w:r>
        <w:rPr>
          <w:b/>
          <w:bCs/>
        </w:rPr>
        <w:t>Ins</w:t>
      </w:r>
      <w:r w:rsidR="00C80D46">
        <w:rPr>
          <w:b/>
          <w:bCs/>
        </w:rPr>
        <w:t>ecurity</w:t>
      </w:r>
    </w:p>
    <w:p w:rsidRPr="002E3FE0" w:rsidR="00FB52C6" w:rsidP="00B20A0D" w:rsidRDefault="00FB52C6" w14:paraId="7626AE94" w14:textId="3993F89D">
      <w:pPr>
        <w:jc w:val="center"/>
      </w:pPr>
      <w:r w:rsidRPr="002E3FE0">
        <w:t>Danielle Resnick</w:t>
      </w:r>
      <w:r w:rsidRPr="002E3FE0">
        <w:rPr>
          <w:rStyle w:val="FootnoteReference"/>
        </w:rPr>
        <w:footnoteReference w:customMarkFollows="1" w:id="1"/>
        <w:t>*</w:t>
      </w:r>
    </w:p>
    <w:p w:rsidR="00A60C55" w:rsidP="00A60C55" w:rsidRDefault="00A60C55" w14:paraId="718F076C" w14:textId="03CDF1B3">
      <w:pPr>
        <w:jc w:val="center"/>
      </w:pPr>
      <w:r>
        <w:t>January 29, 2025</w:t>
      </w:r>
    </w:p>
    <w:p w:rsidR="00EB065A" w:rsidP="004D0B33" w:rsidRDefault="00A938A0" w14:paraId="63E680BC" w14:textId="61C22EEC">
      <w:pPr>
        <w:ind w:firstLine="720"/>
      </w:pPr>
      <w:r>
        <w:t>Among all the Sustainable Development Goals (SDG), the goal of Zero Hunger—SDG2—</w:t>
      </w:r>
      <w:r w:rsidR="00105ED1">
        <w:t xml:space="preserve">is </w:t>
      </w:r>
      <w:r w:rsidR="00634639">
        <w:t xml:space="preserve">one of </w:t>
      </w:r>
      <w:r w:rsidR="00105ED1">
        <w:t>the furthest behind</w:t>
      </w:r>
      <w:r w:rsidR="00E4030D">
        <w:t xml:space="preserve"> </w:t>
      </w:r>
      <w:r w:rsidR="00E4030D">
        <w:fldChar w:fldCharType="begin"/>
      </w:r>
      <w:r w:rsidR="00E4030D">
        <w:instrText xml:space="preserve"> ADDIN ZOTERO_ITEM CSL_CITATION {"citationID":"XzuRLmEw","properties":{"formattedCitation":"(Sachs et al. 2023)","plainCitation":"(Sachs et al. 2023)","noteIndex":0},"citationItems":[{"id":6052,"uris":["http://zotero.org/users/8595919/items/6TCTVLYJ"],"itemData":{"id":6052,"type":"report","note":"DOI: 10.25546/102924","publisher":"Dublin University Press","source":"DOI.org (Datacite)","title":"Implementing the SDG Stimulus. Sustainable Development Report 2023: Sustainable Development Report 2023","title-short":"Implementing the SDG Stimulus. Sustainable Development Report 2023","URL":"http://www.tara.tcd.ie/handle/2262/102924","author":[{"family":"Sachs","given":"Jeffrey D."},{"family":"Lafortune","given":"Guillaume"},{"family":"Fuller","given":"Grayson"},{"family":"Drumm","given":"Eamon"}],"accessed":{"date-parts":[["2025",1,29]]},"issued":{"date-parts":[["2023"]]}}}],"schema":"https://github.com/citation-style-language/schema/raw/master/csl-citation.json"} </w:instrText>
      </w:r>
      <w:r w:rsidR="00E4030D">
        <w:fldChar w:fldCharType="separate"/>
      </w:r>
      <w:r w:rsidRPr="00E4030D" w:rsidR="00E4030D">
        <w:rPr>
          <w:rFonts w:ascii="Aptos" w:hAnsi="Aptos"/>
        </w:rPr>
        <w:t>(Sachs et al. 2023)</w:t>
      </w:r>
      <w:r w:rsidR="00E4030D">
        <w:fldChar w:fldCharType="end"/>
      </w:r>
      <w:r w:rsidR="005E2CFF">
        <w:t xml:space="preserve"> </w:t>
      </w:r>
      <w:r w:rsidR="00105ED1">
        <w:t>.</w:t>
      </w:r>
      <w:r w:rsidR="00057005">
        <w:t xml:space="preserve"> </w:t>
      </w:r>
      <w:r w:rsidR="00085B47">
        <w:t xml:space="preserve">This </w:t>
      </w:r>
      <w:r w:rsidR="00E71DB2">
        <w:t>SDG</w:t>
      </w:r>
      <w:r w:rsidR="00085B47">
        <w:t xml:space="preserve"> </w:t>
      </w:r>
      <w:r w:rsidR="00E678E6">
        <w:t xml:space="preserve">is bolstered by eight targets, spanning </w:t>
      </w:r>
      <w:r w:rsidR="00520DB4">
        <w:t xml:space="preserve">the </w:t>
      </w:r>
      <w:r w:rsidR="00E678E6">
        <w:t>nutrition</w:t>
      </w:r>
      <w:r w:rsidR="00520DB4">
        <w:t>al</w:t>
      </w:r>
      <w:r w:rsidR="00E678E6">
        <w:t xml:space="preserve"> needs of </w:t>
      </w:r>
      <w:r w:rsidR="003C6ED0">
        <w:t xml:space="preserve">children under five, doubling small scale producer incomes, </w:t>
      </w:r>
      <w:r w:rsidR="002278A4">
        <w:t xml:space="preserve">investing </w:t>
      </w:r>
      <w:r w:rsidRPr="00E77559" w:rsidR="002278A4">
        <w:t>in rural infrastructure and agriculture research, and preventing agricultural trade restrictions.</w:t>
      </w:r>
      <w:r w:rsidRPr="00E77559" w:rsidR="007832E9">
        <w:t xml:space="preserve"> </w:t>
      </w:r>
      <w:r w:rsidRPr="00E77559" w:rsidR="0034472C">
        <w:t>U</w:t>
      </w:r>
      <w:r w:rsidRPr="00E77559" w:rsidR="008D400F">
        <w:t xml:space="preserve">nfortunately, </w:t>
      </w:r>
      <w:r w:rsidRPr="00E77559" w:rsidR="00966ACB">
        <w:t xml:space="preserve">global hunger has not </w:t>
      </w:r>
      <w:r w:rsidRPr="00E77559" w:rsidR="0034472C">
        <w:t xml:space="preserve">only </w:t>
      </w:r>
      <w:r w:rsidRPr="00E77559" w:rsidR="00966ACB">
        <w:t>stalled but increased. In fact, b</w:t>
      </w:r>
      <w:r w:rsidRPr="00E77559" w:rsidR="00250F13">
        <w:t xml:space="preserve">etween 2015 and 2022, the number of people estimated to be moderately or severely food insecure rose from approximately 1.65 billion to 2.4 billion, which is equivalent to 30 percent of the global population </w:t>
      </w:r>
      <w:r w:rsidRPr="00E77559" w:rsidR="0034472C">
        <w:fldChar w:fldCharType="begin"/>
      </w:r>
      <w:r w:rsidRPr="00E77559" w:rsidR="0034472C">
        <w:instrText xml:space="preserve"> ADDIN ZOTERO_ITEM CSL_CITATION {"citationID":"LKe8GaB9","properties":{"formattedCitation":"(FAO 2023; UN-DESA 2023)","plainCitation":"(FAO 2023; UN-DESA 2023)","noteIndex":0},"citationItems":[{"id":2315,"uris":["http://zotero.org/users/8595919/items/S64PFH55"],"itemData":{"id":2315,"type":"webpage","title":"Food and Agriculture Policy Decision Analysis Tool","URL":"https://fapda.apps.fao.org/fapda/#main.html","author":[{"family":"FAO","given":""}],"issued":{"date-parts":[["2023"]]}}},{"id":2286,"uris":["http://zotero.org/users/8595919/items/6LXPFPAV"],"itemData":{"id":2286,"type":"book","collection-title":"The Sustainable Development Goals Report","ISBN":"978-92-1-002491-4","language":"en","note":"DOI: 10.18356/9789210024914","publisher":"United Nations Department of Economic and Social Affairs","source":"DOI.org (Crossref)","title":"The Sustainable Development Goals Report 2023: Special Edition","title-short":"The Sustainable Development Goals Report 2023","URL":"https://www.un-ilibrary.org/content/books/9789210024914","author":[{"literal":"UN-DESA"}],"accessed":{"date-parts":[["2024",1,16]]},"issued":{"date-parts":[["2023",7,10]]}}}],"schema":"https://github.com/citation-style-language/schema/raw/master/csl-citation.json"} </w:instrText>
      </w:r>
      <w:r w:rsidRPr="00E77559" w:rsidR="0034472C">
        <w:fldChar w:fldCharType="separate"/>
      </w:r>
      <w:r w:rsidRPr="00E77559" w:rsidR="0034472C">
        <w:rPr>
          <w:rFonts w:ascii="Aptos" w:hAnsi="Aptos"/>
        </w:rPr>
        <w:t>(FAO 2023; UN-DESA 2023)</w:t>
      </w:r>
      <w:r w:rsidRPr="00E77559" w:rsidR="0034472C">
        <w:fldChar w:fldCharType="end"/>
      </w:r>
      <w:r w:rsidRPr="00E77559" w:rsidR="00E77559">
        <w:t xml:space="preserve">. </w:t>
      </w:r>
      <w:r w:rsidRPr="00E77559" w:rsidR="00250F13">
        <w:t xml:space="preserve"> </w:t>
      </w:r>
    </w:p>
    <w:p w:rsidR="002E1BCD" w:rsidP="00A311E4" w:rsidRDefault="00275F17" w14:paraId="516966EB" w14:textId="7D5367D4">
      <w:pPr>
        <w:pStyle w:val="ListParagraph"/>
        <w:ind w:left="0" w:firstLine="720"/>
      </w:pPr>
      <w:r>
        <w:t xml:space="preserve">Based on the 1996 Rome World Food Summit, food security </w:t>
      </w:r>
      <w:r w:rsidR="00D503EA">
        <w:t>requires achieving four</w:t>
      </w:r>
      <w:r w:rsidR="007F7D1A">
        <w:t xml:space="preserve"> </w:t>
      </w:r>
      <w:r w:rsidR="00D503EA">
        <w:t>main objectives</w:t>
      </w:r>
      <w:r w:rsidR="007F7D1A">
        <w:t xml:space="preserve">. This includes upholding food </w:t>
      </w:r>
      <w:r w:rsidRPr="006F1D35" w:rsidR="007F7D1A">
        <w:rPr>
          <w:i/>
          <w:iCs/>
        </w:rPr>
        <w:t>availability</w:t>
      </w:r>
      <w:r w:rsidR="007F7D1A">
        <w:t xml:space="preserve"> to </w:t>
      </w:r>
      <w:proofErr w:type="gramStart"/>
      <w:r w:rsidR="007F7D1A">
        <w:t>ensure</w:t>
      </w:r>
      <w:proofErr w:type="gramEnd"/>
      <w:r w:rsidR="007F7D1A">
        <w:t xml:space="preserve"> enough food is </w:t>
      </w:r>
      <w:r w:rsidR="006F1D35">
        <w:t>produced and trade</w:t>
      </w:r>
      <w:r w:rsidR="00FA433F">
        <w:t xml:space="preserve">, ensuring </w:t>
      </w:r>
      <w:r w:rsidR="00C476B4">
        <w:t xml:space="preserve">economic and physical </w:t>
      </w:r>
      <w:r w:rsidR="00FA433F">
        <w:rPr>
          <w:i/>
          <w:iCs/>
        </w:rPr>
        <w:t xml:space="preserve">accessibility </w:t>
      </w:r>
      <w:r w:rsidR="00FA433F">
        <w:t>to food</w:t>
      </w:r>
      <w:r w:rsidR="00C476B4">
        <w:t xml:space="preserve">, </w:t>
      </w:r>
      <w:r w:rsidR="00866A91">
        <w:t xml:space="preserve">maintaining </w:t>
      </w:r>
      <w:r w:rsidR="00866A91">
        <w:rPr>
          <w:i/>
          <w:iCs/>
        </w:rPr>
        <w:t xml:space="preserve">stability </w:t>
      </w:r>
      <w:r w:rsidR="00866A91">
        <w:t xml:space="preserve">of intake over time, and </w:t>
      </w:r>
      <w:r w:rsidR="00CA2573">
        <w:rPr>
          <w:i/>
          <w:iCs/>
        </w:rPr>
        <w:t>utiliz</w:t>
      </w:r>
      <w:r w:rsidR="00613F64">
        <w:rPr>
          <w:i/>
          <w:iCs/>
        </w:rPr>
        <w:t xml:space="preserve">ation </w:t>
      </w:r>
      <w:r w:rsidR="00613F64">
        <w:t xml:space="preserve">of food </w:t>
      </w:r>
      <w:r w:rsidR="00A1438B">
        <w:t xml:space="preserve">by individuals and households in ways that </w:t>
      </w:r>
      <w:r w:rsidR="00613F64">
        <w:t>improve nutritional outcomes.</w:t>
      </w:r>
      <w:r w:rsidR="00C9665F">
        <w:rPr>
          <w:rStyle w:val="FootnoteReference"/>
        </w:rPr>
        <w:footnoteReference w:id="2"/>
      </w:r>
      <w:r w:rsidR="00613F64">
        <w:t xml:space="preserve"> </w:t>
      </w:r>
      <w:r w:rsidR="003D5940">
        <w:t xml:space="preserve"> </w:t>
      </w:r>
      <w:r w:rsidR="00A311E4">
        <w:t xml:space="preserve">Achieving these four objectives also has </w:t>
      </w:r>
      <w:r w:rsidR="00294FB8">
        <w:t xml:space="preserve">ripple effects </w:t>
      </w:r>
      <w:r w:rsidR="00D9059A">
        <w:t>for employment, revenue generation</w:t>
      </w:r>
      <w:r w:rsidR="00E9531E">
        <w:t>,</w:t>
      </w:r>
      <w:r w:rsidR="00D9059A">
        <w:t xml:space="preserve"> and government legitimacy</w:t>
      </w:r>
      <w:r w:rsidR="00845FDC">
        <w:t xml:space="preserve">. </w:t>
      </w:r>
      <w:r w:rsidR="00A311E4">
        <w:t xml:space="preserve">For instance, </w:t>
      </w:r>
      <w:r w:rsidR="00616998">
        <w:t xml:space="preserve">1.3 billion </w:t>
      </w:r>
      <w:r w:rsidR="00173793">
        <w:t xml:space="preserve">people in the </w:t>
      </w:r>
      <w:r w:rsidR="005926F5">
        <w:t>world’s labor force work in farming</w:t>
      </w:r>
      <w:r w:rsidR="00943F61">
        <w:t xml:space="preserve">, </w:t>
      </w:r>
      <w:r w:rsidR="00411F64">
        <w:t>food processing, wholesale</w:t>
      </w:r>
      <w:r w:rsidR="00943F61">
        <w:t>,</w:t>
      </w:r>
      <w:r w:rsidR="00411F64">
        <w:t xml:space="preserve"> and retail</w:t>
      </w:r>
      <w:r w:rsidR="0092671A">
        <w:t xml:space="preserve"> </w:t>
      </w:r>
      <w:r w:rsidR="0092671A">
        <w:fldChar w:fldCharType="begin"/>
      </w:r>
      <w:r w:rsidR="002B7F1C">
        <w:instrText xml:space="preserve"> ADDIN ZOTERO_ITEM CSL_CITATION {"citationID":"9XnhdIzy","properties":{"formattedCitation":"(FAO 2024a)","plainCitation":"(FAO 2024a)","noteIndex":0},"citationItems":[{"id":6054,"uris":["http://zotero.org/users/8595919/items/N5QJPN6U"],"itemData":{"id":6054,"type":"report","event-place":"Rome, Italy","publisher":"Food and Agricultural Organization (FAO)","publisher-place":"Rome, Italy","title":"Employment Indicators 2000-2022: October 2024 Update","author":[{"family":"FAO","given":""}],"issued":{"date-parts":[["2024"]]}}}],"schema":"https://github.com/citation-style-language/schema/raw/master/csl-citation.json"} </w:instrText>
      </w:r>
      <w:r w:rsidR="0092671A">
        <w:fldChar w:fldCharType="separate"/>
      </w:r>
      <w:r w:rsidRPr="002B7F1C" w:rsidR="002B7F1C">
        <w:rPr>
          <w:rFonts w:ascii="Aptos" w:hAnsi="Aptos"/>
        </w:rPr>
        <w:t>(FAO 2024a)</w:t>
      </w:r>
      <w:r w:rsidR="0092671A">
        <w:fldChar w:fldCharType="end"/>
      </w:r>
      <w:r w:rsidR="00411F64">
        <w:t>.</w:t>
      </w:r>
      <w:r w:rsidR="003D2785">
        <w:t xml:space="preserve"> </w:t>
      </w:r>
      <w:r w:rsidR="009B6F51">
        <w:t xml:space="preserve">Revenue from </w:t>
      </w:r>
      <w:r w:rsidR="00101654">
        <w:t xml:space="preserve">food and </w:t>
      </w:r>
      <w:r w:rsidR="00E910A8">
        <w:t xml:space="preserve">agricultural </w:t>
      </w:r>
      <w:r w:rsidR="0083651D">
        <w:t>trade</w:t>
      </w:r>
      <w:r w:rsidR="00101654">
        <w:t xml:space="preserve">—which has risen from $400 to $1.9 trillion between 2000 and 2022 </w:t>
      </w:r>
      <w:r w:rsidR="00101654">
        <w:fldChar w:fldCharType="begin"/>
      </w:r>
      <w:r w:rsidR="00101654">
        <w:instrText xml:space="preserve"> ADDIN ZOTERO_ITEM CSL_CITATION {"citationID":"XK7zaHHR","properties":{"formattedCitation":"(FAO 2024b)","plainCitation":"(FAO 2024b)","noteIndex":0},"citationItems":[{"id":6055,"uris":["http://zotero.org/users/8595919/items/XYRI49NF"],"itemData":{"id":6055,"type":"book","event-place":"Rome, Italy","ISBN":"978-92-5-139061-0","language":"en","note":"DOI: 10.4060/cd2144en","publisher":"Food and Agriculture Organization (FAO)","publisher-place":"Rome, Italy","source":"DOI.org (Crossref)","title":"The State of Agricultural Commodity Markets 2024","URL":"https://openknowledge.fao.org/handle/20.500.14283/cd2144en","author":[{"family":"FAO","given":""}],"accessed":{"date-parts":[["2025",1,29]]},"issued":{"date-parts":[["2024"]]}}}],"schema":"https://github.com/citation-style-language/schema/raw/master/csl-citation.json"} </w:instrText>
      </w:r>
      <w:r w:rsidR="00101654">
        <w:fldChar w:fldCharType="separate"/>
      </w:r>
      <w:r w:rsidRPr="002B7F1C" w:rsidR="00101654">
        <w:rPr>
          <w:rFonts w:ascii="Aptos" w:hAnsi="Aptos"/>
        </w:rPr>
        <w:t>(FAO 2024b)</w:t>
      </w:r>
      <w:r w:rsidR="00101654">
        <w:fldChar w:fldCharType="end"/>
      </w:r>
      <w:r w:rsidR="00101654">
        <w:t>—</w:t>
      </w:r>
      <w:r w:rsidR="00E910A8">
        <w:t>is</w:t>
      </w:r>
      <w:r w:rsidR="00101654">
        <w:t xml:space="preserve"> </w:t>
      </w:r>
      <w:r w:rsidR="00E910A8">
        <w:t xml:space="preserve"> </w:t>
      </w:r>
      <w:r w:rsidR="00411F64">
        <w:t xml:space="preserve">an important source of </w:t>
      </w:r>
      <w:r w:rsidR="00E16FF6">
        <w:t xml:space="preserve">financing </w:t>
      </w:r>
      <w:r w:rsidR="00411F64">
        <w:t xml:space="preserve">for investments </w:t>
      </w:r>
      <w:r w:rsidR="0078463A">
        <w:t xml:space="preserve">in other </w:t>
      </w:r>
      <w:r w:rsidR="00411F64">
        <w:t>sectors critical to improv</w:t>
      </w:r>
      <w:r w:rsidR="00D2211F">
        <w:t>ing</w:t>
      </w:r>
      <w:r w:rsidR="00411F64">
        <w:t xml:space="preserve"> </w:t>
      </w:r>
      <w:r w:rsidR="001870D5">
        <w:t xml:space="preserve">consumption of healthy foods and absorptions of nutrients, </w:t>
      </w:r>
      <w:r w:rsidR="001913D2">
        <w:t>including health</w:t>
      </w:r>
      <w:r w:rsidR="004677B3">
        <w:t>care, sanitation, and education</w:t>
      </w:r>
      <w:r w:rsidR="00411F64">
        <w:t xml:space="preserve">. </w:t>
      </w:r>
      <w:r w:rsidR="00D2211F">
        <w:t xml:space="preserve">In addition, </w:t>
      </w:r>
      <w:r w:rsidR="00DA52B4">
        <w:t xml:space="preserve">food security is often viewed </w:t>
      </w:r>
      <w:r w:rsidR="00C95727">
        <w:t xml:space="preserve">as </w:t>
      </w:r>
      <w:r w:rsidR="001870D5">
        <w:t xml:space="preserve">tantamount </w:t>
      </w:r>
      <w:r w:rsidR="00C95727">
        <w:t>to national security and</w:t>
      </w:r>
      <w:r w:rsidR="00411F64">
        <w:t xml:space="preserve"> a </w:t>
      </w:r>
      <w:r w:rsidR="00C95727">
        <w:t xml:space="preserve">fundamental </w:t>
      </w:r>
      <w:r w:rsidR="00D75388">
        <w:t xml:space="preserve">metric </w:t>
      </w:r>
      <w:r w:rsidR="00411F64">
        <w:t>of state capacity</w:t>
      </w:r>
      <w:r w:rsidR="00D90DB7">
        <w:t xml:space="preserve"> </w:t>
      </w:r>
      <w:r w:rsidR="003946A0">
        <w:fldChar w:fldCharType="begin"/>
      </w:r>
      <w:r w:rsidR="003946A0">
        <w:instrText xml:space="preserve"> ADDIN ZOTERO_ITEM CSL_CITATION {"citationID":"ixWeLNk3","properties":{"formattedCitation":"(Eiran, Elias, and Troen 2021)","plainCitation":"(Eiran, Elias, and Troen 2021)","noteIndex":0},"citationItems":[{"id":6056,"uris":["http://zotero.org/users/8595919/items/VGICHP5P"],"itemData":{"id":6056,"type":"article-journal","container-title":"Foreign Policy","title":"No Bread, No Peace: Food Should Be Treated as a National Security Issue","URL":"https://foreignpolicy.com/2021/01/23/food-hunger-national-security-issue-instability/","volume":"January","author":[{"family":"Eiran","given":"Ehud"},{"family":"Elias","given":"Michaela"},{"family":"Troen","given":"Aron"}],"accessed":{"date-parts":[["2025",1,29]]},"issued":{"date-parts":[["2021"]]}}}],"schema":"https://github.com/citation-style-language/schema/raw/master/csl-citation.json"} </w:instrText>
      </w:r>
      <w:r w:rsidR="003946A0">
        <w:fldChar w:fldCharType="separate"/>
      </w:r>
      <w:r w:rsidRPr="003946A0" w:rsidR="003946A0">
        <w:rPr>
          <w:rFonts w:ascii="Aptos" w:hAnsi="Aptos"/>
        </w:rPr>
        <w:t>(Eiran, Elias, and Troen 2021)</w:t>
      </w:r>
      <w:r w:rsidR="003946A0">
        <w:fldChar w:fldCharType="end"/>
      </w:r>
      <w:r w:rsidR="00411F64">
        <w:t>.</w:t>
      </w:r>
      <w:r w:rsidR="00C95727">
        <w:t xml:space="preserve"> </w:t>
      </w:r>
    </w:p>
    <w:p w:rsidRPr="00ED4549" w:rsidR="0050291E" w:rsidP="0050291E" w:rsidRDefault="0050291E" w14:paraId="03CCD9CE" w14:textId="4C4BD90B">
      <w:pPr>
        <w:rPr>
          <w:b/>
          <w:bCs/>
        </w:rPr>
      </w:pPr>
      <w:r w:rsidRPr="00ED4549">
        <w:rPr>
          <w:b/>
          <w:bCs/>
        </w:rPr>
        <w:t xml:space="preserve">Conflict and Fragility </w:t>
      </w:r>
      <w:r w:rsidRPr="00ED4549" w:rsidR="00ED4549">
        <w:rPr>
          <w:b/>
          <w:bCs/>
        </w:rPr>
        <w:t>as Major Shock to Food Security</w:t>
      </w:r>
    </w:p>
    <w:p w:rsidR="00563D16" w:rsidP="001B788F" w:rsidRDefault="002E1BCD" w14:paraId="3BB1490A" w14:textId="31BCE4AC">
      <w:pPr>
        <w:pStyle w:val="ListParagraph"/>
        <w:ind w:left="0" w:firstLine="360"/>
      </w:pPr>
      <w:r>
        <w:tab/>
      </w:r>
      <w:r w:rsidR="003E2579">
        <w:t>Due to these multiple linkages, d</w:t>
      </w:r>
      <w:r>
        <w:t xml:space="preserve">isruptions to food security can come from </w:t>
      </w:r>
      <w:r w:rsidR="00986B6B">
        <w:t xml:space="preserve">vulnerabilities </w:t>
      </w:r>
      <w:r>
        <w:t xml:space="preserve">at multiple levels, including at the production level on the farm, </w:t>
      </w:r>
      <w:r w:rsidR="00305166">
        <w:t>via price distortions</w:t>
      </w:r>
      <w:r w:rsidR="00986B6B">
        <w:t xml:space="preserve"> within markets</w:t>
      </w:r>
      <w:r w:rsidR="00305166">
        <w:t>, and from income shocks</w:t>
      </w:r>
      <w:r w:rsidR="00986B6B">
        <w:t xml:space="preserve"> in households</w:t>
      </w:r>
      <w:r w:rsidR="00C94D95">
        <w:t xml:space="preserve">, </w:t>
      </w:r>
      <w:r w:rsidR="00986B6B">
        <w:t>communities</w:t>
      </w:r>
      <w:r w:rsidR="00C94D95">
        <w:t>, and regions</w:t>
      </w:r>
      <w:r w:rsidR="00305166">
        <w:t xml:space="preserve">. </w:t>
      </w:r>
      <w:r w:rsidR="00C91358">
        <w:t>Conflict</w:t>
      </w:r>
      <w:r w:rsidR="00E37CEF">
        <w:t xml:space="preserve"> and fragility contribute to</w:t>
      </w:r>
      <w:r w:rsidR="003E2579">
        <w:t>,</w:t>
      </w:r>
      <w:r w:rsidR="00E37CEF">
        <w:t xml:space="preserve"> and exacerbate vulnerabilities</w:t>
      </w:r>
      <w:r w:rsidR="003E2579">
        <w:t>,</w:t>
      </w:r>
      <w:r w:rsidR="00E37CEF">
        <w:t xml:space="preserve"> </w:t>
      </w:r>
      <w:r w:rsidR="00FD7C5B">
        <w:t xml:space="preserve">via all these channels. </w:t>
      </w:r>
      <w:r w:rsidR="00A12224">
        <w:t xml:space="preserve">According to </w:t>
      </w:r>
      <w:r w:rsidR="007E5E77">
        <w:t>the Armed Conflict and Location Event Database (</w:t>
      </w:r>
      <w:r w:rsidR="00A12224">
        <w:t>ACLED</w:t>
      </w:r>
      <w:r w:rsidR="007E5E77">
        <w:t>)</w:t>
      </w:r>
      <w:r w:rsidR="00A12224">
        <w:t xml:space="preserve">, global </w:t>
      </w:r>
      <w:r w:rsidR="00A12224">
        <w:lastRenderedPageBreak/>
        <w:t>conflicts have doubled over the past five years, with 1 in 8 people exposed to conflicts in 2024.</w:t>
      </w:r>
      <w:r w:rsidR="006600FA">
        <w:rPr>
          <w:rStyle w:val="FootnoteReference"/>
        </w:rPr>
        <w:footnoteReference w:id="3"/>
      </w:r>
      <w:r w:rsidR="00A12224">
        <w:t xml:space="preserve"> </w:t>
      </w:r>
      <w:r w:rsidR="0093167D">
        <w:t xml:space="preserve">Conflict is considered the primary cause of acute food insecurity in the </w:t>
      </w:r>
      <w:r w:rsidR="0040558E">
        <w:t xml:space="preserve">22 countries and territories currently </w:t>
      </w:r>
      <w:r w:rsidR="00F81B44">
        <w:t xml:space="preserve">considered by the World Food </w:t>
      </w:r>
      <w:proofErr w:type="spellStart"/>
      <w:r w:rsidR="00F81B44">
        <w:t>Programme</w:t>
      </w:r>
      <w:proofErr w:type="spellEnd"/>
      <w:r w:rsidR="00F81B44">
        <w:t xml:space="preserve"> </w:t>
      </w:r>
      <w:r w:rsidR="002E0067">
        <w:t xml:space="preserve">(WFP) </w:t>
      </w:r>
      <w:r w:rsidR="00F81B44">
        <w:t xml:space="preserve">as </w:t>
      </w:r>
      <w:r w:rsidR="0040558E">
        <w:t>hunger hotspots</w:t>
      </w:r>
      <w:r w:rsidR="00563D16">
        <w:t xml:space="preserve"> </w:t>
      </w:r>
      <w:r w:rsidR="00537FA0">
        <w:fldChar w:fldCharType="begin"/>
      </w:r>
      <w:r w:rsidR="002E0067">
        <w:instrText xml:space="preserve"> ADDIN ZOTERO_ITEM CSL_CITATION {"citationID":"smvSy9jg","properties":{"formattedCitation":"(WFP 2025)","plainCitation":"(WFP 2025)","noteIndex":0},"citationItems":[{"id":6071,"uris":["http://zotero.org/users/8595919/items/5YVDDP2D"],"itemData":{"id":6071,"type":"report","event-place":"Rome, Italy","publisher":"World Food Programme (WFP)","publisher-place":"Rome, Italy","title":"Hunger Hotspots FAO–WFP early warnings on acute food insecurity: November 2024-May 2025 Outlook","URL":"https://social.desa.un.org/sdn/hunger-hotspots-faowfp-early-warnings-on-acute-food-insecurity","author":[{"family":"WFP","given":""}],"accessed":{"date-parts":[["2025",1,29]]},"issued":{"date-parts":[["2025"]]}}}],"schema":"https://github.com/citation-style-language/schema/raw/master/csl-citation.json"} </w:instrText>
      </w:r>
      <w:r w:rsidR="00537FA0">
        <w:fldChar w:fldCharType="separate"/>
      </w:r>
      <w:r w:rsidRPr="002E0067" w:rsidR="002E0067">
        <w:rPr>
          <w:rFonts w:ascii="Aptos" w:hAnsi="Aptos"/>
        </w:rPr>
        <w:t>(WFP 2025)</w:t>
      </w:r>
      <w:r w:rsidR="00537FA0">
        <w:fldChar w:fldCharType="end"/>
      </w:r>
      <w:r w:rsidR="00F81B44">
        <w:t>.</w:t>
      </w:r>
      <w:r w:rsidR="005C5CBC">
        <w:rPr>
          <w:rStyle w:val="FootnoteReference"/>
        </w:rPr>
        <w:footnoteReference w:id="4"/>
      </w:r>
      <w:r w:rsidR="00F81B44">
        <w:t xml:space="preserve"> </w:t>
      </w:r>
      <w:r w:rsidR="0040558E">
        <w:t xml:space="preserve"> </w:t>
      </w:r>
    </w:p>
    <w:p w:rsidR="00AE32A3" w:rsidP="001B788F" w:rsidRDefault="00AE32A3" w14:paraId="589FFA3C" w14:textId="77777777">
      <w:pPr>
        <w:pStyle w:val="ListParagraph"/>
        <w:ind w:left="0" w:firstLine="360"/>
      </w:pPr>
    </w:p>
    <w:p w:rsidR="00C67E90" w:rsidP="00563D16" w:rsidRDefault="00993292" w14:paraId="14EDC3E1" w14:textId="3C46301D">
      <w:pPr>
        <w:pStyle w:val="ListParagraph"/>
        <w:ind w:left="0" w:firstLine="720"/>
      </w:pPr>
      <w:r>
        <w:t xml:space="preserve">Conflict is a driver of food insecurity </w:t>
      </w:r>
      <w:r w:rsidR="002F0B4D">
        <w:t xml:space="preserve">through multiple </w:t>
      </w:r>
      <w:r w:rsidR="00CF08DD">
        <w:t>mechanisms</w:t>
      </w:r>
      <w:r w:rsidR="002F0B4D">
        <w:t>. I</w:t>
      </w:r>
      <w:r w:rsidR="001674D4">
        <w:t xml:space="preserve">nterstate and inter-elite conflict </w:t>
      </w:r>
      <w:r w:rsidR="00B546F6">
        <w:t>drives farmers from their fields, deter</w:t>
      </w:r>
      <w:r w:rsidR="003E32B8">
        <w:t>s</w:t>
      </w:r>
      <w:r w:rsidR="00B546F6">
        <w:t xml:space="preserve"> investment</w:t>
      </w:r>
      <w:r w:rsidR="005D0BD9">
        <w:t xml:space="preserve"> in the agrifood system, and decimate</w:t>
      </w:r>
      <w:r w:rsidR="003E32B8">
        <w:t>s</w:t>
      </w:r>
      <w:r w:rsidR="005D0BD9">
        <w:t xml:space="preserve"> agro-industry. The war in Sudan, for instance, has </w:t>
      </w:r>
      <w:r w:rsidR="00B52638">
        <w:t xml:space="preserve">destroyed processing infrastructure and </w:t>
      </w:r>
      <w:r w:rsidR="003E32B8">
        <w:t xml:space="preserve">the </w:t>
      </w:r>
      <w:r w:rsidR="00873E8A">
        <w:t xml:space="preserve">supply chain for raw </w:t>
      </w:r>
      <w:r w:rsidR="003E32B8">
        <w:t xml:space="preserve">agricultural </w:t>
      </w:r>
      <w:r w:rsidR="00873E8A">
        <w:t xml:space="preserve">materials, leading to increased food price hikes and a dire humanitarian emergency </w:t>
      </w:r>
      <w:r w:rsidR="00032150">
        <w:fldChar w:fldCharType="begin"/>
      </w:r>
      <w:r w:rsidR="00032150">
        <w:instrText xml:space="preserve"> ADDIN ZOTERO_ITEM CSL_CITATION {"citationID":"SO3EXcQq","properties":{"formattedCitation":"(Kirui et al. 2023, 2024)","plainCitation":"(Kirui et al. 2023, 2024)","noteIndex":0},"citationItems":[{"id":6060,"uris":["http://zotero.org/users/8595919/items/BEGGNLS9"],"itemData":{"id":6060,"type":"article-journal","abstract":"This study assesses how agri-food processing enterprises have been affected during the first 3 months of the on-going conflict in Sudan between the Sudan Armed Force (SAF) and the Rapid Support Forces (RSF). The food processing and beverage manufacturing sector plays a significant role as a source of food, employment, and value addition in Sudan. Thus, the ensuing conflict will have both direct and indirect negative consequences to livelihoods and food security. We collected data from representatives of food processing and beverage manufacturing companies throughout Sudan via web-based interviews. The findings highlight the immediate implications of the conflict on the agri-food processing and manufacturing sector. The impact of the conflict has immediately extended beyond direct destruction of the infrastructure and equipment of the firms to cause serious negative employment effects. Furthermore, it led to a growing scarcity of the key material inputs/raw materials and an associated spike in the price of these key ingredients to the production processes. We discuss the implications of these findings vis-à-vis the fluid nature of the continuing conflict and propose some options in preparations to rebuilding the agri-food enterprises once the cessation of hostilities and the end of conflict is achieved.","language":"en","note":"publisher: International Food Policy Research Institute","source":"cgspace.cgiar.org","title":"Armed conflict and business operations in Sudan: Survey evidence from agri-food processing firms","title-short":"Armed conflict and business operations in Sudan","URL":"https://hdl.handle.net/10568/140193","author":[{"family":"Kirui","given":"Oliver K."},{"family":"Siddig","given":"Khalid"},{"family":"Abushama","given":"Hala"},{"family":"Taffesse","given":"Alemayehu Seyoum"}],"accessed":{"date-parts":[["2025",1,29]]},"issued":{"date-parts":[["2023",8,7]]}}},{"id":6058,"uris":["http://zotero.org/users/8595919/items/XDAC99E6"],"itemData":{"id":6058,"type":"article-journal","abstract":"The conflict in Sudan has severely impacted the food security landscape in rural areas, with profound implications for household diets, coping strategies, and overall food insecurity levels. Data from a national rural household phone survey conducted between October 2023 and January 2024 highlights the dire food consumption patterns, the prevalence of food insecurity, and the reliance on reduced coping strategies among the rural population of Sudan. As of the end of 2023, nearly 40 percent of rural households were consuming inadequate diets, with West Kordofan, South Kordofan, North Darfur, East Darfur, and Sennar states experiencing the highest prevalence of poor food consumption (34, 33, 29 and 24 percent, respectively). The primary components of diets were cereals and oils, with nutrient-rich foods, such as meats and fruits, consumed less frequently, highlighting a critical gap in nutritional adequacy. The situation has resulted in households across Sudan resorting to a range of coping strategies to try to meet their food needs, such as buying less preferred or less expensive food (on average 4 days out of 7), limiting portion sizes, or reducing the number of daily meals. The five coping mechanisms that were examined in the analysis were found to be implemented with approximately similar frequencies across rural Sudan. However, the situation was particularly dire in West Darfur, South Kordofan, and Khartoum, the states recording the highest prevalence of consumption of inadequate diets and the highest reduced Coping Strategy Index (rCSI) scores.","language":"en","note":"publisher: International Food Policy Research Institute","source":"cgspace.cgiar.org","title":"Food security and social assistance in Sudan during armed conflict: Evidence from the first round of the Sudan Rural Household Survey (November 2023–January 2024)","title-short":"Food security and social assistance in Sudan during armed conflict","URL":"https://hdl.handle.net/10568/145388","author":[{"family":"Kirui","given":"Oliver K."},{"family":"Ahmed","given":"Mosab"},{"family":"Siddig","given":"Khalid"},{"family":"Taffesse","given":"Alemayehu Seyoum"},{"family":"Abushama","given":"Hala"},{"family":"Dorosh","given":"Paul A."},{"family":"Krishnaswamy","given":"Siddharth"},{"family":"Monetta","given":"Cinzia"},{"family":"Clough","given":"Alice"},{"family":"Gualtieri","given":"Alberto"},{"family":"Leaduma","given":"Amos"}],"accessed":{"date-parts":[["2025",1,29]]},"issued":{"date-parts":[["2024",6,20]]}}}],"schema":"https://github.com/citation-style-language/schema/raw/master/csl-citation.json"} </w:instrText>
      </w:r>
      <w:r w:rsidR="00032150">
        <w:fldChar w:fldCharType="separate"/>
      </w:r>
      <w:r w:rsidRPr="00032150" w:rsidR="00032150">
        <w:rPr>
          <w:rFonts w:ascii="Aptos" w:hAnsi="Aptos"/>
        </w:rPr>
        <w:t>(Kirui et al. 2023, 2024)</w:t>
      </w:r>
      <w:r w:rsidR="00032150">
        <w:fldChar w:fldCharType="end"/>
      </w:r>
      <w:r w:rsidR="00032150">
        <w:t xml:space="preserve">. </w:t>
      </w:r>
      <w:r w:rsidR="003E32B8">
        <w:t xml:space="preserve">In Myanmar, </w:t>
      </w:r>
      <w:r w:rsidR="00D50A9E">
        <w:t xml:space="preserve">the civil war </w:t>
      </w:r>
      <w:r w:rsidR="00F961BA">
        <w:t>has resulted in a significant decrease in rice production</w:t>
      </w:r>
      <w:r w:rsidR="00C25155">
        <w:t xml:space="preserve"> due to the inability of farmers to access </w:t>
      </w:r>
      <w:r w:rsidR="00311B15">
        <w:t xml:space="preserve">agricultural </w:t>
      </w:r>
      <w:r w:rsidR="00C25155">
        <w:t xml:space="preserve">extension services </w:t>
      </w:r>
      <w:r w:rsidR="0047366F">
        <w:t xml:space="preserve">and afford agricultural machinery </w:t>
      </w:r>
      <w:r w:rsidR="00A11659">
        <w:fldChar w:fldCharType="begin"/>
      </w:r>
      <w:r w:rsidR="00A11659">
        <w:instrText xml:space="preserve"> ADDIN ZOTERO_ITEM CSL_CITATION {"citationID":"BDEcH7Aq","properties":{"formattedCitation":"(Takeshima et al. 2024)","plainCitation":"(Takeshima et al. 2024)","noteIndex":0},"citationItems":[{"id":6068,"uris":["http://zotero.org/users/8595919/items/WSYC6CEN"],"itemData":{"id":6068,"type":"article-journal","abstract":"Abstract\n            Despite technologies' critical roles in agricultural productivity, evidence is scarce on how conflict affects technology adoption and consequent agricultural productivity, often due to a lack of data in fragile states. Our study contributes to filling this knowledge gap by using unique large</w:instrText>
      </w:r>
      <w:r w:rsidR="00A11659">
        <w:rPr>
          <w:rFonts w:ascii="Cambria Math" w:hAnsi="Cambria Math" w:cs="Cambria Math"/>
        </w:rPr>
        <w:instrText>‐</w:instrText>
      </w:r>
      <w:r w:rsidR="00A11659">
        <w:instrText>scale data on rice producers before and after a military coup in Myanmar in 2021 that led to a significant increase in conflicts in the country. We find that the increase in violent events including those in adjacent townships significantly changed the rice production function in both factor</w:instrText>
      </w:r>
      <w:r w:rsidR="00A11659">
        <w:rPr>
          <w:rFonts w:ascii="Cambria Math" w:hAnsi="Cambria Math" w:cs="Cambria Math"/>
        </w:rPr>
        <w:instrText>‐</w:instrText>
      </w:r>
      <w:r w:rsidR="00A11659">
        <w:instrText>neutral and non</w:instrText>
      </w:r>
      <w:r w:rsidR="00A11659">
        <w:rPr>
          <w:rFonts w:ascii="Cambria Math" w:hAnsi="Cambria Math" w:cs="Cambria Math"/>
        </w:rPr>
        <w:instrText>‐</w:instrText>
      </w:r>
      <w:r w:rsidR="00A11659">
        <w:instrText>neutral ways. Specifically, increased violent events have been generally associated with downward factor</w:instrText>
      </w:r>
      <w:r w:rsidR="00A11659">
        <w:rPr>
          <w:rFonts w:ascii="Cambria Math" w:hAnsi="Cambria Math" w:cs="Cambria Math"/>
        </w:rPr>
        <w:instrText>‐</w:instrText>
      </w:r>
      <w:r w:rsidR="00A11659">
        <w:instrText>neutral shift in production function, and more importantly, increased output elasticity to agricultural capital (equipment) owned (in other words, reduced output resilience against capital ownership shocks). Our evidence also suggests that this has been led partly through reduced access to agricultural extension services, which would otherwise help farmers maintain productivity even with limited capital ownership by substituting it with human capital and skills. Our results consistently hold for both panel and cross</w:instrText>
      </w:r>
      <w:r w:rsidR="00A11659">
        <w:rPr>
          <w:rFonts w:ascii="Cambria Math" w:hAnsi="Cambria Math" w:cs="Cambria Math"/>
        </w:rPr>
        <w:instrText>‐</w:instrText>
      </w:r>
      <w:r w:rsidR="00A11659">
        <w:instrText xml:space="preserve">sectional production functions across various specifications and particularly in Lower Myanmar. Results also indicate that lower mechanization service fees partly mitigate these effects.","container-title":"Agricultural Economics","DOI":"10.1111/agec.12855","ISSN":"0169-5150, 1574-0862","issue":"6","journalAbbreviation":"Agricultural Economics","language":"en","page":"925-942","source":"DOI.org (Crossref)","title":"Endogenous technologies and productivity in rice production: Roles of social instability in Myanmar since 2021","title-short":"Endogenous technologies and productivity in rice production","volume":"55","author":[{"family":"Takeshima","given":"Hiroyuki"},{"family":"Aung","given":"Zin Wai"},{"family":"Masias","given":"Ian"},{"family":"Minten","given":"Bart"}],"issued":{"date-parts":[["2024",11]]}}}],"schema":"https://github.com/citation-style-language/schema/raw/master/csl-citation.json"} </w:instrText>
      </w:r>
      <w:r w:rsidR="00A11659">
        <w:fldChar w:fldCharType="separate"/>
      </w:r>
      <w:r w:rsidRPr="00A11659" w:rsidR="00A11659">
        <w:rPr>
          <w:rFonts w:ascii="Aptos" w:hAnsi="Aptos"/>
        </w:rPr>
        <w:t>(Takeshima et al. 2024)</w:t>
      </w:r>
      <w:r w:rsidR="00A11659">
        <w:fldChar w:fldCharType="end"/>
      </w:r>
      <w:r w:rsidR="00A11659">
        <w:t xml:space="preserve">. </w:t>
      </w:r>
    </w:p>
    <w:p w:rsidR="00CF08DD" w:rsidP="00563D16" w:rsidRDefault="00CF08DD" w14:paraId="0AFD8EF2" w14:textId="77777777">
      <w:pPr>
        <w:pStyle w:val="ListParagraph"/>
        <w:ind w:left="0" w:firstLine="720"/>
      </w:pPr>
    </w:p>
    <w:p w:rsidR="00C96D3F" w:rsidP="0039555A" w:rsidRDefault="009F7C56" w14:paraId="4B41F017" w14:textId="4BC350DD">
      <w:pPr>
        <w:pStyle w:val="ListParagraph"/>
        <w:ind w:left="0" w:firstLine="360"/>
      </w:pPr>
      <w:r>
        <w:tab/>
      </w:r>
      <w:r w:rsidR="000F08FD">
        <w:t>Food insecurity, driven by other sources of fragility</w:t>
      </w:r>
      <w:r w:rsidR="00D762FD">
        <w:t xml:space="preserve"> like economic volatility and </w:t>
      </w:r>
      <w:r w:rsidR="00311B15">
        <w:t>climate change</w:t>
      </w:r>
      <w:r w:rsidR="000F08FD">
        <w:t xml:space="preserve">, is also a driver of conflict. </w:t>
      </w:r>
      <w:r w:rsidR="001C3E24">
        <w:t xml:space="preserve">A clear example </w:t>
      </w:r>
      <w:r w:rsidR="00646B75">
        <w:t xml:space="preserve">is the </w:t>
      </w:r>
      <w:r w:rsidR="00DC6125">
        <w:t>Lake Chad Basi</w:t>
      </w:r>
      <w:r w:rsidR="001C3E24">
        <w:t>n</w:t>
      </w:r>
      <w:r w:rsidR="00646B75">
        <w:t xml:space="preserve">, which </w:t>
      </w:r>
      <w:r w:rsidR="00A76DDA">
        <w:t>spans Cameroon, Chad, Niger, and Nigeria</w:t>
      </w:r>
      <w:r w:rsidR="00646B75">
        <w:t xml:space="preserve"> and supports the livelihoods of 30 million people who depend on the Lake for irrigation, fisheries, and livestock. </w:t>
      </w:r>
      <w:r w:rsidR="00932E27">
        <w:t xml:space="preserve"> The Lake </w:t>
      </w:r>
      <w:r w:rsidR="00C96D3F">
        <w:t>has decreased in size by about 90% since the 1960s</w:t>
      </w:r>
      <w:r w:rsidR="004E5ADE">
        <w:t xml:space="preserve">, </w:t>
      </w:r>
      <w:r w:rsidR="00646B75">
        <w:t>and t</w:t>
      </w:r>
      <w:r w:rsidR="00C96D3F">
        <w:t>he depleting natural resources and grazing lands are believed to have increased farmer-</w:t>
      </w:r>
      <w:proofErr w:type="gramStart"/>
      <w:r w:rsidR="00C96D3F">
        <w:t>pastoralist</w:t>
      </w:r>
      <w:proofErr w:type="gramEnd"/>
      <w:r w:rsidR="00C96D3F">
        <w:t xml:space="preserve"> conflicts and </w:t>
      </w:r>
      <w:r w:rsidR="00D10A35">
        <w:t xml:space="preserve">contributed to </w:t>
      </w:r>
      <w:r w:rsidR="00C96D3F">
        <w:t>the Boko Haram insurgency</w:t>
      </w:r>
      <w:r w:rsidR="003D702C">
        <w:t>.</w:t>
      </w:r>
      <w:r w:rsidR="003D702C">
        <w:rPr>
          <w:rStyle w:val="FootnoteReference"/>
        </w:rPr>
        <w:footnoteReference w:id="5"/>
      </w:r>
      <w:r w:rsidR="003700D7">
        <w:t xml:space="preserve"> </w:t>
      </w:r>
      <w:r w:rsidR="00C66C45">
        <w:t>More broadly, several studies demonstrate the linkages between average temperature change increases and the risk of armed conflict (Burke, Hsiang, and Miguel 2015).</w:t>
      </w:r>
      <w:r w:rsidRPr="00DE24C7" w:rsidR="00DE24C7">
        <w:t xml:space="preserve"> </w:t>
      </w:r>
      <w:r w:rsidR="005B36B2">
        <w:t xml:space="preserve">As both a driver and consequence of food insecurity, conflict </w:t>
      </w:r>
      <w:r w:rsidR="00671DB1">
        <w:t>contribute</w:t>
      </w:r>
      <w:r w:rsidR="00656EBF">
        <w:t>s</w:t>
      </w:r>
      <w:r w:rsidR="00671DB1">
        <w:t xml:space="preserve"> to internal displacement </w:t>
      </w:r>
      <w:r w:rsidR="00656EBF">
        <w:t>and</w:t>
      </w:r>
      <w:r w:rsidR="00671DB1">
        <w:t xml:space="preserve"> cross-border </w:t>
      </w:r>
      <w:r w:rsidR="00DE24C7">
        <w:t>migrat</w:t>
      </w:r>
      <w:r w:rsidR="00671DB1">
        <w:t xml:space="preserve">ion, </w:t>
      </w:r>
      <w:r w:rsidR="00DE24C7">
        <w:t xml:space="preserve">sometimes generating </w:t>
      </w:r>
      <w:r w:rsidR="00800698">
        <w:t xml:space="preserve">further negative externalities </w:t>
      </w:r>
      <w:r w:rsidR="00656EBF">
        <w:t xml:space="preserve">because of </w:t>
      </w:r>
      <w:r w:rsidR="00DE24C7">
        <w:t>new pressures on food security for host populations</w:t>
      </w:r>
      <w:r w:rsidR="00CF3263">
        <w:t xml:space="preserve">. </w:t>
      </w:r>
    </w:p>
    <w:p w:rsidR="00F9221D" w:rsidP="00F9221D" w:rsidRDefault="00F9221D" w14:paraId="4DB409E3" w14:textId="77777777">
      <w:pPr>
        <w:rPr>
          <w:b/>
          <w:bCs/>
        </w:rPr>
      </w:pPr>
      <w:r>
        <w:rPr>
          <w:b/>
          <w:bCs/>
        </w:rPr>
        <w:t xml:space="preserve">Policy Approaches to Enhancing Global Food Security </w:t>
      </w:r>
    </w:p>
    <w:p w:rsidR="00C82FA3" w:rsidP="006E2C7A" w:rsidRDefault="002E3FE0" w14:paraId="05276039" w14:textId="2AF1C056">
      <w:pPr>
        <w:pStyle w:val="ListParagraph"/>
        <w:ind w:left="0" w:firstLine="720"/>
      </w:pPr>
      <w:r>
        <w:t xml:space="preserve">Policy </w:t>
      </w:r>
      <w:r w:rsidR="00584EC3">
        <w:t>options</w:t>
      </w:r>
      <w:r w:rsidR="00F9221D">
        <w:t xml:space="preserve"> to address </w:t>
      </w:r>
      <w:r w:rsidR="00FE6B51">
        <w:t>global</w:t>
      </w:r>
      <w:r w:rsidR="00E4231B">
        <w:t xml:space="preserve"> </w:t>
      </w:r>
      <w:r w:rsidR="00584EC3">
        <w:t xml:space="preserve">food insecurity </w:t>
      </w:r>
      <w:r>
        <w:t>must be multi-faceted</w:t>
      </w:r>
      <w:r w:rsidR="00E4231B">
        <w:t xml:space="preserve">. </w:t>
      </w:r>
      <w:r w:rsidR="00D174A0">
        <w:t xml:space="preserve">In countries already in a food security crisis from conflict or other causes, </w:t>
      </w:r>
      <w:r w:rsidR="00A96E7B">
        <w:t xml:space="preserve">interventions include humanitarian aid, support for </w:t>
      </w:r>
      <w:r w:rsidR="00C97022">
        <w:t>shock-res</w:t>
      </w:r>
      <w:r w:rsidR="00FE3D41">
        <w:t xml:space="preserve">ponsive safety net programs, </w:t>
      </w:r>
      <w:r w:rsidR="00E86F18">
        <w:t>and protecting essential supply chains</w:t>
      </w:r>
      <w:r w:rsidR="00B21B20">
        <w:t>.</w:t>
      </w:r>
      <w:r w:rsidR="00E86F18">
        <w:rPr>
          <w:b/>
          <w:bCs/>
        </w:rPr>
        <w:t xml:space="preserve"> </w:t>
      </w:r>
      <w:r w:rsidR="00160F17">
        <w:t xml:space="preserve">In </w:t>
      </w:r>
      <w:r w:rsidR="00A30091">
        <w:t xml:space="preserve">other settings, anticipatory actions are critical, including </w:t>
      </w:r>
      <w:r w:rsidR="003C05D1">
        <w:t>bolstering</w:t>
      </w:r>
      <w:r w:rsidR="00A30091">
        <w:t xml:space="preserve"> early warning systems that incorporate economic, environmental, and political </w:t>
      </w:r>
      <w:r w:rsidR="00A30091">
        <w:lastRenderedPageBreak/>
        <w:t>risk factors, e</w:t>
      </w:r>
      <w:r w:rsidR="00646B75">
        <w:t xml:space="preserve">xpanding </w:t>
      </w:r>
      <w:r w:rsidR="00A30091">
        <w:t xml:space="preserve">national and regional food reserves, and investing in seed adoption and uptake for resilient crops. At the global level, there </w:t>
      </w:r>
      <w:r w:rsidR="008D6CEC">
        <w:t xml:space="preserve">also </w:t>
      </w:r>
      <w:r w:rsidR="00A30091">
        <w:t xml:space="preserve">is a need for greater policy coherence to </w:t>
      </w:r>
      <w:r w:rsidR="008D6CEC">
        <w:t xml:space="preserve">sustainably </w:t>
      </w:r>
      <w:r w:rsidR="00A30091">
        <w:t>respond to food security crises</w:t>
      </w:r>
      <w:r w:rsidR="005109E1">
        <w:t xml:space="preserve">, ensuring that shorter-term humanitarian efforts create synergies with longer-term investments in food systems and diplomatic efforts to </w:t>
      </w:r>
      <w:r w:rsidR="0051503E">
        <w:t xml:space="preserve">understand </w:t>
      </w:r>
      <w:r w:rsidR="008D6CEC">
        <w:t>the root causes of conflicts and facilitate their resolution.</w:t>
      </w:r>
    </w:p>
    <w:p w:rsidRPr="006E2C7A" w:rsidR="00692FD4" w:rsidP="006E2C7A" w:rsidRDefault="005109E1" w14:paraId="0C34AF2C" w14:textId="4782EF69">
      <w:pPr>
        <w:pStyle w:val="ListParagraph"/>
        <w:ind w:left="0" w:firstLine="720"/>
      </w:pPr>
      <w:r>
        <w:t xml:space="preserve"> </w:t>
      </w:r>
    </w:p>
    <w:p w:rsidR="00AB5780" w:rsidP="00E5589B" w:rsidRDefault="00AB5780" w14:paraId="7A6FD92A" w14:textId="093F59E9">
      <w:pPr>
        <w:pStyle w:val="ListParagraph"/>
        <w:ind w:left="0" w:firstLine="720"/>
      </w:pPr>
      <w:r w:rsidRPr="00AB5780">
        <w:t>As one of</w:t>
      </w:r>
      <w:r>
        <w:t xml:space="preserve"> the world’s biggest exporters of </w:t>
      </w:r>
      <w:r w:rsidR="00E5589B">
        <w:t>agriculture products</w:t>
      </w:r>
      <w:r w:rsidR="002C5155">
        <w:t xml:space="preserve">, </w:t>
      </w:r>
      <w:r w:rsidR="002B3D4A">
        <w:t xml:space="preserve">a key source of expertise </w:t>
      </w:r>
      <w:r w:rsidR="006A0122">
        <w:t>in</w:t>
      </w:r>
      <w:r w:rsidR="009B1C8F">
        <w:t xml:space="preserve"> </w:t>
      </w:r>
      <w:r w:rsidR="00FF390F">
        <w:t xml:space="preserve">sustainable land use management, </w:t>
      </w:r>
      <w:r w:rsidR="00746C6B">
        <w:t xml:space="preserve">a </w:t>
      </w:r>
      <w:r w:rsidR="00DC738E">
        <w:t xml:space="preserve">leader in seed </w:t>
      </w:r>
      <w:r w:rsidR="009C33AA">
        <w:t xml:space="preserve">innovation, </w:t>
      </w:r>
      <w:r w:rsidR="00746C6B">
        <w:t xml:space="preserve">and </w:t>
      </w:r>
      <w:r w:rsidR="009C33AA">
        <w:t xml:space="preserve">a </w:t>
      </w:r>
      <w:r w:rsidR="00271054">
        <w:t>major contributor to processes such as the Humanitarian-</w:t>
      </w:r>
      <w:r w:rsidR="00F137A4">
        <w:t xml:space="preserve">Development-Peace (HDP) Nexus coalition, </w:t>
      </w:r>
      <w:r w:rsidR="00E5589B">
        <w:t xml:space="preserve">the Netherlands </w:t>
      </w:r>
      <w:r w:rsidR="00F137A4">
        <w:t xml:space="preserve">can play a </w:t>
      </w:r>
      <w:r w:rsidR="00E15A71">
        <w:t>leading</w:t>
      </w:r>
      <w:r w:rsidR="00E5589B">
        <w:t xml:space="preserve"> role in enhancing global food security </w:t>
      </w:r>
      <w:r w:rsidR="00F137A4">
        <w:t xml:space="preserve">for the world’s </w:t>
      </w:r>
      <w:r w:rsidR="000F1AFE">
        <w:t>most vulnerable populations</w:t>
      </w:r>
      <w:r w:rsidR="00A6463E">
        <w:t xml:space="preserve"> </w:t>
      </w:r>
      <w:r w:rsidR="009C33AA">
        <w:t xml:space="preserve">and </w:t>
      </w:r>
      <w:r w:rsidR="00352654">
        <w:t xml:space="preserve">thereby </w:t>
      </w:r>
      <w:r w:rsidR="009C33AA">
        <w:t xml:space="preserve">help </w:t>
      </w:r>
      <w:r w:rsidR="00352654">
        <w:t xml:space="preserve">SDG2 </w:t>
      </w:r>
      <w:r w:rsidR="009C33AA">
        <w:t xml:space="preserve">get back on track. </w:t>
      </w:r>
    </w:p>
    <w:p w:rsidR="0005197A" w:rsidP="00E5589B" w:rsidRDefault="0005197A" w14:paraId="02FFC747" w14:textId="77777777">
      <w:pPr>
        <w:pStyle w:val="ListParagraph"/>
        <w:ind w:left="0" w:firstLine="720"/>
      </w:pPr>
    </w:p>
    <w:p w:rsidRPr="005D77D1" w:rsidR="00782F38" w:rsidP="00782F38" w:rsidRDefault="005D77D1" w14:paraId="1052AF83" w14:textId="3480CBAE">
      <w:pPr>
        <w:rPr>
          <w:b/>
          <w:bCs/>
        </w:rPr>
      </w:pPr>
      <w:r w:rsidRPr="005D77D1">
        <w:rPr>
          <w:b/>
          <w:bCs/>
        </w:rPr>
        <w:t>References</w:t>
      </w:r>
    </w:p>
    <w:p w:rsidRPr="00A309AC" w:rsidR="00A309AC" w:rsidP="00A309AC" w:rsidRDefault="00A309AC" w14:paraId="47DEFE1B" w14:textId="77777777">
      <w:pPr>
        <w:pStyle w:val="Bibliography"/>
        <w:rPr>
          <w:rFonts w:ascii="Aptos" w:hAnsi="Aptos"/>
        </w:rPr>
      </w:pPr>
      <w:r>
        <w:fldChar w:fldCharType="begin"/>
      </w:r>
      <w:r>
        <w:instrText xml:space="preserve"> ADDIN ZOTERO_BIBL {"uncited":[],"omitted":[],"custom":[]} CSL_BIBLIOGRAPHY </w:instrText>
      </w:r>
      <w:r>
        <w:fldChar w:fldCharType="separate"/>
      </w:r>
      <w:r w:rsidRPr="00A309AC">
        <w:rPr>
          <w:rFonts w:ascii="Aptos" w:hAnsi="Aptos"/>
        </w:rPr>
        <w:t xml:space="preserve">Eiran, Ehud, Michaela Elias, and Aron Troen. 2021. “No Bread, No Peace: Food Should Be Treated as a National Security Issue.” </w:t>
      </w:r>
      <w:r w:rsidRPr="00A309AC">
        <w:rPr>
          <w:rFonts w:ascii="Aptos" w:hAnsi="Aptos"/>
          <w:i/>
          <w:iCs/>
        </w:rPr>
        <w:t>Foreign Policy</w:t>
      </w:r>
      <w:r w:rsidRPr="00A309AC">
        <w:rPr>
          <w:rFonts w:ascii="Aptos" w:hAnsi="Aptos"/>
        </w:rPr>
        <w:t xml:space="preserve"> January. https://foreignpolicy.com/2021/01/23/food-hunger-national-security-issue-instability/ (January 29, 2025).</w:t>
      </w:r>
    </w:p>
    <w:p w:rsidRPr="00A309AC" w:rsidR="00A309AC" w:rsidP="00A309AC" w:rsidRDefault="00A309AC" w14:paraId="50C71B8A" w14:textId="77777777">
      <w:pPr>
        <w:pStyle w:val="Bibliography"/>
        <w:rPr>
          <w:rFonts w:ascii="Aptos" w:hAnsi="Aptos"/>
        </w:rPr>
      </w:pPr>
      <w:r w:rsidRPr="00A309AC">
        <w:rPr>
          <w:rFonts w:ascii="Aptos" w:hAnsi="Aptos"/>
        </w:rPr>
        <w:t>FAO. 2023. “Food and Agriculture Policy Decision Analysis Tool.” https://fapda.apps.fao.org/fapda/#main.html.</w:t>
      </w:r>
    </w:p>
    <w:p w:rsidRPr="00A309AC" w:rsidR="00A309AC" w:rsidP="00A309AC" w:rsidRDefault="00A309AC" w14:paraId="01784CC9" w14:textId="77777777">
      <w:pPr>
        <w:pStyle w:val="Bibliography"/>
        <w:rPr>
          <w:rFonts w:ascii="Aptos" w:hAnsi="Aptos"/>
        </w:rPr>
      </w:pPr>
      <w:r w:rsidRPr="00A309AC">
        <w:rPr>
          <w:rFonts w:ascii="Aptos" w:hAnsi="Aptos"/>
        </w:rPr>
        <w:t xml:space="preserve">FAO. 2024a. </w:t>
      </w:r>
      <w:r w:rsidRPr="00A309AC">
        <w:rPr>
          <w:rFonts w:ascii="Aptos" w:hAnsi="Aptos"/>
          <w:i/>
          <w:iCs/>
        </w:rPr>
        <w:t>Employment Indicators 2000-2022: October 2024 Update</w:t>
      </w:r>
      <w:r w:rsidRPr="00A309AC">
        <w:rPr>
          <w:rFonts w:ascii="Aptos" w:hAnsi="Aptos"/>
        </w:rPr>
        <w:t>. Rome, Italy: Food and Agricultural Organization (FAO).</w:t>
      </w:r>
    </w:p>
    <w:p w:rsidRPr="00A309AC" w:rsidR="00A309AC" w:rsidP="00A309AC" w:rsidRDefault="00A309AC" w14:paraId="7F2671B7" w14:textId="77777777">
      <w:pPr>
        <w:pStyle w:val="Bibliography"/>
        <w:rPr>
          <w:rFonts w:ascii="Aptos" w:hAnsi="Aptos"/>
        </w:rPr>
      </w:pPr>
      <w:r w:rsidRPr="00A309AC">
        <w:rPr>
          <w:rFonts w:ascii="Aptos" w:hAnsi="Aptos"/>
        </w:rPr>
        <w:t xml:space="preserve">FAO. 2024b. </w:t>
      </w:r>
      <w:r w:rsidRPr="00A309AC">
        <w:rPr>
          <w:rFonts w:ascii="Aptos" w:hAnsi="Aptos"/>
          <w:i/>
          <w:iCs/>
        </w:rPr>
        <w:t>The State of Agricultural Commodity Markets 2024</w:t>
      </w:r>
      <w:r w:rsidRPr="00A309AC">
        <w:rPr>
          <w:rFonts w:ascii="Aptos" w:hAnsi="Aptos"/>
        </w:rPr>
        <w:t>. Rome, Italy: Food and Agriculture Organization (FAO). doi:10.4060/cd2144en.</w:t>
      </w:r>
    </w:p>
    <w:p w:rsidRPr="00A309AC" w:rsidR="00A309AC" w:rsidP="00A309AC" w:rsidRDefault="00A309AC" w14:paraId="00E56A41" w14:textId="77777777">
      <w:pPr>
        <w:pStyle w:val="Bibliography"/>
        <w:rPr>
          <w:rFonts w:ascii="Aptos" w:hAnsi="Aptos"/>
        </w:rPr>
      </w:pPr>
      <w:r w:rsidRPr="00A309AC">
        <w:rPr>
          <w:rFonts w:ascii="Aptos" w:hAnsi="Aptos"/>
        </w:rPr>
        <w:t>Kirui, Oliver K., Mosab Ahmed, Khalid Siddig, Alemayehu Seyoum Taffesse, Hala Abushama, Paul A. Dorosh, Siddharth Krishnaswamy, et al. 2024. “Food Security and Social Assistance in Sudan during Armed Conflict: Evidence from the First Round of the Sudan Rural Household Survey (November 2023–January 2024).” https://hdl.handle.net/10568/145388 (January 29, 2025).</w:t>
      </w:r>
    </w:p>
    <w:p w:rsidRPr="00A309AC" w:rsidR="00A309AC" w:rsidP="00A309AC" w:rsidRDefault="00A309AC" w14:paraId="7C29E67F" w14:textId="77777777">
      <w:pPr>
        <w:pStyle w:val="Bibliography"/>
        <w:rPr>
          <w:rFonts w:ascii="Aptos" w:hAnsi="Aptos"/>
        </w:rPr>
      </w:pPr>
      <w:r w:rsidRPr="00A309AC">
        <w:rPr>
          <w:rFonts w:ascii="Aptos" w:hAnsi="Aptos"/>
        </w:rPr>
        <w:t>Kirui, Oliver K., Khalid Siddig, Hala Abushama, and Alemayehu Seyoum Taffesse. 2023. “Armed Conflict and Business Operations in Sudan: Survey Evidence from Agri-Food Processing Firms.” https://hdl.handle.net/10568/140193 (January 29, 2025).</w:t>
      </w:r>
    </w:p>
    <w:p w:rsidRPr="00A309AC" w:rsidR="00A309AC" w:rsidP="00A309AC" w:rsidRDefault="00A309AC" w14:paraId="6E7CA0C1" w14:textId="77777777">
      <w:pPr>
        <w:pStyle w:val="Bibliography"/>
        <w:rPr>
          <w:rFonts w:ascii="Aptos" w:hAnsi="Aptos"/>
        </w:rPr>
      </w:pPr>
      <w:r w:rsidRPr="00A309AC">
        <w:rPr>
          <w:rFonts w:ascii="Aptos" w:hAnsi="Aptos"/>
        </w:rPr>
        <w:t xml:space="preserve">Sachs, Jeffrey D., Guillaume Lafortune, Grayson Fuller, and Eamon Drumm. 2023. </w:t>
      </w:r>
      <w:r w:rsidRPr="00A309AC">
        <w:rPr>
          <w:rFonts w:ascii="Aptos" w:hAnsi="Aptos"/>
          <w:i/>
          <w:iCs/>
        </w:rPr>
        <w:t>Implementing the SDG Stimulus. Sustainable Development Report 2023: Sustainable Development Report 2023</w:t>
      </w:r>
      <w:r w:rsidRPr="00A309AC">
        <w:rPr>
          <w:rFonts w:ascii="Aptos" w:hAnsi="Aptos"/>
        </w:rPr>
        <w:t>. Dublin University Press. doi:10.25546/102924.</w:t>
      </w:r>
    </w:p>
    <w:p w:rsidRPr="00A309AC" w:rsidR="00A309AC" w:rsidP="00A309AC" w:rsidRDefault="00A309AC" w14:paraId="3E2FF2D7" w14:textId="77777777">
      <w:pPr>
        <w:pStyle w:val="Bibliography"/>
        <w:rPr>
          <w:rFonts w:ascii="Aptos" w:hAnsi="Aptos"/>
        </w:rPr>
      </w:pPr>
      <w:r w:rsidRPr="00A309AC">
        <w:rPr>
          <w:rFonts w:ascii="Aptos" w:hAnsi="Aptos"/>
        </w:rPr>
        <w:lastRenderedPageBreak/>
        <w:t xml:space="preserve">Takeshima, Hiroyuki, Zin Wai Aung, Ian Masias, and Bart Minten. 2024. “Endogenous Technologies and Productivity in Rice Production: Roles of Social Instability in Myanmar since 2021.” </w:t>
      </w:r>
      <w:r w:rsidRPr="00A309AC">
        <w:rPr>
          <w:rFonts w:ascii="Aptos" w:hAnsi="Aptos"/>
          <w:i/>
          <w:iCs/>
        </w:rPr>
        <w:t>Agricultural Economics</w:t>
      </w:r>
      <w:r w:rsidRPr="00A309AC">
        <w:rPr>
          <w:rFonts w:ascii="Aptos" w:hAnsi="Aptos"/>
        </w:rPr>
        <w:t xml:space="preserve"> 55(6): 925–42. doi:10.1111/agec.12855.</w:t>
      </w:r>
    </w:p>
    <w:p w:rsidRPr="00A309AC" w:rsidR="00A309AC" w:rsidP="00A309AC" w:rsidRDefault="00A309AC" w14:paraId="5083FD25" w14:textId="77777777">
      <w:pPr>
        <w:pStyle w:val="Bibliography"/>
        <w:rPr>
          <w:rFonts w:ascii="Aptos" w:hAnsi="Aptos"/>
        </w:rPr>
      </w:pPr>
      <w:r w:rsidRPr="00A309AC">
        <w:rPr>
          <w:rFonts w:ascii="Aptos" w:hAnsi="Aptos"/>
        </w:rPr>
        <w:t xml:space="preserve">UN-DESA. 2023. </w:t>
      </w:r>
      <w:r w:rsidRPr="00A309AC">
        <w:rPr>
          <w:rFonts w:ascii="Aptos" w:hAnsi="Aptos"/>
          <w:i/>
          <w:iCs/>
        </w:rPr>
        <w:t>The Sustainable Development Goals Report 2023: Special Edition</w:t>
      </w:r>
      <w:r w:rsidRPr="00A309AC">
        <w:rPr>
          <w:rFonts w:ascii="Aptos" w:hAnsi="Aptos"/>
        </w:rPr>
        <w:t>. United Nations Department of Economic and Social Affairs. doi:10.18356/9789210024914.</w:t>
      </w:r>
    </w:p>
    <w:p w:rsidRPr="00A309AC" w:rsidR="00A309AC" w:rsidP="00A309AC" w:rsidRDefault="00A309AC" w14:paraId="72934284" w14:textId="77777777">
      <w:pPr>
        <w:pStyle w:val="Bibliography"/>
        <w:rPr>
          <w:rFonts w:ascii="Aptos" w:hAnsi="Aptos"/>
        </w:rPr>
      </w:pPr>
      <w:r w:rsidRPr="00A309AC">
        <w:rPr>
          <w:rFonts w:ascii="Aptos" w:hAnsi="Aptos"/>
        </w:rPr>
        <w:t xml:space="preserve">WFP. 2025. </w:t>
      </w:r>
      <w:r w:rsidRPr="00A309AC">
        <w:rPr>
          <w:rFonts w:ascii="Aptos" w:hAnsi="Aptos"/>
          <w:i/>
          <w:iCs/>
        </w:rPr>
        <w:t>Hunger Hotspots FAO–WFP Early Warnings on Acute Food Insecurity: November 2024-May 2025 Outlook</w:t>
      </w:r>
      <w:r w:rsidRPr="00A309AC">
        <w:rPr>
          <w:rFonts w:ascii="Aptos" w:hAnsi="Aptos"/>
        </w:rPr>
        <w:t>. Rome, Italy: World Food Programme (WFP). https://social.desa.un.org/sdn/hunger-hotspots-faowfp-early-warnings-on-acute-food-insecurity (January 29, 2025).</w:t>
      </w:r>
    </w:p>
    <w:p w:rsidR="00B24272" w:rsidP="00B24272" w:rsidRDefault="00A309AC" w14:paraId="3CA1C900" w14:textId="07C3B30C">
      <w:pPr>
        <w:pStyle w:val="ListParagraph"/>
      </w:pPr>
      <w:r>
        <w:fldChar w:fldCharType="end"/>
      </w:r>
    </w:p>
    <w:p w:rsidR="00782F38" w:rsidP="00782F38" w:rsidRDefault="00782F38" w14:paraId="01EF3CA9" w14:textId="77777777"/>
    <w:p w:rsidRPr="00172D41" w:rsidR="00281DAF" w:rsidP="006364EC" w:rsidRDefault="00281DAF" w14:paraId="2B861816" w14:textId="77777777">
      <w:pPr>
        <w:rPr>
          <w:b/>
          <w:bCs/>
          <w:lang w:val="en-GB"/>
        </w:rPr>
      </w:pPr>
    </w:p>
    <w:p w:rsidRPr="006364EC" w:rsidR="006364EC" w:rsidP="006364EC" w:rsidRDefault="006364EC" w14:paraId="728A32A0" w14:textId="77777777">
      <w:pPr>
        <w:rPr>
          <w:lang w:val="en-GB"/>
        </w:rPr>
      </w:pPr>
    </w:p>
    <w:sectPr w:rsidRPr="006364EC" w:rsidR="006364EC">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2797" w14:textId="77777777" w:rsidR="00F81286" w:rsidRDefault="00F81286" w:rsidP="000807A0">
      <w:pPr>
        <w:spacing w:after="0" w:line="240" w:lineRule="auto"/>
      </w:pPr>
      <w:r>
        <w:separator/>
      </w:r>
    </w:p>
  </w:endnote>
  <w:endnote w:type="continuationSeparator" w:id="0">
    <w:p w14:paraId="5D2E7457" w14:textId="77777777" w:rsidR="00F81286" w:rsidRDefault="00F81286" w:rsidP="0008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595845"/>
      <w:docPartObj>
        <w:docPartGallery w:val="Page Numbers (Bottom of Page)"/>
        <w:docPartUnique/>
      </w:docPartObj>
    </w:sdtPr>
    <w:sdtEndPr>
      <w:rPr>
        <w:noProof/>
      </w:rPr>
    </w:sdtEndPr>
    <w:sdtContent>
      <w:p w14:paraId="67D8DF87" w14:textId="0E93E290" w:rsidR="000807A0" w:rsidRDefault="000807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5E0C2" w14:textId="77777777" w:rsidR="000807A0" w:rsidRDefault="00080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CB20" w14:textId="77777777" w:rsidR="00F81286" w:rsidRDefault="00F81286" w:rsidP="000807A0">
      <w:pPr>
        <w:spacing w:after="0" w:line="240" w:lineRule="auto"/>
      </w:pPr>
      <w:r>
        <w:separator/>
      </w:r>
    </w:p>
  </w:footnote>
  <w:footnote w:type="continuationSeparator" w:id="0">
    <w:p w14:paraId="27D5E95F" w14:textId="77777777" w:rsidR="00F81286" w:rsidRDefault="00F81286" w:rsidP="000807A0">
      <w:pPr>
        <w:spacing w:after="0" w:line="240" w:lineRule="auto"/>
      </w:pPr>
      <w:r>
        <w:continuationSeparator/>
      </w:r>
    </w:p>
  </w:footnote>
  <w:footnote w:id="1">
    <w:p w14:paraId="34146A66" w14:textId="74E46322" w:rsidR="00FB52C6" w:rsidRDefault="00FB52C6">
      <w:pPr>
        <w:pStyle w:val="FootnoteText"/>
      </w:pPr>
      <w:r>
        <w:rPr>
          <w:rStyle w:val="FootnoteReference"/>
        </w:rPr>
        <w:t>*</w:t>
      </w:r>
      <w:r>
        <w:t xml:space="preserve"> Danielle Resnick is a Senior Research Fellow at the International Food Policy Research Institute (IFPRI) and a Non-Resident Fellow at the Brookings Institution. The views provided here are </w:t>
      </w:r>
      <w:proofErr w:type="spellStart"/>
      <w:r>
        <w:t>her’s</w:t>
      </w:r>
      <w:proofErr w:type="spellEnd"/>
      <w:r>
        <w:t xml:space="preserve"> alone and do not represent the </w:t>
      </w:r>
      <w:r w:rsidR="00B62417">
        <w:t xml:space="preserve">official opinions of either IFPRI or Brookings. </w:t>
      </w:r>
    </w:p>
  </w:footnote>
  <w:footnote w:id="2">
    <w:p w14:paraId="2265AD21" w14:textId="62C0CE43" w:rsidR="00C9665F" w:rsidRDefault="00C9665F">
      <w:pPr>
        <w:pStyle w:val="FootnoteText"/>
      </w:pPr>
      <w:r>
        <w:rPr>
          <w:rStyle w:val="FootnoteReference"/>
        </w:rPr>
        <w:footnoteRef/>
      </w:r>
      <w:r>
        <w:t xml:space="preserve"> The </w:t>
      </w:r>
      <w:r w:rsidR="002C7E04">
        <w:t>High-Level Panel of Experts (HLPE) on food security and nutrition recently proposed two additional dimensions to this framework</w:t>
      </w:r>
      <w:r w:rsidR="00165B4D">
        <w:t xml:space="preserve">—sustainability and agency—that also </w:t>
      </w:r>
      <w:r w:rsidR="00B20A0D">
        <w:t>consider</w:t>
      </w:r>
      <w:r w:rsidR="00165B4D">
        <w:t xml:space="preserve"> ecological </w:t>
      </w:r>
      <w:r w:rsidR="007E0822">
        <w:t xml:space="preserve">impacts </w:t>
      </w:r>
      <w:r w:rsidR="00165B4D">
        <w:t xml:space="preserve">and power </w:t>
      </w:r>
      <w:r w:rsidR="007E0822">
        <w:t xml:space="preserve">asymmetries </w:t>
      </w:r>
      <w:r w:rsidR="00165B4D">
        <w:t>in the food system</w:t>
      </w:r>
      <w:r w:rsidR="000059A4">
        <w:t xml:space="preserve"> (see Clapp et al. 2022)</w:t>
      </w:r>
      <w:r w:rsidR="00165B4D">
        <w:t>.</w:t>
      </w:r>
    </w:p>
  </w:footnote>
  <w:footnote w:id="3">
    <w:p w14:paraId="46DB8986" w14:textId="25A10FD8" w:rsidR="006600FA" w:rsidRDefault="006600FA">
      <w:pPr>
        <w:pStyle w:val="FootnoteText"/>
      </w:pPr>
      <w:r>
        <w:rPr>
          <w:rStyle w:val="FootnoteReference"/>
        </w:rPr>
        <w:footnoteRef/>
      </w:r>
      <w:r>
        <w:t xml:space="preserve"> </w:t>
      </w:r>
      <w:r w:rsidR="007E5E77">
        <w:t xml:space="preserve">See </w:t>
      </w:r>
      <w:hyperlink r:id="rId1" w:history="1">
        <w:r w:rsidR="007E5E77" w:rsidRPr="00EF1DF7">
          <w:rPr>
            <w:rStyle w:val="Hyperlink"/>
          </w:rPr>
          <w:t>https://acleddata.com/conflict-index/</w:t>
        </w:r>
      </w:hyperlink>
      <w:r w:rsidR="007E5E77">
        <w:t xml:space="preserve"> </w:t>
      </w:r>
    </w:p>
  </w:footnote>
  <w:footnote w:id="4">
    <w:p w14:paraId="0148F494" w14:textId="5B1D8A97" w:rsidR="005C5CBC" w:rsidRDefault="005C5CBC">
      <w:pPr>
        <w:pStyle w:val="FootnoteText"/>
      </w:pPr>
      <w:r>
        <w:rPr>
          <w:rStyle w:val="FootnoteReference"/>
        </w:rPr>
        <w:footnoteRef/>
      </w:r>
      <w:r>
        <w:t xml:space="preserve"> </w:t>
      </w:r>
      <w:r w:rsidR="00CF32A8">
        <w:t xml:space="preserve">According to the Integrated </w:t>
      </w:r>
      <w:r w:rsidR="001B4C25">
        <w:t>Food Security Phase Classification (IPC)</w:t>
      </w:r>
      <w:r w:rsidR="00083BD3">
        <w:t xml:space="preserve"> scale</w:t>
      </w:r>
      <w:r w:rsidR="001B4C25">
        <w:t>, a</w:t>
      </w:r>
      <w:r>
        <w:t>cute food insecurity</w:t>
      </w:r>
      <w:r w:rsidR="00514804">
        <w:t xml:space="preserve"> refers to </w:t>
      </w:r>
      <w:r w:rsidR="0028762B">
        <w:t>“food deprivation that threatens lives or livelihoods</w:t>
      </w:r>
      <w:r w:rsidR="001B4C25">
        <w:t>.</w:t>
      </w:r>
      <w:r w:rsidR="00DC10F1">
        <w:t>”</w:t>
      </w:r>
      <w:r w:rsidR="001B4C25">
        <w:t xml:space="preserve"> </w:t>
      </w:r>
      <w:r w:rsidR="00DC10F1">
        <w:t xml:space="preserve"> </w:t>
      </w:r>
    </w:p>
  </w:footnote>
  <w:footnote w:id="5">
    <w:p w14:paraId="557E12CA" w14:textId="14911685" w:rsidR="003D702C" w:rsidRDefault="003D702C">
      <w:pPr>
        <w:pStyle w:val="FootnoteText"/>
      </w:pPr>
      <w:r>
        <w:rPr>
          <w:rStyle w:val="FootnoteReference"/>
        </w:rPr>
        <w:footnoteRef/>
      </w:r>
      <w:r>
        <w:t xml:space="preserve"> See </w:t>
      </w:r>
      <w:hyperlink r:id="rId2" w:history="1">
        <w:r w:rsidR="00425724" w:rsidRPr="00EF1DF7">
          <w:rPr>
            <w:rStyle w:val="Hyperlink"/>
          </w:rPr>
          <w:t>https://www.sipri.org/commentary/expert-comment/2017/unfolding-humanitarian-crisis-around-lake-chad-un-report-falls-short-naming-environmental-dimensions</w:t>
        </w:r>
      </w:hyperlink>
    </w:p>
    <w:p w14:paraId="244782F7" w14:textId="77777777" w:rsidR="00425724" w:rsidRDefault="0042572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B15"/>
    <w:multiLevelType w:val="hybridMultilevel"/>
    <w:tmpl w:val="09B6C9E2"/>
    <w:lvl w:ilvl="0" w:tplc="D0BC464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3C6768"/>
    <w:multiLevelType w:val="hybridMultilevel"/>
    <w:tmpl w:val="DCF4FFE0"/>
    <w:lvl w:ilvl="0" w:tplc="7508100C">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0103998">
    <w:abstractNumId w:val="1"/>
  </w:num>
  <w:num w:numId="2" w16cid:durableId="128708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97"/>
    <w:rsid w:val="000059A4"/>
    <w:rsid w:val="00007508"/>
    <w:rsid w:val="00016541"/>
    <w:rsid w:val="00032150"/>
    <w:rsid w:val="000341B7"/>
    <w:rsid w:val="00035A8D"/>
    <w:rsid w:val="0004164D"/>
    <w:rsid w:val="0005197A"/>
    <w:rsid w:val="00057005"/>
    <w:rsid w:val="000669A4"/>
    <w:rsid w:val="000807A0"/>
    <w:rsid w:val="00083BD3"/>
    <w:rsid w:val="00085B47"/>
    <w:rsid w:val="0008775F"/>
    <w:rsid w:val="000C5047"/>
    <w:rsid w:val="000F08FD"/>
    <w:rsid w:val="000F1AFE"/>
    <w:rsid w:val="00101654"/>
    <w:rsid w:val="00105ED1"/>
    <w:rsid w:val="0012780C"/>
    <w:rsid w:val="00150080"/>
    <w:rsid w:val="00150D0B"/>
    <w:rsid w:val="00157C58"/>
    <w:rsid w:val="00160F17"/>
    <w:rsid w:val="00165B4D"/>
    <w:rsid w:val="001674D4"/>
    <w:rsid w:val="00172D41"/>
    <w:rsid w:val="00173793"/>
    <w:rsid w:val="00181C1A"/>
    <w:rsid w:val="00185E38"/>
    <w:rsid w:val="001870D5"/>
    <w:rsid w:val="001913D2"/>
    <w:rsid w:val="001B4C25"/>
    <w:rsid w:val="001B788F"/>
    <w:rsid w:val="001C3E24"/>
    <w:rsid w:val="002278A4"/>
    <w:rsid w:val="0023281D"/>
    <w:rsid w:val="0023748B"/>
    <w:rsid w:val="00237894"/>
    <w:rsid w:val="00244886"/>
    <w:rsid w:val="00250F13"/>
    <w:rsid w:val="00255D97"/>
    <w:rsid w:val="00271054"/>
    <w:rsid w:val="00275F17"/>
    <w:rsid w:val="00281DAF"/>
    <w:rsid w:val="0028762B"/>
    <w:rsid w:val="00294FB8"/>
    <w:rsid w:val="002B2065"/>
    <w:rsid w:val="002B3D4A"/>
    <w:rsid w:val="002B7F1C"/>
    <w:rsid w:val="002C4FE1"/>
    <w:rsid w:val="002C5155"/>
    <w:rsid w:val="002C7E04"/>
    <w:rsid w:val="002D7721"/>
    <w:rsid w:val="002E0067"/>
    <w:rsid w:val="002E1BCD"/>
    <w:rsid w:val="002E3FE0"/>
    <w:rsid w:val="002F0B4D"/>
    <w:rsid w:val="002F6D7C"/>
    <w:rsid w:val="00305166"/>
    <w:rsid w:val="00311B15"/>
    <w:rsid w:val="00314537"/>
    <w:rsid w:val="00330EA8"/>
    <w:rsid w:val="003412DA"/>
    <w:rsid w:val="0034246E"/>
    <w:rsid w:val="00343D5D"/>
    <w:rsid w:val="0034472C"/>
    <w:rsid w:val="00352654"/>
    <w:rsid w:val="00362A4B"/>
    <w:rsid w:val="003700D7"/>
    <w:rsid w:val="00372DC3"/>
    <w:rsid w:val="00382E67"/>
    <w:rsid w:val="003946A0"/>
    <w:rsid w:val="0039549E"/>
    <w:rsid w:val="0039555A"/>
    <w:rsid w:val="003B5315"/>
    <w:rsid w:val="003C05D1"/>
    <w:rsid w:val="003C6ED0"/>
    <w:rsid w:val="003D05E3"/>
    <w:rsid w:val="003D2785"/>
    <w:rsid w:val="003D5940"/>
    <w:rsid w:val="003D702C"/>
    <w:rsid w:val="003E042E"/>
    <w:rsid w:val="003E2579"/>
    <w:rsid w:val="003E32B8"/>
    <w:rsid w:val="0040558E"/>
    <w:rsid w:val="00411F64"/>
    <w:rsid w:val="00425724"/>
    <w:rsid w:val="0043438D"/>
    <w:rsid w:val="00441C2F"/>
    <w:rsid w:val="004452CD"/>
    <w:rsid w:val="004677B3"/>
    <w:rsid w:val="004722E0"/>
    <w:rsid w:val="0047366F"/>
    <w:rsid w:val="00482305"/>
    <w:rsid w:val="00497BBE"/>
    <w:rsid w:val="004A0BBF"/>
    <w:rsid w:val="004A26CC"/>
    <w:rsid w:val="004A69C6"/>
    <w:rsid w:val="004C3FF0"/>
    <w:rsid w:val="004D0B33"/>
    <w:rsid w:val="004D10BE"/>
    <w:rsid w:val="004D388E"/>
    <w:rsid w:val="004E51F0"/>
    <w:rsid w:val="004E5ADE"/>
    <w:rsid w:val="0050291E"/>
    <w:rsid w:val="005109E1"/>
    <w:rsid w:val="00514804"/>
    <w:rsid w:val="0051503E"/>
    <w:rsid w:val="0051545F"/>
    <w:rsid w:val="00520DB4"/>
    <w:rsid w:val="00522C16"/>
    <w:rsid w:val="00532308"/>
    <w:rsid w:val="00537297"/>
    <w:rsid w:val="00537FA0"/>
    <w:rsid w:val="00561387"/>
    <w:rsid w:val="00563D16"/>
    <w:rsid w:val="00565024"/>
    <w:rsid w:val="00567D32"/>
    <w:rsid w:val="00570917"/>
    <w:rsid w:val="00572B61"/>
    <w:rsid w:val="00584EC3"/>
    <w:rsid w:val="005926F5"/>
    <w:rsid w:val="00594C67"/>
    <w:rsid w:val="00596E85"/>
    <w:rsid w:val="005A4521"/>
    <w:rsid w:val="005A4C80"/>
    <w:rsid w:val="005B36B2"/>
    <w:rsid w:val="005C1C61"/>
    <w:rsid w:val="005C5CBC"/>
    <w:rsid w:val="005D0BD9"/>
    <w:rsid w:val="005D5920"/>
    <w:rsid w:val="005D6E1C"/>
    <w:rsid w:val="005D7014"/>
    <w:rsid w:val="005D77D1"/>
    <w:rsid w:val="005E2CFF"/>
    <w:rsid w:val="005E6309"/>
    <w:rsid w:val="005F631E"/>
    <w:rsid w:val="0061016E"/>
    <w:rsid w:val="00613F64"/>
    <w:rsid w:val="00616630"/>
    <w:rsid w:val="00616998"/>
    <w:rsid w:val="006205EF"/>
    <w:rsid w:val="00634639"/>
    <w:rsid w:val="006364EC"/>
    <w:rsid w:val="00646B75"/>
    <w:rsid w:val="0065097A"/>
    <w:rsid w:val="00655CA2"/>
    <w:rsid w:val="00656EBF"/>
    <w:rsid w:val="006600FA"/>
    <w:rsid w:val="00671DB1"/>
    <w:rsid w:val="0067506C"/>
    <w:rsid w:val="00692FD4"/>
    <w:rsid w:val="00693083"/>
    <w:rsid w:val="006A0122"/>
    <w:rsid w:val="006A5DA7"/>
    <w:rsid w:val="006B0959"/>
    <w:rsid w:val="006C3AB3"/>
    <w:rsid w:val="006D64DA"/>
    <w:rsid w:val="006E2ACD"/>
    <w:rsid w:val="006E2C7A"/>
    <w:rsid w:val="006E5AD2"/>
    <w:rsid w:val="006F1D35"/>
    <w:rsid w:val="00702CF3"/>
    <w:rsid w:val="00721161"/>
    <w:rsid w:val="00732F05"/>
    <w:rsid w:val="00741277"/>
    <w:rsid w:val="00746C6B"/>
    <w:rsid w:val="00753D31"/>
    <w:rsid w:val="00753D9D"/>
    <w:rsid w:val="007602EF"/>
    <w:rsid w:val="00775F1A"/>
    <w:rsid w:val="00782F38"/>
    <w:rsid w:val="007832E9"/>
    <w:rsid w:val="0078463A"/>
    <w:rsid w:val="007B317E"/>
    <w:rsid w:val="007B4939"/>
    <w:rsid w:val="007E0822"/>
    <w:rsid w:val="007E1F5C"/>
    <w:rsid w:val="007E5E77"/>
    <w:rsid w:val="007F7D1A"/>
    <w:rsid w:val="00800698"/>
    <w:rsid w:val="00822FBD"/>
    <w:rsid w:val="0083651D"/>
    <w:rsid w:val="00845FDC"/>
    <w:rsid w:val="00866791"/>
    <w:rsid w:val="00866A91"/>
    <w:rsid w:val="00873E8A"/>
    <w:rsid w:val="008C7748"/>
    <w:rsid w:val="008D3EC7"/>
    <w:rsid w:val="008D400F"/>
    <w:rsid w:val="008D6CEC"/>
    <w:rsid w:val="008E15C9"/>
    <w:rsid w:val="008E71D1"/>
    <w:rsid w:val="008F0D91"/>
    <w:rsid w:val="00910185"/>
    <w:rsid w:val="0092671A"/>
    <w:rsid w:val="0093167D"/>
    <w:rsid w:val="00932E27"/>
    <w:rsid w:val="00943F12"/>
    <w:rsid w:val="00943F61"/>
    <w:rsid w:val="00966ACB"/>
    <w:rsid w:val="009723A3"/>
    <w:rsid w:val="009763B9"/>
    <w:rsid w:val="00983D8A"/>
    <w:rsid w:val="00986B6B"/>
    <w:rsid w:val="00990D8E"/>
    <w:rsid w:val="00993292"/>
    <w:rsid w:val="009A5A58"/>
    <w:rsid w:val="009B1C8F"/>
    <w:rsid w:val="009B5F57"/>
    <w:rsid w:val="009B6F51"/>
    <w:rsid w:val="009C33AA"/>
    <w:rsid w:val="009C6ECC"/>
    <w:rsid w:val="009D0C28"/>
    <w:rsid w:val="009E6C73"/>
    <w:rsid w:val="009F7C56"/>
    <w:rsid w:val="00A0678A"/>
    <w:rsid w:val="00A10B5E"/>
    <w:rsid w:val="00A11659"/>
    <w:rsid w:val="00A12224"/>
    <w:rsid w:val="00A1438B"/>
    <w:rsid w:val="00A30091"/>
    <w:rsid w:val="00A309AC"/>
    <w:rsid w:val="00A311E4"/>
    <w:rsid w:val="00A33C89"/>
    <w:rsid w:val="00A40D1A"/>
    <w:rsid w:val="00A60C55"/>
    <w:rsid w:val="00A6358D"/>
    <w:rsid w:val="00A6463E"/>
    <w:rsid w:val="00A64A1D"/>
    <w:rsid w:val="00A67F57"/>
    <w:rsid w:val="00A749BD"/>
    <w:rsid w:val="00A76DDA"/>
    <w:rsid w:val="00A82131"/>
    <w:rsid w:val="00A938A0"/>
    <w:rsid w:val="00A96E7B"/>
    <w:rsid w:val="00AA125C"/>
    <w:rsid w:val="00AB5780"/>
    <w:rsid w:val="00AC3D32"/>
    <w:rsid w:val="00AE32A3"/>
    <w:rsid w:val="00AE6125"/>
    <w:rsid w:val="00AF3CBF"/>
    <w:rsid w:val="00B20A0D"/>
    <w:rsid w:val="00B21B20"/>
    <w:rsid w:val="00B24272"/>
    <w:rsid w:val="00B24C03"/>
    <w:rsid w:val="00B40743"/>
    <w:rsid w:val="00B44E85"/>
    <w:rsid w:val="00B46AD8"/>
    <w:rsid w:val="00B52638"/>
    <w:rsid w:val="00B546F6"/>
    <w:rsid w:val="00B62417"/>
    <w:rsid w:val="00B63B81"/>
    <w:rsid w:val="00B70EFF"/>
    <w:rsid w:val="00B90693"/>
    <w:rsid w:val="00BA2800"/>
    <w:rsid w:val="00BD424F"/>
    <w:rsid w:val="00BD6B3F"/>
    <w:rsid w:val="00BE3C63"/>
    <w:rsid w:val="00BF14A7"/>
    <w:rsid w:val="00BF7A8D"/>
    <w:rsid w:val="00C02786"/>
    <w:rsid w:val="00C13DB0"/>
    <w:rsid w:val="00C25155"/>
    <w:rsid w:val="00C2566D"/>
    <w:rsid w:val="00C3373D"/>
    <w:rsid w:val="00C476B4"/>
    <w:rsid w:val="00C5156F"/>
    <w:rsid w:val="00C51B3F"/>
    <w:rsid w:val="00C66C45"/>
    <w:rsid w:val="00C67E90"/>
    <w:rsid w:val="00C80D46"/>
    <w:rsid w:val="00C82FA3"/>
    <w:rsid w:val="00C91358"/>
    <w:rsid w:val="00C94D95"/>
    <w:rsid w:val="00C95727"/>
    <w:rsid w:val="00C9665F"/>
    <w:rsid w:val="00C96D3F"/>
    <w:rsid w:val="00C97022"/>
    <w:rsid w:val="00CA0E9D"/>
    <w:rsid w:val="00CA2573"/>
    <w:rsid w:val="00CC7003"/>
    <w:rsid w:val="00CE3C65"/>
    <w:rsid w:val="00CE5B41"/>
    <w:rsid w:val="00CF08DD"/>
    <w:rsid w:val="00CF14DD"/>
    <w:rsid w:val="00CF3263"/>
    <w:rsid w:val="00CF32A8"/>
    <w:rsid w:val="00CF64E0"/>
    <w:rsid w:val="00D033CF"/>
    <w:rsid w:val="00D0360A"/>
    <w:rsid w:val="00D038E7"/>
    <w:rsid w:val="00D10A35"/>
    <w:rsid w:val="00D174A0"/>
    <w:rsid w:val="00D2211F"/>
    <w:rsid w:val="00D23CDF"/>
    <w:rsid w:val="00D25B9E"/>
    <w:rsid w:val="00D31806"/>
    <w:rsid w:val="00D35887"/>
    <w:rsid w:val="00D503EA"/>
    <w:rsid w:val="00D50A9E"/>
    <w:rsid w:val="00D55A92"/>
    <w:rsid w:val="00D60715"/>
    <w:rsid w:val="00D75388"/>
    <w:rsid w:val="00D762FD"/>
    <w:rsid w:val="00D83103"/>
    <w:rsid w:val="00D841CB"/>
    <w:rsid w:val="00D9059A"/>
    <w:rsid w:val="00D90DB7"/>
    <w:rsid w:val="00D96209"/>
    <w:rsid w:val="00DA52B4"/>
    <w:rsid w:val="00DB31F2"/>
    <w:rsid w:val="00DC10F1"/>
    <w:rsid w:val="00DC6125"/>
    <w:rsid w:val="00DC738E"/>
    <w:rsid w:val="00DE194C"/>
    <w:rsid w:val="00DE24C7"/>
    <w:rsid w:val="00DF7A2F"/>
    <w:rsid w:val="00DF7F8D"/>
    <w:rsid w:val="00E00D03"/>
    <w:rsid w:val="00E04C0D"/>
    <w:rsid w:val="00E1381E"/>
    <w:rsid w:val="00E15A71"/>
    <w:rsid w:val="00E16FF6"/>
    <w:rsid w:val="00E17A40"/>
    <w:rsid w:val="00E32A5E"/>
    <w:rsid w:val="00E36D19"/>
    <w:rsid w:val="00E3774A"/>
    <w:rsid w:val="00E37CEF"/>
    <w:rsid w:val="00E40033"/>
    <w:rsid w:val="00E4030D"/>
    <w:rsid w:val="00E4231B"/>
    <w:rsid w:val="00E52707"/>
    <w:rsid w:val="00E534A8"/>
    <w:rsid w:val="00E539CB"/>
    <w:rsid w:val="00E5589B"/>
    <w:rsid w:val="00E678E6"/>
    <w:rsid w:val="00E71DB2"/>
    <w:rsid w:val="00E77559"/>
    <w:rsid w:val="00E863D2"/>
    <w:rsid w:val="00E86F18"/>
    <w:rsid w:val="00E910A8"/>
    <w:rsid w:val="00E9531E"/>
    <w:rsid w:val="00EA01E1"/>
    <w:rsid w:val="00EB065A"/>
    <w:rsid w:val="00EC2506"/>
    <w:rsid w:val="00ED4549"/>
    <w:rsid w:val="00EE7CAF"/>
    <w:rsid w:val="00F069E0"/>
    <w:rsid w:val="00F11565"/>
    <w:rsid w:val="00F137A4"/>
    <w:rsid w:val="00F14F5E"/>
    <w:rsid w:val="00F46D7F"/>
    <w:rsid w:val="00F515E9"/>
    <w:rsid w:val="00F53243"/>
    <w:rsid w:val="00F54C4B"/>
    <w:rsid w:val="00F70B2B"/>
    <w:rsid w:val="00F81286"/>
    <w:rsid w:val="00F81B44"/>
    <w:rsid w:val="00F9221D"/>
    <w:rsid w:val="00F961BA"/>
    <w:rsid w:val="00FA13CC"/>
    <w:rsid w:val="00FA2C0D"/>
    <w:rsid w:val="00FA433F"/>
    <w:rsid w:val="00FB52C6"/>
    <w:rsid w:val="00FC136D"/>
    <w:rsid w:val="00FD0452"/>
    <w:rsid w:val="00FD7C5B"/>
    <w:rsid w:val="00FE0B88"/>
    <w:rsid w:val="00FE3D41"/>
    <w:rsid w:val="00FE6B51"/>
    <w:rsid w:val="00FF1B17"/>
    <w:rsid w:val="00FF3323"/>
    <w:rsid w:val="00FF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AB0B"/>
  <w15:chartTrackingRefBased/>
  <w15:docId w15:val="{F571BCAC-1B5C-46C9-A81A-D0AE75EE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297"/>
    <w:rPr>
      <w:rFonts w:eastAsiaTheme="majorEastAsia" w:cstheme="majorBidi"/>
      <w:color w:val="272727" w:themeColor="text1" w:themeTint="D8"/>
    </w:rPr>
  </w:style>
  <w:style w:type="paragraph" w:styleId="Title">
    <w:name w:val="Title"/>
    <w:basedOn w:val="Normal"/>
    <w:next w:val="Normal"/>
    <w:link w:val="TitleChar"/>
    <w:uiPriority w:val="10"/>
    <w:qFormat/>
    <w:rsid w:val="00537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297"/>
    <w:pPr>
      <w:spacing w:before="160"/>
      <w:jc w:val="center"/>
    </w:pPr>
    <w:rPr>
      <w:i/>
      <w:iCs/>
      <w:color w:val="404040" w:themeColor="text1" w:themeTint="BF"/>
    </w:rPr>
  </w:style>
  <w:style w:type="character" w:customStyle="1" w:styleId="QuoteChar">
    <w:name w:val="Quote Char"/>
    <w:basedOn w:val="DefaultParagraphFont"/>
    <w:link w:val="Quote"/>
    <w:uiPriority w:val="29"/>
    <w:rsid w:val="00537297"/>
    <w:rPr>
      <w:i/>
      <w:iCs/>
      <w:color w:val="404040" w:themeColor="text1" w:themeTint="BF"/>
    </w:rPr>
  </w:style>
  <w:style w:type="paragraph" w:styleId="ListParagraph">
    <w:name w:val="List Paragraph"/>
    <w:basedOn w:val="Normal"/>
    <w:uiPriority w:val="34"/>
    <w:qFormat/>
    <w:rsid w:val="00537297"/>
    <w:pPr>
      <w:ind w:left="720"/>
      <w:contextualSpacing/>
    </w:pPr>
  </w:style>
  <w:style w:type="character" w:styleId="IntenseEmphasis">
    <w:name w:val="Intense Emphasis"/>
    <w:basedOn w:val="DefaultParagraphFont"/>
    <w:uiPriority w:val="21"/>
    <w:qFormat/>
    <w:rsid w:val="00537297"/>
    <w:rPr>
      <w:i/>
      <w:iCs/>
      <w:color w:val="0F4761" w:themeColor="accent1" w:themeShade="BF"/>
    </w:rPr>
  </w:style>
  <w:style w:type="paragraph" w:styleId="IntenseQuote">
    <w:name w:val="Intense Quote"/>
    <w:basedOn w:val="Normal"/>
    <w:next w:val="Normal"/>
    <w:link w:val="IntenseQuoteChar"/>
    <w:uiPriority w:val="30"/>
    <w:qFormat/>
    <w:rsid w:val="00537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297"/>
    <w:rPr>
      <w:i/>
      <w:iCs/>
      <w:color w:val="0F4761" w:themeColor="accent1" w:themeShade="BF"/>
    </w:rPr>
  </w:style>
  <w:style w:type="character" w:styleId="IntenseReference">
    <w:name w:val="Intense Reference"/>
    <w:basedOn w:val="DefaultParagraphFont"/>
    <w:uiPriority w:val="32"/>
    <w:qFormat/>
    <w:rsid w:val="00537297"/>
    <w:rPr>
      <w:b/>
      <w:bCs/>
      <w:smallCaps/>
      <w:color w:val="0F4761" w:themeColor="accent1" w:themeShade="BF"/>
      <w:spacing w:val="5"/>
    </w:rPr>
  </w:style>
  <w:style w:type="character" w:styleId="CommentReference">
    <w:name w:val="annotation reference"/>
    <w:basedOn w:val="DefaultParagraphFont"/>
    <w:uiPriority w:val="99"/>
    <w:semiHidden/>
    <w:unhideWhenUsed/>
    <w:rsid w:val="00250F13"/>
    <w:rPr>
      <w:sz w:val="16"/>
      <w:szCs w:val="16"/>
    </w:rPr>
  </w:style>
  <w:style w:type="paragraph" w:styleId="CommentText">
    <w:name w:val="annotation text"/>
    <w:basedOn w:val="Normal"/>
    <w:link w:val="CommentTextChar"/>
    <w:uiPriority w:val="99"/>
    <w:unhideWhenUsed/>
    <w:rsid w:val="00250F13"/>
    <w:pPr>
      <w:spacing w:line="240" w:lineRule="auto"/>
    </w:pPr>
    <w:rPr>
      <w:sz w:val="20"/>
      <w:szCs w:val="20"/>
    </w:rPr>
  </w:style>
  <w:style w:type="character" w:customStyle="1" w:styleId="CommentTextChar">
    <w:name w:val="Comment Text Char"/>
    <w:basedOn w:val="DefaultParagraphFont"/>
    <w:link w:val="CommentText"/>
    <w:uiPriority w:val="99"/>
    <w:rsid w:val="00250F13"/>
    <w:rPr>
      <w:sz w:val="20"/>
      <w:szCs w:val="20"/>
    </w:rPr>
  </w:style>
  <w:style w:type="paragraph" w:styleId="CommentSubject">
    <w:name w:val="annotation subject"/>
    <w:basedOn w:val="CommentText"/>
    <w:next w:val="CommentText"/>
    <w:link w:val="CommentSubjectChar"/>
    <w:uiPriority w:val="99"/>
    <w:semiHidden/>
    <w:unhideWhenUsed/>
    <w:rsid w:val="00250F13"/>
    <w:rPr>
      <w:b/>
      <w:bCs/>
    </w:rPr>
  </w:style>
  <w:style w:type="character" w:customStyle="1" w:styleId="CommentSubjectChar">
    <w:name w:val="Comment Subject Char"/>
    <w:basedOn w:val="CommentTextChar"/>
    <w:link w:val="CommentSubject"/>
    <w:uiPriority w:val="99"/>
    <w:semiHidden/>
    <w:rsid w:val="00250F13"/>
    <w:rPr>
      <w:b/>
      <w:bCs/>
      <w:sz w:val="20"/>
      <w:szCs w:val="20"/>
    </w:rPr>
  </w:style>
  <w:style w:type="paragraph" w:styleId="Header">
    <w:name w:val="header"/>
    <w:basedOn w:val="Normal"/>
    <w:link w:val="HeaderChar"/>
    <w:uiPriority w:val="99"/>
    <w:unhideWhenUsed/>
    <w:rsid w:val="00080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7A0"/>
  </w:style>
  <w:style w:type="paragraph" w:styleId="Footer">
    <w:name w:val="footer"/>
    <w:basedOn w:val="Normal"/>
    <w:link w:val="FooterChar"/>
    <w:uiPriority w:val="99"/>
    <w:unhideWhenUsed/>
    <w:rsid w:val="00080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7A0"/>
  </w:style>
  <w:style w:type="paragraph" w:styleId="FootnoteText">
    <w:name w:val="footnote text"/>
    <w:basedOn w:val="Normal"/>
    <w:link w:val="FootnoteTextChar"/>
    <w:uiPriority w:val="99"/>
    <w:semiHidden/>
    <w:unhideWhenUsed/>
    <w:rsid w:val="00C966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65F"/>
    <w:rPr>
      <w:sz w:val="20"/>
      <w:szCs w:val="20"/>
    </w:rPr>
  </w:style>
  <w:style w:type="character" w:styleId="FootnoteReference">
    <w:name w:val="footnote reference"/>
    <w:basedOn w:val="DefaultParagraphFont"/>
    <w:uiPriority w:val="99"/>
    <w:semiHidden/>
    <w:unhideWhenUsed/>
    <w:rsid w:val="00C9665F"/>
    <w:rPr>
      <w:vertAlign w:val="superscript"/>
    </w:rPr>
  </w:style>
  <w:style w:type="character" w:styleId="Hyperlink">
    <w:name w:val="Hyperlink"/>
    <w:basedOn w:val="DefaultParagraphFont"/>
    <w:uiPriority w:val="99"/>
    <w:unhideWhenUsed/>
    <w:rsid w:val="00E32A5E"/>
    <w:rPr>
      <w:color w:val="467886" w:themeColor="hyperlink"/>
      <w:u w:val="single"/>
    </w:rPr>
  </w:style>
  <w:style w:type="character" w:styleId="UnresolvedMention">
    <w:name w:val="Unresolved Mention"/>
    <w:basedOn w:val="DefaultParagraphFont"/>
    <w:uiPriority w:val="99"/>
    <w:semiHidden/>
    <w:unhideWhenUsed/>
    <w:rsid w:val="00E32A5E"/>
    <w:rPr>
      <w:color w:val="605E5C"/>
      <w:shd w:val="clear" w:color="auto" w:fill="E1DFDD"/>
    </w:rPr>
  </w:style>
  <w:style w:type="paragraph" w:styleId="Bibliography">
    <w:name w:val="Bibliography"/>
    <w:basedOn w:val="Normal"/>
    <w:next w:val="Normal"/>
    <w:uiPriority w:val="37"/>
    <w:unhideWhenUsed/>
    <w:rsid w:val="00A309AC"/>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1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sipri.org/commentary/expert-comment/2017/unfolding-humanitarian-crisis-around-lake-chad-un-report-falls-short-naming-environmental-dimensions" TargetMode="External"/><Relationship Id="rId1" Type="http://schemas.openxmlformats.org/officeDocument/2006/relationships/hyperlink" Target="https://acleddata.com/conflic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3080</ap:Words>
  <ap:Characters>17557</ap:Characters>
  <ap:DocSecurity>0</ap:DocSecurity>
  <ap:Lines>146</ap:Lines>
  <ap:Paragraphs>41</ap:Paragraphs>
  <ap:ScaleCrop>false</ap:ScaleCrop>
  <ap:LinksUpToDate>false</ap:LinksUpToDate>
  <ap:CharactersWithSpaces>20596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2025-01-22T21:52:00.0000000Z</dcterms:created>
  <dcterms:modified xsi:type="dcterms:W3CDTF">2025-01-29T21:24:00.0000000Z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id="ZlJQkFTH"/&gt;&lt;style id="http://www.zotero.org/styles/american-political-science-association" locale="en-US" hasBibliography="1" bibliographyStyleHasBeenSet="1"/&gt;&lt;prefs&gt;&lt;pref name="fieldType" value=</vt:lpwstr>
  </property>
  <property fmtid="{D5CDD505-2E9C-101B-9397-08002B2CF9AE}" pid="3" name="ZOTERO_PREF_2">
    <vt:lpwstr>"Field"/&gt;&lt;pref name="automaticJournalAbbreviations" value="true"/&gt;&lt;/prefs&gt;&lt;/data&gt;</vt:lpwstr>
  </property>
</Properties>
</file>