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A76A9" w:rsidP="00614779" w:rsidRDefault="0097260A" w14:paraId="0593F717" w14:textId="174F6A6F">
      <w:pPr>
        <w:ind w:left="720" w:hanging="360"/>
      </w:pPr>
      <w:r>
        <w:t>DE HUIDIGE EUTHANASIEWE</w:t>
      </w:r>
      <w:r w:rsidR="009D6850">
        <w:t>T VOLDOET EN IS VOLDOENDE</w:t>
      </w:r>
    </w:p>
    <w:p w:rsidR="007A76A9" w:rsidP="007A76A9" w:rsidRDefault="007A76A9" w14:paraId="3D8E975C" w14:textId="77777777">
      <w:pPr>
        <w:pStyle w:val="Lijstalinea"/>
      </w:pPr>
    </w:p>
    <w:p w:rsidR="00AB0DAE" w:rsidP="00614779" w:rsidRDefault="00614779" w14:paraId="0584CFFA" w14:textId="187AE421">
      <w:pPr>
        <w:pStyle w:val="Lijstalinea"/>
        <w:numPr>
          <w:ilvl w:val="0"/>
          <w:numId w:val="1"/>
        </w:numPr>
      </w:pPr>
      <w:r>
        <w:t>Anders dan het initiatiefvoorstel kent de Euthanasiewet geen leeftijdsgrens, geen vaststelling van nationaliteit of verblijfsduur, geen minimaal verplicht aantal gesprekken,</w:t>
      </w:r>
      <w:r w:rsidR="003652A1">
        <w:t xml:space="preserve"> geen </w:t>
      </w:r>
      <w:r w:rsidR="008A5F6E">
        <w:t>informatieplicht voor de huisarts</w:t>
      </w:r>
      <w:r w:rsidR="004B5982">
        <w:t>,</w:t>
      </w:r>
      <w:r>
        <w:t xml:space="preserve"> </w:t>
      </w:r>
      <w:r w:rsidR="00BA4A09">
        <w:t xml:space="preserve">geen </w:t>
      </w:r>
      <w:r>
        <w:t>voorschrift voor de wijze van toediening</w:t>
      </w:r>
      <w:r w:rsidR="004B5982">
        <w:t xml:space="preserve"> van het dodelijke middel</w:t>
      </w:r>
      <w:r>
        <w:t>.</w:t>
      </w:r>
      <w:r w:rsidR="00A83448">
        <w:t xml:space="preserve"> </w:t>
      </w:r>
    </w:p>
    <w:p w:rsidR="00F547A3" w:rsidP="00614779" w:rsidRDefault="00614779" w14:paraId="094CB2A8" w14:textId="55F35407">
      <w:pPr>
        <w:pStyle w:val="Lijstalinea"/>
        <w:numPr>
          <w:ilvl w:val="0"/>
          <w:numId w:val="1"/>
        </w:numPr>
      </w:pPr>
      <w:r>
        <w:t xml:space="preserve">In de tekst van de Euthanasiewet staat niet dat de ‘patiënt’ ziek moet zijn en al evenmin dat er sprake moet zijn van ziekte of een bepaalde diagnose. Het begrip patiënt wordt in de </w:t>
      </w:r>
      <w:r w:rsidR="00BA4A09">
        <w:t xml:space="preserve">begripsbepalingen bij de </w:t>
      </w:r>
      <w:r>
        <w:t xml:space="preserve">wet niet nader omschreven, maar voor een huisarts, en in </w:t>
      </w:r>
      <w:r w:rsidR="00F547A3">
        <w:t xml:space="preserve">bijna 90% van de gevallen is het de huisarts die de euthanasie uitvoert, staat een inschrijving </w:t>
      </w:r>
      <w:r w:rsidR="006E5CE6">
        <w:t xml:space="preserve">in de praktijk </w:t>
      </w:r>
      <w:r w:rsidR="00F547A3">
        <w:t xml:space="preserve">gelijk aan het begrip patiënt. </w:t>
      </w:r>
      <w:r w:rsidR="00BA4A09">
        <w:t xml:space="preserve">Dat is ook het maatschappelijk taalgebruik en de wet omschrijft </w:t>
      </w:r>
      <w:r w:rsidR="00A6591F">
        <w:t>terecht</w:t>
      </w:r>
      <w:r w:rsidR="00BA4A09">
        <w:t xml:space="preserve"> niet wat vanzelfsprekend is.</w:t>
      </w:r>
    </w:p>
    <w:p w:rsidR="00F547A3" w:rsidP="00614779" w:rsidRDefault="00F547A3" w14:paraId="694FBC9A" w14:textId="3FABF6AB">
      <w:pPr>
        <w:pStyle w:val="Lijstalinea"/>
        <w:numPr>
          <w:ilvl w:val="0"/>
          <w:numId w:val="1"/>
        </w:numPr>
      </w:pPr>
      <w:r>
        <w:t xml:space="preserve">De Euthanasiewet is bij de </w:t>
      </w:r>
      <w:r w:rsidR="00A6591F">
        <w:t>parlementaire behandeling</w:t>
      </w:r>
      <w:r>
        <w:t xml:space="preserve"> belast met eerdere uitspraken van de Hoge Raad en een toelichting van met name de minister van Justitie dat er wel sprake moet zijn van een ‘medische grondslag’. Dat staat niet in de wet en in de praktijk is zowel door </w:t>
      </w:r>
      <w:r w:rsidR="00614779">
        <w:t xml:space="preserve"> </w:t>
      </w:r>
      <w:r>
        <w:t xml:space="preserve">de </w:t>
      </w:r>
      <w:proofErr w:type="spellStart"/>
      <w:r>
        <w:t>RTE</w:t>
      </w:r>
      <w:r w:rsidR="007A45C8">
        <w:t>’s</w:t>
      </w:r>
      <w:proofErr w:type="spellEnd"/>
      <w:r>
        <w:t xml:space="preserve"> als door de Hoge Raad </w:t>
      </w:r>
      <w:r w:rsidR="00D6655D">
        <w:t>geleidelijk</w:t>
      </w:r>
      <w:r>
        <w:t xml:space="preserve"> meer ruimte geboden voor een interpretatie in de richting van de tekst van de wet: de </w:t>
      </w:r>
      <w:r w:rsidR="00F33613">
        <w:t xml:space="preserve">verzoeker </w:t>
      </w:r>
      <w:r>
        <w:t>beoorde</w:t>
      </w:r>
      <w:r w:rsidR="00F33613">
        <w:t>e</w:t>
      </w:r>
      <w:r>
        <w:t>l</w:t>
      </w:r>
      <w:r w:rsidR="00F33613">
        <w:t xml:space="preserve">t </w:t>
      </w:r>
      <w:r w:rsidR="00C60D7D">
        <w:t xml:space="preserve">zijn eigen situatie, de arts besluit </w:t>
      </w:r>
      <w:r w:rsidR="005B2B7F">
        <w:t xml:space="preserve">aan de hand van de </w:t>
      </w:r>
      <w:r w:rsidR="004F7C91">
        <w:t>in de wet vastgel</w:t>
      </w:r>
      <w:r w:rsidR="00AD66D6">
        <w:t>e</w:t>
      </w:r>
      <w:r w:rsidR="004F7C91">
        <w:t xml:space="preserve">gde zorgvuldigheidseisen </w:t>
      </w:r>
      <w:r w:rsidR="00AD66D6">
        <w:t xml:space="preserve">of hij de </w:t>
      </w:r>
      <w:r w:rsidR="0092145D">
        <w:t xml:space="preserve">gevraagde hulp kan en mag geven. </w:t>
      </w:r>
      <w:r w:rsidR="0084191E">
        <w:t xml:space="preserve">Hij moet </w:t>
      </w:r>
      <w:r w:rsidR="00F864F4">
        <w:t xml:space="preserve">daarvoor de ‘overtuiging hebben gekregen’ </w:t>
      </w:r>
      <w:r w:rsidR="00945C06">
        <w:t>en zijn handelen wordt achteraf getoetst door de RTE.</w:t>
      </w:r>
      <w:r w:rsidR="008F3156">
        <w:t xml:space="preserve"> </w:t>
      </w:r>
      <w:r w:rsidR="00D7673A">
        <w:t xml:space="preserve">De Euthanasiewet is zo geformuleerd dat </w:t>
      </w:r>
      <w:r w:rsidR="009605FF">
        <w:t xml:space="preserve">de </w:t>
      </w:r>
      <w:r w:rsidR="00117590">
        <w:t>procesgang ruimte laat voor veranderende</w:t>
      </w:r>
      <w:r w:rsidR="00A0673F">
        <w:t xml:space="preserve"> maatschappelijke inzichten ten aan zien van euthanasie en hulp bij zelfdoding. </w:t>
      </w:r>
      <w:r w:rsidR="00CA2C23">
        <w:t xml:space="preserve">Dat werd ook door de indieners zo gezien en blijkt ook uit de </w:t>
      </w:r>
      <w:r w:rsidR="005F1F38">
        <w:t xml:space="preserve">opstelling van de </w:t>
      </w:r>
      <w:proofErr w:type="spellStart"/>
      <w:r w:rsidR="005F1F38">
        <w:t>RTE’s</w:t>
      </w:r>
      <w:proofErr w:type="spellEnd"/>
      <w:r w:rsidR="000A7399">
        <w:t>.</w:t>
      </w:r>
      <w:r>
        <w:t xml:space="preserve"> </w:t>
      </w:r>
    </w:p>
    <w:p w:rsidR="00D76819" w:rsidP="00614779" w:rsidRDefault="00F547A3" w14:paraId="1A39CF58" w14:textId="63CDB840">
      <w:pPr>
        <w:pStyle w:val="Lijstalinea"/>
        <w:numPr>
          <w:ilvl w:val="0"/>
          <w:numId w:val="1"/>
        </w:numPr>
      </w:pPr>
      <w:r>
        <w:t>In 2023 is in ongeveer 5,5% van de sterfgevallen sprake geweest van euthanasie</w:t>
      </w:r>
      <w:r w:rsidR="00D76819">
        <w:t>, in ruim 60% bij mensen van 70 jaar en ouder. De gemiddelde euthanasieleeftijd ligt net onder de 75 jaar.</w:t>
      </w:r>
      <w:r w:rsidR="00BA4A09">
        <w:t xml:space="preserve"> </w:t>
      </w:r>
      <w:r w:rsidR="007908C4">
        <w:t>Z</w:t>
      </w:r>
      <w:r w:rsidR="005B41E7">
        <w:t>eker vanaf het 75</w:t>
      </w:r>
      <w:r w:rsidRPr="005B41E7" w:rsidR="005B41E7">
        <w:rPr>
          <w:vertAlign w:val="superscript"/>
        </w:rPr>
        <w:t>e</w:t>
      </w:r>
      <w:r w:rsidR="005B41E7">
        <w:t xml:space="preserve"> levensjaar</w:t>
      </w:r>
      <w:r w:rsidR="007908C4">
        <w:t xml:space="preserve"> is</w:t>
      </w:r>
      <w:r w:rsidR="005B41E7">
        <w:t xml:space="preserve"> </w:t>
      </w:r>
      <w:r w:rsidR="00E75B7C">
        <w:t xml:space="preserve">bij bijna iedereen in toenemende mate sprake van wat </w:t>
      </w:r>
      <w:r w:rsidR="00955E5B">
        <w:t xml:space="preserve">ook bij afwezigheid van ernstige ziekten of beperkingen beschouwd kan worden als </w:t>
      </w:r>
      <w:r w:rsidR="00682CDF">
        <w:t>‘stapeling van ouderdomsaandoeningen’, zowel lichamelijk als geestelijk.</w:t>
      </w:r>
      <w:r w:rsidR="00955E5B">
        <w:t xml:space="preserve"> </w:t>
      </w:r>
      <w:r w:rsidR="004E5A4D">
        <w:t>Het is de taak van de huisarts daar zicht op te hebben</w:t>
      </w:r>
      <w:r w:rsidR="000E0E82">
        <w:t xml:space="preserve">. Zijn informatieplicht aan de levenseindebegeleider </w:t>
      </w:r>
      <w:r w:rsidR="00F63EBB">
        <w:t>zet de vertrouwensrelatie met zijn ‘patiënt’ onnodig onder druk</w:t>
      </w:r>
      <w:r w:rsidR="00803935">
        <w:t>.</w:t>
      </w:r>
    </w:p>
    <w:p w:rsidR="00D76819" w:rsidP="00614779" w:rsidRDefault="00D76819" w14:paraId="168FFBF3" w14:textId="45AD7FC0">
      <w:pPr>
        <w:pStyle w:val="Lijstalinea"/>
        <w:numPr>
          <w:ilvl w:val="0"/>
          <w:numId w:val="1"/>
        </w:numPr>
      </w:pPr>
      <w:r>
        <w:t xml:space="preserve">Het initiatiefvoorstel </w:t>
      </w:r>
      <w:r w:rsidR="00884B7C">
        <w:t>volgt</w:t>
      </w:r>
      <w:r w:rsidR="00973C76">
        <w:t xml:space="preserve"> </w:t>
      </w:r>
      <w:r w:rsidR="00470E96">
        <w:t xml:space="preserve">in reactie op </w:t>
      </w:r>
      <w:r>
        <w:t>het</w:t>
      </w:r>
      <w:r w:rsidR="00470E96">
        <w:t xml:space="preserve"> negatieve</w:t>
      </w:r>
      <w:r>
        <w:t xml:space="preserve"> advies van de Raad van State </w:t>
      </w:r>
      <w:r w:rsidR="00D37A18">
        <w:t xml:space="preserve">meer   nog dan al in eerste aanleg de </w:t>
      </w:r>
      <w:r w:rsidR="00BA33F2">
        <w:t>zorgvuldigheidseisen zoals die in de</w:t>
      </w:r>
      <w:r>
        <w:t xml:space="preserve"> Euthanasiewet </w:t>
      </w:r>
      <w:r w:rsidR="004D6A91">
        <w:t xml:space="preserve">zijn opgenomen. </w:t>
      </w:r>
      <w:r w:rsidR="00FB3FAA">
        <w:t>Afgezien van de</w:t>
      </w:r>
      <w:r w:rsidR="006E1A32">
        <w:t xml:space="preserve"> demografische</w:t>
      </w:r>
      <w:r w:rsidR="00FB3FAA">
        <w:t xml:space="preserve"> </w:t>
      </w:r>
      <w:r w:rsidR="002518D1">
        <w:t xml:space="preserve">beperking van de doelgroep </w:t>
      </w:r>
      <w:r w:rsidR="009D2E21">
        <w:t>blijft</w:t>
      </w:r>
      <w:r w:rsidR="002518D1">
        <w:t xml:space="preserve"> </w:t>
      </w:r>
      <w:r w:rsidR="00D6308B">
        <w:t xml:space="preserve">het belangrijkste verschil met de Euthanasiewet </w:t>
      </w:r>
      <w:r w:rsidR="00803935">
        <w:t xml:space="preserve">toch </w:t>
      </w:r>
      <w:r w:rsidR="00D6308B">
        <w:t xml:space="preserve">de </w:t>
      </w:r>
      <w:r w:rsidR="001D1D57">
        <w:t xml:space="preserve">vervanging van de arts als uitvoerder door </w:t>
      </w:r>
      <w:r w:rsidR="004006FA">
        <w:t>de levenseinde</w:t>
      </w:r>
      <w:r w:rsidR="00F6738E">
        <w:t xml:space="preserve">begeleider, een nieuw te creëren beroep dat </w:t>
      </w:r>
      <w:r w:rsidR="002518D1">
        <w:t>o</w:t>
      </w:r>
      <w:r w:rsidR="00F6738E">
        <w:t>ok door een arts kan worden uitgeoefen</w:t>
      </w:r>
      <w:r w:rsidR="00757BC1">
        <w:t>d.</w:t>
      </w:r>
      <w:r>
        <w:t xml:space="preserve"> </w:t>
      </w:r>
    </w:p>
    <w:p w:rsidR="00312FDB" w:rsidP="00614779" w:rsidRDefault="00D76819" w14:paraId="14241032" w14:textId="6B08E16C">
      <w:pPr>
        <w:pStyle w:val="Lijstalinea"/>
        <w:numPr>
          <w:ilvl w:val="0"/>
          <w:numId w:val="1"/>
        </w:numPr>
      </w:pPr>
      <w:r>
        <w:t xml:space="preserve">De introductie van de levenseindebegeleider als beroepsbeoefenaar leidt tot een oneigenlijk </w:t>
      </w:r>
      <w:r w:rsidR="004123A1">
        <w:t xml:space="preserve">en gewrongen </w:t>
      </w:r>
      <w:r>
        <w:t>gebruik van de Wet BIG</w:t>
      </w:r>
      <w:r w:rsidR="00222CC8">
        <w:t xml:space="preserve">, </w:t>
      </w:r>
      <w:r w:rsidR="0081693C">
        <w:t xml:space="preserve">maar ook van </w:t>
      </w:r>
      <w:r w:rsidR="00222CC8">
        <w:t>de WGBO</w:t>
      </w:r>
      <w:r w:rsidR="0081693C">
        <w:t xml:space="preserve"> en</w:t>
      </w:r>
      <w:r w:rsidR="00222CC8">
        <w:t xml:space="preserve"> de AVG . In de Wet BIG </w:t>
      </w:r>
      <w:r w:rsidR="000B048F">
        <w:t>valt</w:t>
      </w:r>
      <w:r w:rsidR="00222CC8">
        <w:t xml:space="preserve"> de huisarts </w:t>
      </w:r>
      <w:r w:rsidR="005F4D8A">
        <w:t xml:space="preserve">als </w:t>
      </w:r>
      <w:r w:rsidR="00222CC8">
        <w:t>medisch specialist</w:t>
      </w:r>
      <w:r w:rsidR="00DD24E6">
        <w:t xml:space="preserve"> (16.000)</w:t>
      </w:r>
      <w:r w:rsidR="000B048F">
        <w:t xml:space="preserve"> onder artikel 14</w:t>
      </w:r>
      <w:r w:rsidR="00222CC8">
        <w:t xml:space="preserve">, </w:t>
      </w:r>
      <w:r w:rsidR="000B048F">
        <w:t>maar</w:t>
      </w:r>
      <w:r w:rsidR="00222CC8">
        <w:t xml:space="preserve"> als levenseindebegeleider </w:t>
      </w:r>
      <w:r w:rsidR="00A469FC">
        <w:t xml:space="preserve">wordt hij in artikel 3 </w:t>
      </w:r>
      <w:r w:rsidR="00222CC8">
        <w:t xml:space="preserve">weer </w:t>
      </w:r>
      <w:r w:rsidR="00CF2265">
        <w:t>een</w:t>
      </w:r>
      <w:r w:rsidR="00222CC8">
        <w:t xml:space="preserve"> basisberoep</w:t>
      </w:r>
      <w:r w:rsidR="00304FD7">
        <w:t>, wat hij als arts ook al</w:t>
      </w:r>
      <w:r w:rsidR="00A34F17">
        <w:t xml:space="preserve"> is</w:t>
      </w:r>
      <w:r w:rsidR="00A469FC">
        <w:t xml:space="preserve">. </w:t>
      </w:r>
      <w:r w:rsidR="005273BA">
        <w:t>D</w:t>
      </w:r>
      <w:r w:rsidR="00A34F17">
        <w:t xml:space="preserve">e </w:t>
      </w:r>
      <w:r w:rsidR="005273BA">
        <w:t>registratie</w:t>
      </w:r>
      <w:r w:rsidR="00A34F17">
        <w:t xml:space="preserve"> als levenseindebegeleider</w:t>
      </w:r>
      <w:r w:rsidR="005273BA">
        <w:t xml:space="preserve"> heeft hij niet nodig </w:t>
      </w:r>
      <w:r w:rsidR="00C14A25">
        <w:t>in de Euthanasiewet</w:t>
      </w:r>
      <w:r w:rsidR="00222CC8">
        <w:t xml:space="preserve">. </w:t>
      </w:r>
      <w:r w:rsidR="00E7234E">
        <w:t xml:space="preserve"> </w:t>
      </w:r>
      <w:r w:rsidR="00721F7D">
        <w:t xml:space="preserve">In de initiatiefwet </w:t>
      </w:r>
      <w:r w:rsidR="00830CB4">
        <w:t xml:space="preserve">kan hulp bij zelfdoding </w:t>
      </w:r>
      <w:r w:rsidR="00F57328">
        <w:t>ook worden geboden door vertegenwoordigers van drie</w:t>
      </w:r>
      <w:r w:rsidR="005E4D4E">
        <w:t xml:space="preserve"> andere</w:t>
      </w:r>
      <w:r w:rsidR="00F57328">
        <w:t xml:space="preserve"> </w:t>
      </w:r>
      <w:r w:rsidR="005E4D4E">
        <w:t>b</w:t>
      </w:r>
      <w:r w:rsidR="00F57328">
        <w:t>asisberoepen</w:t>
      </w:r>
      <w:r w:rsidR="00F132C6">
        <w:t xml:space="preserve">: de </w:t>
      </w:r>
      <w:r w:rsidR="00222CC8">
        <w:t>GZ-psycholo</w:t>
      </w:r>
      <w:r w:rsidR="00F132C6">
        <w:t>o</w:t>
      </w:r>
      <w:r w:rsidR="00222CC8">
        <w:t>g</w:t>
      </w:r>
      <w:r w:rsidR="00F132C6">
        <w:t xml:space="preserve"> (20.000)</w:t>
      </w:r>
      <w:r w:rsidR="00A42468">
        <w:t>, de psychotherapeut (</w:t>
      </w:r>
      <w:r w:rsidR="00237928">
        <w:t>5.500</w:t>
      </w:r>
      <w:r w:rsidR="00A42468">
        <w:t xml:space="preserve">) </w:t>
      </w:r>
      <w:r w:rsidR="0080328E">
        <w:t>e</w:t>
      </w:r>
      <w:r w:rsidR="00DC4DB7">
        <w:t>n de verpleegkundige (215.000)</w:t>
      </w:r>
      <w:r w:rsidR="00AB79B0">
        <w:t xml:space="preserve">. </w:t>
      </w:r>
      <w:r w:rsidR="00AD0F4D">
        <w:t xml:space="preserve"> </w:t>
      </w:r>
      <w:r w:rsidR="00DD24E6">
        <w:t>Alle vier de beroepen zijn voorwaarde om</w:t>
      </w:r>
      <w:r w:rsidR="00744119">
        <w:t xml:space="preserve"> </w:t>
      </w:r>
      <w:r w:rsidR="00DD24E6">
        <w:t xml:space="preserve">na de nog niet bestaande ‘kopstudie’  levenseindebegeleiding gevolgd te hebben </w:t>
      </w:r>
      <w:r w:rsidR="00744119">
        <w:t>als</w:t>
      </w:r>
      <w:r w:rsidR="00E73B4A">
        <w:t xml:space="preserve"> </w:t>
      </w:r>
      <w:r w:rsidR="00744119">
        <w:t xml:space="preserve">levenseindebegeleider in artikel </w:t>
      </w:r>
      <w:r w:rsidR="001C67E5">
        <w:t xml:space="preserve">3 van de wet BIG </w:t>
      </w:r>
      <w:r w:rsidR="00C810BB">
        <w:t>geregistreerd te</w:t>
      </w:r>
      <w:r w:rsidR="00BD5291">
        <w:t xml:space="preserve"> kun</w:t>
      </w:r>
      <w:r w:rsidR="00F51444">
        <w:t>nen</w:t>
      </w:r>
      <w:r w:rsidR="00C810BB">
        <w:t xml:space="preserve"> w</w:t>
      </w:r>
      <w:r w:rsidR="001C67E5">
        <w:t>orden</w:t>
      </w:r>
      <w:r w:rsidR="00E73B4A">
        <w:t xml:space="preserve">. De levenseindebegeleider </w:t>
      </w:r>
      <w:r w:rsidR="00A37824">
        <w:t xml:space="preserve">wordt dan </w:t>
      </w:r>
      <w:r w:rsidR="00DD24E6">
        <w:t xml:space="preserve">als twaalfde beroep in artikel 3 van de wet BIG </w:t>
      </w:r>
      <w:r w:rsidR="00DD24E6">
        <w:lastRenderedPageBreak/>
        <w:t xml:space="preserve">opgenomen </w:t>
      </w:r>
      <w:r w:rsidR="00312FDB">
        <w:t>met als consequentie ook de uitbreiding van de nu aan vooral artsen voorbehouden handelingen (art 33-40) tot de levenseindebegeleiders.</w:t>
      </w:r>
      <w:r w:rsidR="00864753">
        <w:t xml:space="preserve"> </w:t>
      </w:r>
    </w:p>
    <w:p w:rsidR="00300A63" w:rsidP="00614779" w:rsidRDefault="00DE1E66" w14:paraId="0CE29306" w14:textId="78C635D4">
      <w:pPr>
        <w:pStyle w:val="Lijstalinea"/>
        <w:numPr>
          <w:ilvl w:val="0"/>
          <w:numId w:val="1"/>
        </w:numPr>
      </w:pPr>
      <w:r>
        <w:t>De levenseindebegeleider p</w:t>
      </w:r>
      <w:r w:rsidR="00210089">
        <w:t xml:space="preserve">ast niet in de beroepenreeks van artikel 3. </w:t>
      </w:r>
      <w:r w:rsidR="00312FDB">
        <w:t xml:space="preserve">Er is </w:t>
      </w:r>
      <w:r w:rsidR="00210089">
        <w:t xml:space="preserve">ook </w:t>
      </w:r>
      <w:r w:rsidR="00312FDB">
        <w:t xml:space="preserve">alle reden om levenseindebegeleiding eerder als een </w:t>
      </w:r>
      <w:r w:rsidR="00CB1C44">
        <w:t xml:space="preserve">bijzondere </w:t>
      </w:r>
      <w:r w:rsidR="00312FDB">
        <w:t>taak dan als een</w:t>
      </w:r>
      <w:r w:rsidR="00CB1C44">
        <w:t xml:space="preserve"> regulier</w:t>
      </w:r>
      <w:r w:rsidR="00312FDB">
        <w:t xml:space="preserve"> beroep te zien. De meeste huisartsen hebben minder dan één keer per jaar met de uitvoering van euthanasie te maken en ook het Expertisecentrum Euthanasie beperkt de inzet van de eigen teams tot</w:t>
      </w:r>
      <w:r w:rsidR="00300A63">
        <w:t xml:space="preserve"> maximaal 12 keer per jaar. </w:t>
      </w:r>
    </w:p>
    <w:p w:rsidR="00614779" w:rsidP="00614779" w:rsidRDefault="00312FDB" w14:paraId="74AEC5F7" w14:textId="6657924C">
      <w:pPr>
        <w:pStyle w:val="Lijstalinea"/>
        <w:numPr>
          <w:ilvl w:val="0"/>
          <w:numId w:val="1"/>
        </w:numPr>
      </w:pPr>
      <w:r>
        <w:t xml:space="preserve">Net als de Euthanasiewet kent het initiatiefvoorstel </w:t>
      </w:r>
      <w:r w:rsidR="00B07B4A">
        <w:t>R</w:t>
      </w:r>
      <w:r>
        <w:t xml:space="preserve">egionale </w:t>
      </w:r>
      <w:r w:rsidR="00B07B4A">
        <w:t>T</w:t>
      </w:r>
      <w:r>
        <w:t>oetsingscommissie</w:t>
      </w:r>
      <w:r w:rsidR="0073746A">
        <w:t>s</w:t>
      </w:r>
      <w:r>
        <w:t>, maar nu met een jurist als voorzitter, een levenseindebegeleider en een ethicus als leden. Er is niet voorzien in een aparte medische vertegenwoordiger.</w:t>
      </w:r>
      <w:r w:rsidR="00792C98">
        <w:t xml:space="preserve"> Dat is een </w:t>
      </w:r>
      <w:r w:rsidR="00B002D4">
        <w:t>hiaat in de benodigde deskundigheid.</w:t>
      </w:r>
      <w:r>
        <w:t xml:space="preserve"> De vergelijkbaarheid met de al bestaande </w:t>
      </w:r>
      <w:proofErr w:type="spellStart"/>
      <w:r>
        <w:t>RTE</w:t>
      </w:r>
      <w:r w:rsidR="0073746A">
        <w:t>’</w:t>
      </w:r>
      <w:r>
        <w:t>s</w:t>
      </w:r>
      <w:proofErr w:type="spellEnd"/>
      <w:r>
        <w:t xml:space="preserve"> </w:t>
      </w:r>
      <w:r w:rsidR="0073746A">
        <w:t xml:space="preserve">uit </w:t>
      </w:r>
      <w:r>
        <w:t>de Euthanasiewet en tegelijkertijd het verschil daarmee zal</w:t>
      </w:r>
      <w:r w:rsidR="00D76819">
        <w:t xml:space="preserve"> </w:t>
      </w:r>
      <w:r>
        <w:t>in het maatschappelijke en politieke debat</w:t>
      </w:r>
      <w:r w:rsidR="001478C5">
        <w:t xml:space="preserve"> bovendien</w:t>
      </w:r>
      <w:r>
        <w:t xml:space="preserve"> zeker tot begripsverwarring leiden.</w:t>
      </w:r>
      <w:r w:rsidR="00614779">
        <w:t xml:space="preserve"> </w:t>
      </w:r>
      <w:r w:rsidR="00D60333">
        <w:t>In reactie op het afwijzende advies van de Raad van State is het initiatiefvoorstel nu zo bijgesteld, dat de autonomie van de verzoeker bijna nominaal is geworden en de regelgeving zodanig strak dat de levenseindebegeleider beperkt</w:t>
      </w:r>
      <w:r w:rsidR="00E51FC0">
        <w:t xml:space="preserve"> wordt</w:t>
      </w:r>
      <w:r w:rsidR="00D60333">
        <w:t xml:space="preserve"> in de acceptatie van de autonomie van de verzoeker. Anders gezegd, de Euthanasiewet laat ruimte voor een groeiende aanvaarding van de autonomie van de verzoeker, het initiatiefvoorstel gaat wel van de autonomie uit maar beperkt deze tegelijkertijd definitief. Dat zal maatschappelijk bij de voorstanders van een volledige autonomie en eigen regie van de betrokkene zeker niet het gevoel geven dat hun wens </w:t>
      </w:r>
      <w:r w:rsidR="001819DB">
        <w:t>met deze</w:t>
      </w:r>
      <w:r w:rsidR="00117B3B">
        <w:t xml:space="preserve"> wet </w:t>
      </w:r>
      <w:r w:rsidR="00D60333">
        <w:t>wordt ingewilligd.</w:t>
      </w:r>
    </w:p>
    <w:p w:rsidR="00D60333" w:rsidP="00614779" w:rsidRDefault="00D60333" w14:paraId="278C817E" w14:textId="2AF11F8D">
      <w:pPr>
        <w:pStyle w:val="Lijstalinea"/>
        <w:numPr>
          <w:ilvl w:val="0"/>
          <w:numId w:val="1"/>
        </w:numPr>
      </w:pPr>
      <w:r>
        <w:t>Het initiatiefvoorstel leidt tot een verhoging van de kosten van de zorg, zoals ook de indienster meldt. Afgaande op haar cijfers zou het in eerste aanleg gaan om 2000 gevallen per jaar met een kostenbeslag van tussen de € 5000 en € 10.000 per jaar. De middelen daarvoor moeten door het ministerie van VWS, inclusief de kosten voor de opleiding en</w:t>
      </w:r>
      <w:r w:rsidR="003829BF">
        <w:t xml:space="preserve"> voor</w:t>
      </w:r>
      <w:r>
        <w:t xml:space="preserve"> het functioneren van de </w:t>
      </w:r>
      <w:proofErr w:type="spellStart"/>
      <w:r>
        <w:t>RTE’s</w:t>
      </w:r>
      <w:proofErr w:type="spellEnd"/>
      <w:r>
        <w:t xml:space="preserve">, gedragen worden. </w:t>
      </w:r>
      <w:r w:rsidR="005D22AD">
        <w:t xml:space="preserve">Gezien de op basis van onderzoek te verwachten geringe vraag </w:t>
      </w:r>
      <w:r w:rsidR="00B53623">
        <w:t xml:space="preserve">naar het werk van de levenseindebegeleider en </w:t>
      </w:r>
      <w:r w:rsidR="00560C18">
        <w:t xml:space="preserve">de ontwikkeling in de </w:t>
      </w:r>
      <w:r w:rsidR="00D820AA">
        <w:t>interpretatie</w:t>
      </w:r>
      <w:r w:rsidR="00560C18">
        <w:t xml:space="preserve"> van de Euthanasiewet </w:t>
      </w:r>
      <w:r w:rsidR="0029010A">
        <w:t>is dit een verspilling van middelen.</w:t>
      </w:r>
    </w:p>
    <w:p w:rsidR="006B2018" w:rsidP="00614779" w:rsidRDefault="006B2018" w14:paraId="142923E6" w14:textId="61F662EF">
      <w:pPr>
        <w:pStyle w:val="Lijstalinea"/>
        <w:numPr>
          <w:ilvl w:val="0"/>
          <w:numId w:val="1"/>
        </w:numPr>
      </w:pPr>
      <w:r>
        <w:t xml:space="preserve">Overigens ben ik van mening dat </w:t>
      </w:r>
      <w:r w:rsidR="00610312">
        <w:t xml:space="preserve">het feit dat het ieder vrij staat het eigen leven te beëindigen </w:t>
      </w:r>
      <w:r w:rsidR="00A5714F">
        <w:t xml:space="preserve">geen recht </w:t>
      </w:r>
      <w:r w:rsidR="00C43118">
        <w:t xml:space="preserve">op het laten beëindigen van het leven inhoudt, maar wel </w:t>
      </w:r>
      <w:r w:rsidR="00D63788">
        <w:t xml:space="preserve">de staat </w:t>
      </w:r>
      <w:r w:rsidR="00AD29B4">
        <w:t xml:space="preserve">verplicht de hulp bij het beëindigen </w:t>
      </w:r>
      <w:r w:rsidR="00D876AA">
        <w:t xml:space="preserve">wettelijk te regelen. </w:t>
      </w:r>
      <w:r w:rsidR="00680DD2">
        <w:t xml:space="preserve">De Euthanasiewet </w:t>
      </w:r>
      <w:r w:rsidR="00B07CE8">
        <w:t>voorziet daarin.</w:t>
      </w:r>
      <w:r w:rsidR="00C3659E">
        <w:t xml:space="preserve"> </w:t>
      </w:r>
    </w:p>
    <w:p w:rsidR="00B07CE8" w:rsidP="00B07CE8" w:rsidRDefault="00B07CE8" w14:paraId="60E9AEFA" w14:textId="77777777"/>
    <w:p w:rsidR="00B07CE8" w:rsidP="00B07CE8" w:rsidRDefault="00B07CE8" w14:paraId="534EA8B9" w14:textId="6D1858A3">
      <w:r>
        <w:t>Paul Schnabel</w:t>
      </w:r>
      <w:r w:rsidR="00E0079E">
        <w:t xml:space="preserve"> </w:t>
      </w:r>
    </w:p>
    <w:sectPr w:rsidR="00B07CE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0450AC"/>
    <w:multiLevelType w:val="hybridMultilevel"/>
    <w:tmpl w:val="5770BD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37481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779"/>
    <w:rsid w:val="00063653"/>
    <w:rsid w:val="000A7399"/>
    <w:rsid w:val="000B048F"/>
    <w:rsid w:val="000E0E82"/>
    <w:rsid w:val="000E36BE"/>
    <w:rsid w:val="00117590"/>
    <w:rsid w:val="00117B3B"/>
    <w:rsid w:val="001478C5"/>
    <w:rsid w:val="001819DB"/>
    <w:rsid w:val="001C5007"/>
    <w:rsid w:val="001C67E5"/>
    <w:rsid w:val="001D1D57"/>
    <w:rsid w:val="00210089"/>
    <w:rsid w:val="00222CC8"/>
    <w:rsid w:val="00237928"/>
    <w:rsid w:val="002518D1"/>
    <w:rsid w:val="0029010A"/>
    <w:rsid w:val="00300A63"/>
    <w:rsid w:val="00304AA7"/>
    <w:rsid w:val="00304FD7"/>
    <w:rsid w:val="00312FDB"/>
    <w:rsid w:val="003652A1"/>
    <w:rsid w:val="003829BF"/>
    <w:rsid w:val="003A119D"/>
    <w:rsid w:val="004006FA"/>
    <w:rsid w:val="004123A1"/>
    <w:rsid w:val="00470E96"/>
    <w:rsid w:val="004A4321"/>
    <w:rsid w:val="004B5004"/>
    <w:rsid w:val="004B5982"/>
    <w:rsid w:val="004C2CEA"/>
    <w:rsid w:val="004D6A91"/>
    <w:rsid w:val="004E5A4D"/>
    <w:rsid w:val="004F7C91"/>
    <w:rsid w:val="0050566A"/>
    <w:rsid w:val="00525459"/>
    <w:rsid w:val="005273BA"/>
    <w:rsid w:val="00560C18"/>
    <w:rsid w:val="005B2B7F"/>
    <w:rsid w:val="005B41E7"/>
    <w:rsid w:val="005D22AD"/>
    <w:rsid w:val="005E4D4E"/>
    <w:rsid w:val="005F1F38"/>
    <w:rsid w:val="005F4D8A"/>
    <w:rsid w:val="005F5346"/>
    <w:rsid w:val="00610312"/>
    <w:rsid w:val="00614779"/>
    <w:rsid w:val="006527D7"/>
    <w:rsid w:val="00680DD2"/>
    <w:rsid w:val="00682CDF"/>
    <w:rsid w:val="006B2018"/>
    <w:rsid w:val="006B75AF"/>
    <w:rsid w:val="006E1A32"/>
    <w:rsid w:val="006E5CE6"/>
    <w:rsid w:val="007015E1"/>
    <w:rsid w:val="00704E3C"/>
    <w:rsid w:val="00721F7D"/>
    <w:rsid w:val="0073746A"/>
    <w:rsid w:val="00744119"/>
    <w:rsid w:val="0074637E"/>
    <w:rsid w:val="00752402"/>
    <w:rsid w:val="00757BC1"/>
    <w:rsid w:val="007908C4"/>
    <w:rsid w:val="00792C98"/>
    <w:rsid w:val="0079438A"/>
    <w:rsid w:val="007A45C8"/>
    <w:rsid w:val="007A76A9"/>
    <w:rsid w:val="007B27BC"/>
    <w:rsid w:val="007E7634"/>
    <w:rsid w:val="0080328E"/>
    <w:rsid w:val="00803935"/>
    <w:rsid w:val="0081693C"/>
    <w:rsid w:val="00830CB4"/>
    <w:rsid w:val="0084191E"/>
    <w:rsid w:val="00864753"/>
    <w:rsid w:val="00884B7C"/>
    <w:rsid w:val="008A5F6E"/>
    <w:rsid w:val="008B1BF6"/>
    <w:rsid w:val="008C7939"/>
    <w:rsid w:val="008F3156"/>
    <w:rsid w:val="00905EEA"/>
    <w:rsid w:val="0092145D"/>
    <w:rsid w:val="00945C06"/>
    <w:rsid w:val="00950211"/>
    <w:rsid w:val="00955E5B"/>
    <w:rsid w:val="009605FF"/>
    <w:rsid w:val="0097260A"/>
    <w:rsid w:val="00973C76"/>
    <w:rsid w:val="00994938"/>
    <w:rsid w:val="009D2E21"/>
    <w:rsid w:val="009D6850"/>
    <w:rsid w:val="00A0673F"/>
    <w:rsid w:val="00A34F17"/>
    <w:rsid w:val="00A37824"/>
    <w:rsid w:val="00A42468"/>
    <w:rsid w:val="00A469FC"/>
    <w:rsid w:val="00A5714F"/>
    <w:rsid w:val="00A6591F"/>
    <w:rsid w:val="00A83448"/>
    <w:rsid w:val="00AB0DAE"/>
    <w:rsid w:val="00AB79B0"/>
    <w:rsid w:val="00AD0F4D"/>
    <w:rsid w:val="00AD29B4"/>
    <w:rsid w:val="00AD66D6"/>
    <w:rsid w:val="00AE7296"/>
    <w:rsid w:val="00B002D4"/>
    <w:rsid w:val="00B07B4A"/>
    <w:rsid w:val="00B07CE8"/>
    <w:rsid w:val="00B211AB"/>
    <w:rsid w:val="00B40A3B"/>
    <w:rsid w:val="00B45D33"/>
    <w:rsid w:val="00B53623"/>
    <w:rsid w:val="00BA33F2"/>
    <w:rsid w:val="00BA4A09"/>
    <w:rsid w:val="00BA7831"/>
    <w:rsid w:val="00BD5291"/>
    <w:rsid w:val="00C14A25"/>
    <w:rsid w:val="00C3659E"/>
    <w:rsid w:val="00C43118"/>
    <w:rsid w:val="00C60D7D"/>
    <w:rsid w:val="00C810BB"/>
    <w:rsid w:val="00CA2C23"/>
    <w:rsid w:val="00CB1C44"/>
    <w:rsid w:val="00CF2265"/>
    <w:rsid w:val="00D37A18"/>
    <w:rsid w:val="00D60333"/>
    <w:rsid w:val="00D6308B"/>
    <w:rsid w:val="00D63788"/>
    <w:rsid w:val="00D6655D"/>
    <w:rsid w:val="00D7673A"/>
    <w:rsid w:val="00D76819"/>
    <w:rsid w:val="00D820AA"/>
    <w:rsid w:val="00D876AA"/>
    <w:rsid w:val="00DC4DB7"/>
    <w:rsid w:val="00DD24E6"/>
    <w:rsid w:val="00DE1E66"/>
    <w:rsid w:val="00E0079E"/>
    <w:rsid w:val="00E51FC0"/>
    <w:rsid w:val="00E7234E"/>
    <w:rsid w:val="00E73B4A"/>
    <w:rsid w:val="00E75B7C"/>
    <w:rsid w:val="00EB5C34"/>
    <w:rsid w:val="00F132C6"/>
    <w:rsid w:val="00F33613"/>
    <w:rsid w:val="00F51444"/>
    <w:rsid w:val="00F547A3"/>
    <w:rsid w:val="00F57328"/>
    <w:rsid w:val="00F63EBB"/>
    <w:rsid w:val="00F67286"/>
    <w:rsid w:val="00F6738E"/>
    <w:rsid w:val="00F864F4"/>
    <w:rsid w:val="00FB3F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8923A"/>
  <w15:chartTrackingRefBased/>
  <w15:docId w15:val="{B452121F-6ACB-4F89-9AEC-FE5CF1B1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147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147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147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147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147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147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47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47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47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47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147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147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147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147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147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47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47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4779"/>
    <w:rPr>
      <w:rFonts w:eastAsiaTheme="majorEastAsia" w:cstheme="majorBidi"/>
      <w:color w:val="272727" w:themeColor="text1" w:themeTint="D8"/>
    </w:rPr>
  </w:style>
  <w:style w:type="paragraph" w:styleId="Titel">
    <w:name w:val="Title"/>
    <w:basedOn w:val="Standaard"/>
    <w:next w:val="Standaard"/>
    <w:link w:val="TitelChar"/>
    <w:uiPriority w:val="10"/>
    <w:qFormat/>
    <w:rsid w:val="006147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47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47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47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47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4779"/>
    <w:rPr>
      <w:i/>
      <w:iCs/>
      <w:color w:val="404040" w:themeColor="text1" w:themeTint="BF"/>
    </w:rPr>
  </w:style>
  <w:style w:type="paragraph" w:styleId="Lijstalinea">
    <w:name w:val="List Paragraph"/>
    <w:basedOn w:val="Standaard"/>
    <w:uiPriority w:val="34"/>
    <w:qFormat/>
    <w:rsid w:val="00614779"/>
    <w:pPr>
      <w:ind w:left="720"/>
      <w:contextualSpacing/>
    </w:pPr>
  </w:style>
  <w:style w:type="character" w:styleId="Intensievebenadrukking">
    <w:name w:val="Intense Emphasis"/>
    <w:basedOn w:val="Standaardalinea-lettertype"/>
    <w:uiPriority w:val="21"/>
    <w:qFormat/>
    <w:rsid w:val="00614779"/>
    <w:rPr>
      <w:i/>
      <w:iCs/>
      <w:color w:val="0F4761" w:themeColor="accent1" w:themeShade="BF"/>
    </w:rPr>
  </w:style>
  <w:style w:type="paragraph" w:styleId="Duidelijkcitaat">
    <w:name w:val="Intense Quote"/>
    <w:basedOn w:val="Standaard"/>
    <w:next w:val="Standaard"/>
    <w:link w:val="DuidelijkcitaatChar"/>
    <w:uiPriority w:val="30"/>
    <w:qFormat/>
    <w:rsid w:val="006147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14779"/>
    <w:rPr>
      <w:i/>
      <w:iCs/>
      <w:color w:val="0F4761" w:themeColor="accent1" w:themeShade="BF"/>
    </w:rPr>
  </w:style>
  <w:style w:type="character" w:styleId="Intensieveverwijzing">
    <w:name w:val="Intense Reference"/>
    <w:basedOn w:val="Standaardalinea-lettertype"/>
    <w:uiPriority w:val="32"/>
    <w:qFormat/>
    <w:rsid w:val="006147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973</ap:Words>
  <ap:Characters>5354</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2024-12-02T12:50:00.0000000Z</lastPrinted>
  <dcterms:created xsi:type="dcterms:W3CDTF">2024-12-02T12:48:00.0000000Z</dcterms:created>
  <dcterms:modified xsi:type="dcterms:W3CDTF">2024-12-02T21:23:00.0000000Z</dcterms:modified>
  <version/>
  <category/>
</coreProperties>
</file>