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77F" w:rsidP="00CA077F" w:rsidRDefault="00CA077F" w14:paraId="77D6F525" w14:textId="0E362B72">
      <w:pPr>
        <w:pStyle w:val="Kop2"/>
      </w:pPr>
      <w:bookmarkStart w:name="_Hlk180398391" w:id="0"/>
      <w:r>
        <w:t>Nazending Geannoteerde Agenda Eurogroep</w:t>
      </w:r>
      <w:r w:rsidR="00A44302">
        <w:t xml:space="preserve"> en </w:t>
      </w:r>
      <w:proofErr w:type="spellStart"/>
      <w:r>
        <w:t>Ecofinraad</w:t>
      </w:r>
      <w:proofErr w:type="spellEnd"/>
      <w:r>
        <w:t xml:space="preserve"> </w:t>
      </w:r>
      <w:r w:rsidR="00A44302">
        <w:t>november 2024</w:t>
      </w:r>
      <w:bookmarkEnd w:id="0"/>
    </w:p>
    <w:p w:rsidR="00CA077F" w:rsidP="00437A48" w:rsidRDefault="00CA077F" w14:paraId="1CA9615B" w14:textId="77777777">
      <w:pPr>
        <w:spacing w:line="276" w:lineRule="auto"/>
        <w:rPr>
          <w:b/>
          <w:bCs/>
        </w:rPr>
      </w:pPr>
    </w:p>
    <w:p w:rsidRPr="00D87329" w:rsidR="00792FC3" w:rsidP="00437A48" w:rsidRDefault="002229CF" w14:paraId="511C4437" w14:textId="79E84862">
      <w:pPr>
        <w:spacing w:line="276" w:lineRule="auto"/>
        <w:rPr>
          <w:bCs/>
        </w:rPr>
      </w:pPr>
      <w:r>
        <w:rPr>
          <w:b/>
          <w:bCs/>
        </w:rPr>
        <w:t>Herstel- en veerkrachtfaciliteit (HVF)</w:t>
      </w:r>
      <w:r w:rsidR="004B7E00">
        <w:rPr>
          <w:b/>
          <w:bCs/>
        </w:rPr>
        <w:t xml:space="preserve"> – Wijziging Tsjechisch HVP</w:t>
      </w:r>
    </w:p>
    <w:p w:rsidRPr="008C4F88" w:rsidR="00792FC3" w:rsidP="00437A48" w:rsidRDefault="00792FC3" w14:paraId="4471E5BF" w14:textId="0FBCD6D5">
      <w:pPr>
        <w:pStyle w:val="Plattetekst"/>
        <w:spacing w:after="0" w:line="276" w:lineRule="auto"/>
        <w:jc w:val="both"/>
        <w:rPr>
          <w:rFonts w:ascii="Verdana" w:hAnsi="Verdana" w:cs="Arial"/>
          <w:sz w:val="18"/>
          <w:szCs w:val="18"/>
        </w:rPr>
      </w:pPr>
      <w:r w:rsidRPr="008C4F88">
        <w:rPr>
          <w:rFonts w:ascii="Verdana" w:hAnsi="Verdana" w:cs="Arial"/>
          <w:b/>
          <w:bCs/>
          <w:sz w:val="18"/>
          <w:szCs w:val="18"/>
        </w:rPr>
        <w:t xml:space="preserve">Document: </w:t>
      </w:r>
      <w:r w:rsidR="002229CF">
        <w:rPr>
          <w:rFonts w:ascii="Verdana" w:hAnsi="Verdana" w:cs="Arial"/>
          <w:bCs/>
          <w:sz w:val="18"/>
          <w:szCs w:val="18"/>
        </w:rPr>
        <w:t>Nog niet beschikbaar.</w:t>
      </w:r>
    </w:p>
    <w:p w:rsidRPr="008C4F88" w:rsidR="00792FC3" w:rsidP="00437A48" w:rsidRDefault="00792FC3" w14:paraId="60879C36" w14:textId="4EFA1152">
      <w:pPr>
        <w:pStyle w:val="Plattetekst"/>
        <w:spacing w:after="0" w:line="276" w:lineRule="auto"/>
        <w:jc w:val="both"/>
        <w:rPr>
          <w:rFonts w:ascii="Verdana" w:hAnsi="Verdana" w:cs="Arial"/>
          <w:sz w:val="18"/>
          <w:szCs w:val="18"/>
        </w:rPr>
      </w:pPr>
      <w:r w:rsidRPr="008C4F88">
        <w:rPr>
          <w:rFonts w:ascii="Verdana" w:hAnsi="Verdana" w:cs="Arial"/>
          <w:b/>
          <w:bCs/>
          <w:sz w:val="18"/>
          <w:szCs w:val="18"/>
        </w:rPr>
        <w:t xml:space="preserve">Aard bespreking: </w:t>
      </w:r>
      <w:r w:rsidR="002229CF">
        <w:rPr>
          <w:rFonts w:ascii="Verdana" w:hAnsi="Verdana" w:cs="Arial"/>
          <w:bCs/>
          <w:sz w:val="18"/>
          <w:szCs w:val="18"/>
        </w:rPr>
        <w:t>Aanname uitvoeringsbesluit van de Raad</w:t>
      </w:r>
    </w:p>
    <w:p w:rsidRPr="008C4F88" w:rsidR="00792FC3" w:rsidP="00437A48" w:rsidRDefault="00792FC3" w14:paraId="4D80BCED" w14:textId="5C768A0B">
      <w:pPr>
        <w:pStyle w:val="Plattetekst"/>
        <w:spacing w:after="0" w:line="276" w:lineRule="auto"/>
        <w:jc w:val="both"/>
        <w:rPr>
          <w:rFonts w:ascii="Verdana" w:hAnsi="Verdana" w:cs="Arial"/>
          <w:bCs/>
          <w:sz w:val="18"/>
          <w:szCs w:val="18"/>
        </w:rPr>
      </w:pPr>
      <w:r w:rsidRPr="008C4F88">
        <w:rPr>
          <w:rFonts w:ascii="Verdana" w:hAnsi="Verdana" w:cs="Arial"/>
          <w:b/>
          <w:bCs/>
          <w:sz w:val="18"/>
          <w:szCs w:val="18"/>
        </w:rPr>
        <w:t xml:space="preserve">Besluitvormingsprocedure: </w:t>
      </w:r>
      <w:r w:rsidR="002229CF">
        <w:rPr>
          <w:rFonts w:ascii="Verdana" w:hAnsi="Verdana" w:cs="Arial"/>
          <w:bCs/>
          <w:sz w:val="18"/>
          <w:szCs w:val="18"/>
        </w:rPr>
        <w:t>gekwalificeerde meerderheid</w:t>
      </w:r>
    </w:p>
    <w:p w:rsidR="00CA077F" w:rsidP="002229CF" w:rsidRDefault="00CA077F" w14:paraId="7BEEB639" w14:textId="77777777">
      <w:pPr>
        <w:pStyle w:val="Plattetekst"/>
        <w:spacing w:after="0" w:line="276" w:lineRule="auto"/>
        <w:jc w:val="both"/>
        <w:rPr>
          <w:rFonts w:ascii="Verdana" w:hAnsi="Verdana" w:eastAsia="Calibri" w:cs="Arial"/>
          <w:b/>
          <w:bCs/>
          <w:sz w:val="18"/>
          <w:szCs w:val="18"/>
        </w:rPr>
      </w:pPr>
    </w:p>
    <w:p w:rsidRPr="002229CF" w:rsidR="00792FC3" w:rsidP="002229CF" w:rsidRDefault="00792FC3" w14:paraId="66B04532" w14:textId="40258F14">
      <w:pPr>
        <w:pStyle w:val="Plattetekst"/>
        <w:spacing w:after="0" w:line="276" w:lineRule="auto"/>
        <w:jc w:val="both"/>
        <w:rPr>
          <w:rFonts w:ascii="Verdana" w:hAnsi="Verdana"/>
          <w:bCs/>
          <w:sz w:val="18"/>
          <w:szCs w:val="18"/>
        </w:rPr>
      </w:pPr>
      <w:r w:rsidRPr="008C4F88">
        <w:rPr>
          <w:rFonts w:ascii="Verdana" w:hAnsi="Verdana" w:eastAsia="Calibri" w:cs="Arial"/>
          <w:b/>
          <w:bCs/>
          <w:sz w:val="18"/>
          <w:szCs w:val="18"/>
        </w:rPr>
        <w:t>Toelichting:</w:t>
      </w:r>
    </w:p>
    <w:p w:rsidRPr="003C2F2B" w:rsidR="003C2F2B" w:rsidP="00437A48" w:rsidRDefault="002229CF" w14:paraId="3525C502" w14:textId="51B3F30C">
      <w:pPr>
        <w:spacing w:line="276" w:lineRule="auto"/>
        <w:rPr>
          <w:i/>
        </w:rPr>
      </w:pPr>
      <w:r>
        <w:t xml:space="preserve">In de </w:t>
      </w:r>
      <w:r w:rsidR="00CA077F">
        <w:t>G</w:t>
      </w:r>
      <w:r>
        <w:t xml:space="preserve">eannoteerde </w:t>
      </w:r>
      <w:r w:rsidR="00CA077F">
        <w:t>A</w:t>
      </w:r>
      <w:r>
        <w:t xml:space="preserve">genda </w:t>
      </w:r>
      <w:r w:rsidR="00CA077F">
        <w:t xml:space="preserve">(GA) </w:t>
      </w:r>
      <w:r>
        <w:t xml:space="preserve">voor de </w:t>
      </w:r>
      <w:proofErr w:type="spellStart"/>
      <w:r>
        <w:t>Ecofinraad</w:t>
      </w:r>
      <w:proofErr w:type="spellEnd"/>
      <w:r>
        <w:t xml:space="preserve"> van </w:t>
      </w:r>
      <w:r w:rsidR="00D310CD">
        <w:t>5</w:t>
      </w:r>
      <w:r>
        <w:t xml:space="preserve"> november a.s. bent u reeds geïnformeerd over het voorstel tot aanpassing van het uitvoeringsbesluit van Nederland. </w:t>
      </w:r>
      <w:r w:rsidR="00877CA7">
        <w:t xml:space="preserve">Nadat de GA naar het parlement werd verstuurd, </w:t>
      </w:r>
      <w:r>
        <w:t xml:space="preserve">heeft de Europese Commissie het voorstel tot aanpassing van het uitvoeringsbesluit van de Raad tot goedkeuring van het </w:t>
      </w:r>
      <w:r w:rsidR="00AB16A8">
        <w:t xml:space="preserve">Tsjechische Herstel- en Veerkrachtplan (HVP) gepubliceerd. Tijdens de </w:t>
      </w:r>
      <w:proofErr w:type="spellStart"/>
      <w:r w:rsidR="00AB16A8">
        <w:t>Ecofinraad</w:t>
      </w:r>
      <w:proofErr w:type="spellEnd"/>
      <w:r w:rsidR="00AB16A8">
        <w:t xml:space="preserve"> van </w:t>
      </w:r>
      <w:r w:rsidR="00D310CD">
        <w:t>5</w:t>
      </w:r>
      <w:r w:rsidR="00AB16A8">
        <w:t xml:space="preserve"> november a.s. zullen deze aanpassingen van de uitvoeringsbesluiten van de Raad ter besluitvorming liggen. Hieronder volgt een beschrijving van de aanpassing en de beoordeling van het kabinet.</w:t>
      </w:r>
    </w:p>
    <w:p w:rsidRPr="008C4F88" w:rsidR="003C2F2B" w:rsidP="00437A48" w:rsidRDefault="003C2F2B" w14:paraId="0503B2ED" w14:textId="77777777">
      <w:pPr>
        <w:spacing w:line="276" w:lineRule="auto"/>
      </w:pPr>
    </w:p>
    <w:p w:rsidRPr="00361D4D" w:rsidR="00792FC3" w:rsidP="00437A48" w:rsidRDefault="00361D4D" w14:paraId="79F3CF5D" w14:textId="72582FE3">
      <w:pPr>
        <w:spacing w:line="276" w:lineRule="auto"/>
        <w:rPr>
          <w:u w:val="single"/>
        </w:rPr>
      </w:pPr>
      <w:r w:rsidRPr="00361D4D">
        <w:rPr>
          <w:u w:val="single"/>
        </w:rPr>
        <w:t xml:space="preserve">Tsjechië </w:t>
      </w:r>
    </w:p>
    <w:p w:rsidR="00792FC3" w:rsidP="00437A48" w:rsidRDefault="00361D4D" w14:paraId="19671581" w14:textId="407B7A16">
      <w:pPr>
        <w:spacing w:line="276" w:lineRule="auto"/>
        <w:rPr>
          <w:iCs/>
        </w:rPr>
      </w:pPr>
      <w:r>
        <w:rPr>
          <w:iCs/>
        </w:rPr>
        <w:t xml:space="preserve">Tsjechië heeft op 13 september 2024 een verzoek ingediend voor een aanpassing van het oorspronkelijke HVP dat middels een uitvoeringsbesluit van de Raad op 8 september 2021 is goedgekeurd. Dit uitvoeringsbesluit is op </w:t>
      </w:r>
      <w:r w:rsidR="00877CA7">
        <w:rPr>
          <w:iCs/>
        </w:rPr>
        <w:t xml:space="preserve">30 juni </w:t>
      </w:r>
      <w:r>
        <w:rPr>
          <w:iCs/>
        </w:rPr>
        <w:t xml:space="preserve">2023 </w:t>
      </w:r>
      <w:r w:rsidR="00877CA7">
        <w:rPr>
          <w:iCs/>
        </w:rPr>
        <w:t>voor een eerste keer aangepast</w:t>
      </w:r>
      <w:r>
        <w:rPr>
          <w:iCs/>
        </w:rPr>
        <w:t xml:space="preserve">. </w:t>
      </w:r>
    </w:p>
    <w:p w:rsidR="00361D4D" w:rsidP="00437A48" w:rsidRDefault="00361D4D" w14:paraId="6BC16D99" w14:textId="77777777">
      <w:pPr>
        <w:spacing w:line="276" w:lineRule="auto"/>
        <w:rPr>
          <w:iCs/>
        </w:rPr>
      </w:pPr>
    </w:p>
    <w:p w:rsidR="00287E2F" w:rsidP="00437A48" w:rsidRDefault="00361D4D" w14:paraId="21C43307" w14:textId="0783F4E9">
      <w:pPr>
        <w:spacing w:line="276" w:lineRule="auto"/>
        <w:rPr>
          <w:iCs/>
        </w:rPr>
      </w:pPr>
      <w:r>
        <w:rPr>
          <w:iCs/>
        </w:rPr>
        <w:t xml:space="preserve">Tsjechië maakt gebruik van de mogelijkheid om het HVP aan te passen op grond van objectieve omstandigheden. </w:t>
      </w:r>
      <w:r w:rsidR="001C1EAF">
        <w:rPr>
          <w:iCs/>
        </w:rPr>
        <w:t xml:space="preserve">Voor een uitgebreide toelichting op deze grondslag voor wijziging verwijs ik u graag naar het verslag van de Eurogroep- en </w:t>
      </w:r>
      <w:proofErr w:type="spellStart"/>
      <w:r w:rsidR="001C1EAF">
        <w:rPr>
          <w:iCs/>
        </w:rPr>
        <w:t>Ecofinraad</w:t>
      </w:r>
      <w:proofErr w:type="spellEnd"/>
      <w:r w:rsidR="001C1EAF">
        <w:rPr>
          <w:iCs/>
        </w:rPr>
        <w:t xml:space="preserve"> van juni 2024</w:t>
      </w:r>
      <w:r w:rsidR="001C1EAF">
        <w:rPr>
          <w:rStyle w:val="Voetnootmarkering"/>
          <w:iCs/>
        </w:rPr>
        <w:footnoteReference w:id="1"/>
      </w:r>
      <w:r w:rsidR="001C1EAF">
        <w:rPr>
          <w:iCs/>
        </w:rPr>
        <w:t xml:space="preserve">. </w:t>
      </w:r>
      <w:r>
        <w:rPr>
          <w:iCs/>
        </w:rPr>
        <w:t xml:space="preserve">De aanpassing heeft betrekking op </w:t>
      </w:r>
      <w:r w:rsidR="00B3105F">
        <w:rPr>
          <w:iCs/>
        </w:rPr>
        <w:t>veertig</w:t>
      </w:r>
      <w:r>
        <w:rPr>
          <w:iCs/>
        </w:rPr>
        <w:t xml:space="preserve"> maatregelen. </w:t>
      </w:r>
      <w:r w:rsidR="00FF539B">
        <w:rPr>
          <w:iCs/>
        </w:rPr>
        <w:t>Tsjechië heeft aangegeven</w:t>
      </w:r>
      <w:r>
        <w:rPr>
          <w:iCs/>
        </w:rPr>
        <w:t xml:space="preserve"> dat tweeëntwintig maatregelen zijn aangepast doordat er betere alternatieve</w:t>
      </w:r>
      <w:r w:rsidR="00083BF5">
        <w:rPr>
          <w:iCs/>
        </w:rPr>
        <w:t>n</w:t>
      </w:r>
      <w:r>
        <w:rPr>
          <w:iCs/>
        </w:rPr>
        <w:t xml:space="preserve"> geïmplementeerd kunnen worden om de oorspronkelijke ambitie van de maatregelen te verwezenlijken. </w:t>
      </w:r>
      <w:r w:rsidR="00083BF5">
        <w:rPr>
          <w:iCs/>
        </w:rPr>
        <w:t xml:space="preserve">Deze maatregelen hebben onder andere betrekking op circulaire economie, arbeidsmarktbeleid, de energiesector en de digitale transitie. </w:t>
      </w:r>
      <w:r w:rsidR="004A2E38">
        <w:rPr>
          <w:iCs/>
        </w:rPr>
        <w:t xml:space="preserve">Daarnaast </w:t>
      </w:r>
      <w:r w:rsidR="00FF539B">
        <w:rPr>
          <w:iCs/>
        </w:rPr>
        <w:t>geeft Tsjechië</w:t>
      </w:r>
      <w:r w:rsidR="004A2E38">
        <w:rPr>
          <w:iCs/>
        </w:rPr>
        <w:t xml:space="preserve"> aan dat er voor elf maatregelen betere alternatieven bestaan waarmee de administratieve lasten verminderd kunnen worden.</w:t>
      </w:r>
      <w:r w:rsidR="00FF539B">
        <w:rPr>
          <w:iCs/>
        </w:rPr>
        <w:t xml:space="preserve"> </w:t>
      </w:r>
      <w:r w:rsidR="00083BF5">
        <w:rPr>
          <w:iCs/>
        </w:rPr>
        <w:t xml:space="preserve">Deze maatregelen hebben betrekking op o.a. de digitale dienstverlening, infrastructuur en energieprestatie, onderwijs en </w:t>
      </w:r>
      <w:r w:rsidR="007C1663">
        <w:rPr>
          <w:iCs/>
        </w:rPr>
        <w:t xml:space="preserve">emissiereductie van wegtransport. </w:t>
      </w:r>
    </w:p>
    <w:p w:rsidR="00287E2F" w:rsidP="00437A48" w:rsidRDefault="00287E2F" w14:paraId="65EE5D94" w14:textId="77777777">
      <w:pPr>
        <w:spacing w:line="276" w:lineRule="auto"/>
        <w:rPr>
          <w:iCs/>
        </w:rPr>
      </w:pPr>
    </w:p>
    <w:p w:rsidR="00361D4D" w:rsidP="00437A48" w:rsidRDefault="00FF539B" w14:paraId="08057B76" w14:textId="50A3732C">
      <w:pPr>
        <w:spacing w:line="276" w:lineRule="auto"/>
        <w:rPr>
          <w:iCs/>
        </w:rPr>
      </w:pPr>
      <w:r>
        <w:rPr>
          <w:iCs/>
        </w:rPr>
        <w:t xml:space="preserve">Andere reden voor aanpassing is het verzoek van Tsjechië om de middelen die vrijkomen door een daling in de kostenramingen voor een aantal doelen, in te zetten om het implementatieniveau van twee maatregelen te verhogen. Hiermee overeenkomstig zal de vereiste implementatie van de maatregelen met betrekking tot de ontwikkeling en modernisering van de infrastructuur voor sociale zorg, de modernisering van de diensten voor arbeidsvoorziening en ontwikkeling van de arbeidsmarkt en de steun voor onderzoek en ontwikkeling in ondernemingen en invoering van innovaties in de bedrijfspraktijk, toenemen. Hiernaast geeft </w:t>
      </w:r>
      <w:r w:rsidR="00083BF5">
        <w:rPr>
          <w:iCs/>
        </w:rPr>
        <w:t xml:space="preserve">Tsjechië aan dat vijf maatregelen gedeeltelijk niet langer haalbaar zijn door objectieve omstandigheden. Deze maatregelen hebben betrekking op digitale diensten, informatie- en administratiesystemen, hervorming van lange-termijn zorg en de modernisering van de diensten voor arbeidsvoorziening en ontwikkeling van de arbeidsmarkt. </w:t>
      </w:r>
    </w:p>
    <w:p w:rsidR="00361D4D" w:rsidP="00437A48" w:rsidRDefault="00361D4D" w14:paraId="5F731B32" w14:textId="77777777">
      <w:pPr>
        <w:spacing w:line="276" w:lineRule="auto"/>
        <w:rPr>
          <w:iCs/>
        </w:rPr>
      </w:pPr>
    </w:p>
    <w:p w:rsidRPr="00CA077F" w:rsidR="00B06701" w:rsidP="00CA077F" w:rsidRDefault="00287E2F" w14:paraId="3AE83C4D" w14:textId="46AC2609">
      <w:pPr>
        <w:spacing w:line="276" w:lineRule="auto"/>
        <w:rPr>
          <w:iCs/>
        </w:rPr>
      </w:pPr>
      <w:r>
        <w:rPr>
          <w:iCs/>
        </w:rPr>
        <w:t xml:space="preserve">De Commissie oordeelt dat de redenen die Tsjechië aandraagt een aanpassing van het plan rechtvaardigen en dat het Tsjechische herstelplan ook na de aanpassing voldoet aan de eisen van de HVF-verordening. </w:t>
      </w:r>
      <w:r w:rsidR="001C1EAF">
        <w:rPr>
          <w:iCs/>
        </w:rPr>
        <w:t xml:space="preserve">Het kabinet kan zich vinden in het oordeel van de Commissie. Nederland is daarom voornemens om in te stemmen met het voorstel tot aanpassing van het uitvoeringsbesluit van de Raad. </w:t>
      </w:r>
    </w:p>
    <w:sectPr w:rsidRPr="00CA077F" w:rsidR="00B06701"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15D5" w14:textId="77777777" w:rsidR="002B4FB1" w:rsidRDefault="002B4FB1" w:rsidP="00E12F27">
      <w:r>
        <w:separator/>
      </w:r>
    </w:p>
  </w:endnote>
  <w:endnote w:type="continuationSeparator" w:id="0">
    <w:p w14:paraId="5054B115" w14:textId="77777777" w:rsidR="002B4FB1" w:rsidRDefault="002B4FB1" w:rsidP="00E1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A17C" w14:textId="77777777" w:rsidR="002B4FB1" w:rsidRDefault="002B4FB1" w:rsidP="00E12F27">
      <w:r>
        <w:separator/>
      </w:r>
    </w:p>
  </w:footnote>
  <w:footnote w:type="continuationSeparator" w:id="0">
    <w:p w14:paraId="64C683D2" w14:textId="77777777" w:rsidR="002B4FB1" w:rsidRDefault="002B4FB1" w:rsidP="00E12F27">
      <w:r>
        <w:continuationSeparator/>
      </w:r>
    </w:p>
  </w:footnote>
  <w:footnote w:id="1">
    <w:p w14:paraId="44E92225" w14:textId="21DA7AC9" w:rsidR="001C1EAF" w:rsidRDefault="001C1EAF">
      <w:pPr>
        <w:pStyle w:val="Voetnoottekst"/>
      </w:pPr>
      <w:r>
        <w:rPr>
          <w:rStyle w:val="Voetnootmarkering"/>
        </w:rPr>
        <w:footnoteRef/>
      </w:r>
      <w:r>
        <w:t xml:space="preserve"> </w:t>
      </w:r>
      <w:hyperlink r:id="rId1" w:history="1">
        <w:r w:rsidRPr="001C1EAF">
          <w:rPr>
            <w:rStyle w:val="Hyperlink"/>
            <w:rFonts w:ascii="Verdana" w:hAnsi="Verdana"/>
            <w:sz w:val="14"/>
            <w:szCs w:val="18"/>
          </w:rPr>
          <w:t xml:space="preserve">Verslag Eurogroep en </w:t>
        </w:r>
        <w:proofErr w:type="spellStart"/>
        <w:r w:rsidRPr="001C1EAF">
          <w:rPr>
            <w:rStyle w:val="Hyperlink"/>
            <w:rFonts w:ascii="Verdana" w:hAnsi="Verdana"/>
            <w:sz w:val="14"/>
            <w:szCs w:val="18"/>
          </w:rPr>
          <w:t>Ecofinraad</w:t>
        </w:r>
        <w:proofErr w:type="spellEnd"/>
        <w:r w:rsidRPr="001C1EAF">
          <w:rPr>
            <w:rStyle w:val="Hyperlink"/>
            <w:rFonts w:ascii="Verdana" w:hAnsi="Verdana"/>
            <w:sz w:val="14"/>
            <w:szCs w:val="18"/>
          </w:rPr>
          <w:t xml:space="preserve"> 20 en 21 juni 2024 | Tweede Kamer der Staten-Generaal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7440"/>
    <w:multiLevelType w:val="hybridMultilevel"/>
    <w:tmpl w:val="A9941BB6"/>
    <w:lvl w:ilvl="0" w:tplc="826014C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857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08"/>
    <w:rsid w:val="00007698"/>
    <w:rsid w:val="0005365E"/>
    <w:rsid w:val="000800D8"/>
    <w:rsid w:val="00083BF5"/>
    <w:rsid w:val="000B173F"/>
    <w:rsid w:val="000C7945"/>
    <w:rsid w:val="00113C2D"/>
    <w:rsid w:val="00123386"/>
    <w:rsid w:val="001525E8"/>
    <w:rsid w:val="001863F8"/>
    <w:rsid w:val="001C1732"/>
    <w:rsid w:val="001C1EAF"/>
    <w:rsid w:val="001E6A24"/>
    <w:rsid w:val="002229CF"/>
    <w:rsid w:val="00236111"/>
    <w:rsid w:val="002777B6"/>
    <w:rsid w:val="00287E2F"/>
    <w:rsid w:val="002A016B"/>
    <w:rsid w:val="002B4FB1"/>
    <w:rsid w:val="002B69F2"/>
    <w:rsid w:val="00301252"/>
    <w:rsid w:val="00301E3E"/>
    <w:rsid w:val="00342E24"/>
    <w:rsid w:val="00361D4D"/>
    <w:rsid w:val="00367DC4"/>
    <w:rsid w:val="003934BE"/>
    <w:rsid w:val="003C2F2B"/>
    <w:rsid w:val="003E4040"/>
    <w:rsid w:val="003F3727"/>
    <w:rsid w:val="0041097F"/>
    <w:rsid w:val="00437A48"/>
    <w:rsid w:val="004A2E38"/>
    <w:rsid w:val="004B1A9E"/>
    <w:rsid w:val="004B7E00"/>
    <w:rsid w:val="004F75E2"/>
    <w:rsid w:val="0054667C"/>
    <w:rsid w:val="005878A6"/>
    <w:rsid w:val="005D1C72"/>
    <w:rsid w:val="005D6025"/>
    <w:rsid w:val="00634FD2"/>
    <w:rsid w:val="00647CB4"/>
    <w:rsid w:val="00683C40"/>
    <w:rsid w:val="006B4195"/>
    <w:rsid w:val="006E4CC4"/>
    <w:rsid w:val="006E7B04"/>
    <w:rsid w:val="00764564"/>
    <w:rsid w:val="00792FC3"/>
    <w:rsid w:val="007C0370"/>
    <w:rsid w:val="007C1663"/>
    <w:rsid w:val="007C336E"/>
    <w:rsid w:val="00862D08"/>
    <w:rsid w:val="00877A51"/>
    <w:rsid w:val="00877CA7"/>
    <w:rsid w:val="00884EED"/>
    <w:rsid w:val="008977DA"/>
    <w:rsid w:val="00915F3A"/>
    <w:rsid w:val="00962C85"/>
    <w:rsid w:val="009A2E2E"/>
    <w:rsid w:val="009D4AA2"/>
    <w:rsid w:val="009E5C9C"/>
    <w:rsid w:val="009F1D74"/>
    <w:rsid w:val="00A41679"/>
    <w:rsid w:val="00A44302"/>
    <w:rsid w:val="00A8189C"/>
    <w:rsid w:val="00A85722"/>
    <w:rsid w:val="00A95556"/>
    <w:rsid w:val="00AB16A8"/>
    <w:rsid w:val="00AE5571"/>
    <w:rsid w:val="00AE5B0B"/>
    <w:rsid w:val="00AE7FFA"/>
    <w:rsid w:val="00B06701"/>
    <w:rsid w:val="00B3105F"/>
    <w:rsid w:val="00B33A68"/>
    <w:rsid w:val="00B577CF"/>
    <w:rsid w:val="00B634D0"/>
    <w:rsid w:val="00BD60B0"/>
    <w:rsid w:val="00BE30D0"/>
    <w:rsid w:val="00C563D0"/>
    <w:rsid w:val="00C81CF5"/>
    <w:rsid w:val="00CA077F"/>
    <w:rsid w:val="00CD4A8E"/>
    <w:rsid w:val="00CD6043"/>
    <w:rsid w:val="00D310CD"/>
    <w:rsid w:val="00D34275"/>
    <w:rsid w:val="00D87329"/>
    <w:rsid w:val="00D910AA"/>
    <w:rsid w:val="00DC51F8"/>
    <w:rsid w:val="00E0758A"/>
    <w:rsid w:val="00E12F27"/>
    <w:rsid w:val="00E52334"/>
    <w:rsid w:val="00E57ABA"/>
    <w:rsid w:val="00EB2507"/>
    <w:rsid w:val="00ED4113"/>
    <w:rsid w:val="00F147BB"/>
    <w:rsid w:val="00F5380D"/>
    <w:rsid w:val="00F846C9"/>
    <w:rsid w:val="00FA1BD3"/>
    <w:rsid w:val="00FD70B2"/>
    <w:rsid w:val="00FE5F5A"/>
    <w:rsid w:val="00F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9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FC3"/>
    <w:pPr>
      <w:spacing w:after="0" w:line="240" w:lineRule="auto"/>
    </w:pPr>
    <w:rPr>
      <w:rFonts w:cs="Times New Roman"/>
      <w:szCs w:val="18"/>
      <w:lang w:val="nl-NL"/>
    </w:rPr>
  </w:style>
  <w:style w:type="paragraph" w:styleId="Kop1">
    <w:name w:val="heading 1"/>
    <w:basedOn w:val="Standaard"/>
    <w:next w:val="Standaard"/>
    <w:link w:val="Kop1Char"/>
    <w:uiPriority w:val="9"/>
    <w:qFormat/>
    <w:rsid w:val="00792FC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CA07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2FC3"/>
    <w:rPr>
      <w:rFonts w:asciiTheme="majorHAnsi" w:eastAsiaTheme="majorEastAsia" w:hAnsiTheme="majorHAnsi" w:cstheme="majorBidi"/>
      <w:b/>
      <w:bCs/>
      <w:color w:val="2E74B5" w:themeColor="accent1" w:themeShade="BF"/>
      <w:sz w:val="28"/>
      <w:szCs w:val="28"/>
      <w:lang w:val="nl-NL"/>
    </w:rPr>
  </w:style>
  <w:style w:type="paragraph" w:styleId="Plattetekst">
    <w:name w:val="Body Text"/>
    <w:basedOn w:val="Standaard"/>
    <w:link w:val="PlattetekstChar"/>
    <w:rsid w:val="00792FC3"/>
    <w:pPr>
      <w:spacing w:after="120"/>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792FC3"/>
    <w:rPr>
      <w:rFonts w:ascii="Times New Roman" w:eastAsia="Times New Roman" w:hAnsi="Times New Roman" w:cs="Times New Roman"/>
      <w:sz w:val="24"/>
      <w:szCs w:val="24"/>
      <w:lang w:val="nl-NL" w:eastAsia="nl-NL"/>
    </w:rPr>
  </w:style>
  <w:style w:type="paragraph" w:customStyle="1" w:styleId="Default">
    <w:name w:val="Default"/>
    <w:rsid w:val="00792FC3"/>
    <w:pPr>
      <w:pBdr>
        <w:top w:val="nil"/>
        <w:left w:val="nil"/>
        <w:bottom w:val="nil"/>
        <w:right w:val="nil"/>
        <w:between w:val="nil"/>
        <w:bar w:val="nil"/>
      </w:pBdr>
      <w:suppressAutoHyphens/>
      <w:spacing w:after="0" w:line="240" w:lineRule="auto"/>
    </w:pPr>
    <w:rPr>
      <w:rFonts w:eastAsia="Arial Unicode MS" w:cs="Arial Unicode MS"/>
      <w:color w:val="000000"/>
      <w:sz w:val="24"/>
      <w:szCs w:val="24"/>
      <w:u w:color="000000"/>
      <w:bdr w:val="nil"/>
      <w:lang w:val="nl-NL" w:eastAsia="nl-NL"/>
    </w:rPr>
  </w:style>
  <w:style w:type="paragraph" w:styleId="Voetnoottekst">
    <w:name w:val="footnote text"/>
    <w:basedOn w:val="Standaard"/>
    <w:link w:val="VoetnoottekstChar"/>
    <w:semiHidden/>
    <w:rsid w:val="009E5C9C"/>
    <w:pPr>
      <w:keepLines/>
      <w:widowControl w:val="0"/>
      <w:tabs>
        <w:tab w:val="left" w:pos="1418"/>
        <w:tab w:val="left" w:pos="2835"/>
        <w:tab w:val="left" w:pos="4253"/>
        <w:tab w:val="left" w:pos="5670"/>
      </w:tabs>
      <w:suppressAutoHyphens/>
      <w:spacing w:line="200" w:lineRule="atLeast"/>
    </w:pPr>
    <w:rPr>
      <w:rFonts w:ascii="Arial" w:eastAsia="Times New Roman" w:hAnsi="Arial"/>
      <w:sz w:val="16"/>
      <w:szCs w:val="20"/>
      <w:lang w:eastAsia="nl-NL"/>
    </w:rPr>
  </w:style>
  <w:style w:type="character" w:customStyle="1" w:styleId="VoetnoottekstChar">
    <w:name w:val="Voetnoottekst Char"/>
    <w:basedOn w:val="Standaardalinea-lettertype"/>
    <w:link w:val="Voetnoottekst"/>
    <w:semiHidden/>
    <w:rsid w:val="009E5C9C"/>
    <w:rPr>
      <w:rFonts w:ascii="Arial" w:eastAsia="Times New Roman" w:hAnsi="Arial" w:cs="Times New Roman"/>
      <w:sz w:val="16"/>
      <w:szCs w:val="20"/>
      <w:lang w:val="nl-NL" w:eastAsia="nl-NL"/>
    </w:rPr>
  </w:style>
  <w:style w:type="character" w:styleId="Hyperlink">
    <w:name w:val="Hyperlink"/>
    <w:uiPriority w:val="99"/>
    <w:unhideWhenUsed/>
    <w:rsid w:val="009E5C9C"/>
    <w:rPr>
      <w:color w:val="0000FF"/>
      <w:u w:val="single"/>
    </w:rPr>
  </w:style>
  <w:style w:type="paragraph" w:styleId="Lijstalinea">
    <w:name w:val="List Paragraph"/>
    <w:basedOn w:val="Standaard"/>
    <w:uiPriority w:val="34"/>
    <w:qFormat/>
    <w:rsid w:val="00634FD2"/>
    <w:pPr>
      <w:ind w:left="720"/>
      <w:contextualSpacing/>
    </w:pPr>
  </w:style>
  <w:style w:type="character" w:styleId="Verwijzingopmerking">
    <w:name w:val="annotation reference"/>
    <w:basedOn w:val="Standaardalinea-lettertype"/>
    <w:uiPriority w:val="99"/>
    <w:semiHidden/>
    <w:unhideWhenUsed/>
    <w:rsid w:val="00EB2507"/>
    <w:rPr>
      <w:sz w:val="16"/>
      <w:szCs w:val="16"/>
    </w:rPr>
  </w:style>
  <w:style w:type="paragraph" w:styleId="Tekstopmerking">
    <w:name w:val="annotation text"/>
    <w:basedOn w:val="Standaard"/>
    <w:link w:val="TekstopmerkingChar"/>
    <w:uiPriority w:val="99"/>
    <w:semiHidden/>
    <w:unhideWhenUsed/>
    <w:rsid w:val="00EB2507"/>
    <w:rPr>
      <w:sz w:val="20"/>
      <w:szCs w:val="20"/>
    </w:rPr>
  </w:style>
  <w:style w:type="character" w:customStyle="1" w:styleId="TekstopmerkingChar">
    <w:name w:val="Tekst opmerking Char"/>
    <w:basedOn w:val="Standaardalinea-lettertype"/>
    <w:link w:val="Tekstopmerking"/>
    <w:uiPriority w:val="99"/>
    <w:semiHidden/>
    <w:rsid w:val="00EB2507"/>
    <w:rPr>
      <w:rFonts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B2507"/>
    <w:rPr>
      <w:b/>
      <w:bCs/>
    </w:rPr>
  </w:style>
  <w:style w:type="character" w:customStyle="1" w:styleId="OnderwerpvanopmerkingChar">
    <w:name w:val="Onderwerp van opmerking Char"/>
    <w:basedOn w:val="TekstopmerkingChar"/>
    <w:link w:val="Onderwerpvanopmerking"/>
    <w:uiPriority w:val="99"/>
    <w:semiHidden/>
    <w:rsid w:val="00EB2507"/>
    <w:rPr>
      <w:rFonts w:cs="Times New Roman"/>
      <w:b/>
      <w:bCs/>
      <w:sz w:val="20"/>
      <w:szCs w:val="20"/>
      <w:lang w:val="nl-NL"/>
    </w:rPr>
  </w:style>
  <w:style w:type="paragraph" w:styleId="Ballontekst">
    <w:name w:val="Balloon Text"/>
    <w:basedOn w:val="Standaard"/>
    <w:link w:val="BallontekstChar"/>
    <w:uiPriority w:val="99"/>
    <w:semiHidden/>
    <w:unhideWhenUsed/>
    <w:rsid w:val="00EB2507"/>
    <w:rPr>
      <w:rFonts w:ascii="Segoe UI" w:hAnsi="Segoe UI" w:cs="Segoe UI"/>
    </w:rPr>
  </w:style>
  <w:style w:type="character" w:customStyle="1" w:styleId="BallontekstChar">
    <w:name w:val="Ballontekst Char"/>
    <w:basedOn w:val="Standaardalinea-lettertype"/>
    <w:link w:val="Ballontekst"/>
    <w:uiPriority w:val="99"/>
    <w:semiHidden/>
    <w:rsid w:val="00EB2507"/>
    <w:rPr>
      <w:rFonts w:ascii="Segoe UI" w:hAnsi="Segoe UI" w:cs="Segoe UI"/>
      <w:szCs w:val="18"/>
      <w:lang w:val="nl-NL"/>
    </w:rPr>
  </w:style>
  <w:style w:type="paragraph" w:styleId="Koptekst">
    <w:name w:val="header"/>
    <w:basedOn w:val="Standaard"/>
    <w:link w:val="KoptekstChar"/>
    <w:uiPriority w:val="99"/>
    <w:unhideWhenUsed/>
    <w:rsid w:val="00E12F27"/>
    <w:pPr>
      <w:tabs>
        <w:tab w:val="center" w:pos="4536"/>
        <w:tab w:val="right" w:pos="9072"/>
      </w:tabs>
    </w:pPr>
  </w:style>
  <w:style w:type="character" w:customStyle="1" w:styleId="KoptekstChar">
    <w:name w:val="Koptekst Char"/>
    <w:basedOn w:val="Standaardalinea-lettertype"/>
    <w:link w:val="Koptekst"/>
    <w:uiPriority w:val="99"/>
    <w:rsid w:val="00E12F27"/>
    <w:rPr>
      <w:rFonts w:cs="Times New Roman"/>
      <w:szCs w:val="18"/>
      <w:lang w:val="nl-NL"/>
    </w:rPr>
  </w:style>
  <w:style w:type="paragraph" w:styleId="Voettekst">
    <w:name w:val="footer"/>
    <w:basedOn w:val="Standaard"/>
    <w:link w:val="VoettekstChar"/>
    <w:uiPriority w:val="99"/>
    <w:unhideWhenUsed/>
    <w:rsid w:val="00E12F27"/>
    <w:pPr>
      <w:tabs>
        <w:tab w:val="center" w:pos="4536"/>
        <w:tab w:val="right" w:pos="9072"/>
      </w:tabs>
    </w:pPr>
  </w:style>
  <w:style w:type="character" w:customStyle="1" w:styleId="VoettekstChar">
    <w:name w:val="Voettekst Char"/>
    <w:basedOn w:val="Standaardalinea-lettertype"/>
    <w:link w:val="Voettekst"/>
    <w:uiPriority w:val="99"/>
    <w:rsid w:val="00E12F27"/>
    <w:rPr>
      <w:rFonts w:cs="Times New Roman"/>
      <w:szCs w:val="18"/>
      <w:lang w:val="nl-NL"/>
    </w:rPr>
  </w:style>
  <w:style w:type="character" w:styleId="Onopgelostemelding">
    <w:name w:val="Unresolved Mention"/>
    <w:basedOn w:val="Standaardalinea-lettertype"/>
    <w:uiPriority w:val="99"/>
    <w:semiHidden/>
    <w:unhideWhenUsed/>
    <w:rsid w:val="00B577CF"/>
    <w:rPr>
      <w:color w:val="605E5C"/>
      <w:shd w:val="clear" w:color="auto" w:fill="E1DFDD"/>
    </w:rPr>
  </w:style>
  <w:style w:type="character" w:styleId="Voetnootmarkering">
    <w:name w:val="footnote reference"/>
    <w:basedOn w:val="Standaardalinea-lettertype"/>
    <w:uiPriority w:val="99"/>
    <w:semiHidden/>
    <w:unhideWhenUsed/>
    <w:rsid w:val="001C1EAF"/>
    <w:rPr>
      <w:vertAlign w:val="superscript"/>
    </w:rPr>
  </w:style>
  <w:style w:type="character" w:customStyle="1" w:styleId="Kop2Char">
    <w:name w:val="Kop 2 Char"/>
    <w:basedOn w:val="Standaardalinea-lettertype"/>
    <w:link w:val="Kop2"/>
    <w:uiPriority w:val="9"/>
    <w:rsid w:val="00CA077F"/>
    <w:rPr>
      <w:rFonts w:asciiTheme="majorHAnsi" w:eastAsiaTheme="majorEastAsia" w:hAnsiTheme="majorHAnsi" w:cstheme="majorBidi"/>
      <w:color w:val="2E74B5"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4D27551&amp;did=2024D2755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534</ap:Words>
  <ap:Characters>2937</ap:Characters>
  <ap:DocSecurity>4</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2024-11-01T13:10:00.0000000Z</dcterms:created>
  <dcterms:modified xsi:type="dcterms:W3CDTF">2024-11-01T13:10:00.0000000Z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613d4-c48d-4ea6-97c3-589efc8c91a7_Enabled">
    <vt:lpwstr>true</vt:lpwstr>
  </property>
  <property fmtid="{D5CDD505-2E9C-101B-9397-08002B2CF9AE}" pid="3" name="MSIP_Label_927613d4-c48d-4ea6-97c3-589efc8c91a7_SetDate">
    <vt:lpwstr>2023-06-27T13:02:54Z</vt:lpwstr>
  </property>
  <property fmtid="{D5CDD505-2E9C-101B-9397-08002B2CF9AE}" pid="4" name="MSIP_Label_927613d4-c48d-4ea6-97c3-589efc8c91a7_Method">
    <vt:lpwstr>Privileged</vt:lpwstr>
  </property>
  <property fmtid="{D5CDD505-2E9C-101B-9397-08002B2CF9AE}" pid="5" name="MSIP_Label_927613d4-c48d-4ea6-97c3-589efc8c91a7_Name">
    <vt:lpwstr>FIN-DGGT-Publiek</vt:lpwstr>
  </property>
  <property fmtid="{D5CDD505-2E9C-101B-9397-08002B2CF9AE}" pid="6" name="MSIP_Label_927613d4-c48d-4ea6-97c3-589efc8c91a7_SiteId">
    <vt:lpwstr>84712536-f524-40a0-913b-5d25ba502732</vt:lpwstr>
  </property>
  <property fmtid="{D5CDD505-2E9C-101B-9397-08002B2CF9AE}" pid="7" name="MSIP_Label_927613d4-c48d-4ea6-97c3-589efc8c91a7_ActionId">
    <vt:lpwstr>49923004-4d9b-4e60-a084-536e0a8d95c5</vt:lpwstr>
  </property>
  <property fmtid="{D5CDD505-2E9C-101B-9397-08002B2CF9AE}" pid="8" name="MSIP_Label_927613d4-c48d-4ea6-97c3-589efc8c91a7_ContentBits">
    <vt:lpwstr>0</vt:lpwstr>
  </property>
</Properties>
</file>