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733455" w:rsidTr="00733455" w14:paraId="20A3D5E6" w14:textId="77777777">
        <w:bookmarkStart w:name="_GoBack" w:displacedByCustomXml="next" w:id="0"/>
        <w:bookmarkEnd w:displacedByCustomXml="next" w:id="0"/>
        <w:sdt>
          <w:sdtPr>
            <w:tag w:val="bmZaakNummerAdvies"/>
            <w:id w:val="1954750056"/>
            <w:lock w:val="sdtLocked"/>
            <w:placeholder>
              <w:docPart w:val="DefaultPlaceholder_-1854013440"/>
            </w:placeholder>
          </w:sdtPr>
          <w:sdtEndPr/>
          <w:sdtContent>
            <w:tc>
              <w:tcPr>
                <w:tcW w:w="4251" w:type="dxa"/>
              </w:tcPr>
              <w:p w:rsidR="00733455" w:rsidP="00AA1F76" w:rsidRDefault="00733455" w14:paraId="7C74FD3F" w14:textId="1AF1610B">
                <w:r>
                  <w:t>No. W16.24.00107/II</w:t>
                </w:r>
              </w:p>
            </w:tc>
          </w:sdtContent>
        </w:sdt>
        <w:sdt>
          <w:sdtPr>
            <w:tag w:val="bmDatumAdvies"/>
            <w:id w:val="-399754953"/>
            <w:lock w:val="sdtLocked"/>
            <w:placeholder>
              <w:docPart w:val="DefaultPlaceholder_-1854013440"/>
            </w:placeholder>
          </w:sdtPr>
          <w:sdtEndPr/>
          <w:sdtContent>
            <w:tc>
              <w:tcPr>
                <w:tcW w:w="4252" w:type="dxa"/>
              </w:tcPr>
              <w:p w:rsidR="00733455" w:rsidP="00AA1F76" w:rsidRDefault="00733455" w14:paraId="2F245A2A" w14:textId="2DACC524">
                <w:r>
                  <w:t>'s-Gravenhage, 1</w:t>
                </w:r>
                <w:r w:rsidR="002A533F">
                  <w:t>0</w:t>
                </w:r>
                <w:r>
                  <w:t xml:space="preserve"> juli 2024</w:t>
                </w:r>
              </w:p>
            </w:tc>
          </w:sdtContent>
        </w:sdt>
      </w:tr>
    </w:tbl>
    <w:p w:rsidR="00733455" w:rsidP="00AA1F76" w:rsidRDefault="00733455" w14:paraId="6027B4CB" w14:textId="77777777"/>
    <w:p w:rsidR="00733455" w:rsidP="00AA1F76" w:rsidRDefault="00733455" w14:paraId="012F70E9" w14:textId="77777777"/>
    <w:p w:rsidR="001978DD" w:rsidP="00AA1F76" w:rsidRDefault="00A67854" w14:paraId="1947A39B" w14:textId="4DE16972">
      <w:sdt>
        <w:sdtPr>
          <w:tag w:val="bmAanhef"/>
          <w:id w:val="-1145810424"/>
          <w:lock w:val="sdtLocked"/>
          <w:placeholder>
            <w:docPart w:val="DefaultPlaceholder_-1854013440"/>
          </w:placeholder>
        </w:sdtPr>
        <w:sdtEndPr/>
        <w:sdtContent>
          <w:r w:rsidR="00733455">
            <w:rPr>
              <w:color w:val="000000"/>
            </w:rPr>
            <w:t>Bij Kabinetsmissive van 15 mei 2024, no.2024001179, heeft Uwe Majesteit, op voordracht van de Minister van Justitie en Veiligheid, mede namens de Minister voor Rechtsbescherming</w:t>
          </w:r>
          <w:r w:rsidR="00C81B3C">
            <w:rPr>
              <w:rStyle w:val="Voetnootmarkering"/>
              <w:color w:val="000000"/>
            </w:rPr>
            <w:footnoteReference w:id="2"/>
          </w:r>
          <w:r w:rsidR="008C0ED6">
            <w:rPr>
              <w:color w:val="000000"/>
            </w:rPr>
            <w:t>,</w:t>
          </w:r>
          <w:r w:rsidR="00733455">
            <w:rPr>
              <w:color w:val="000000"/>
            </w:rPr>
            <w:t xml:space="preserve"> bij de Afdeling advisering van de Raad van State ter overweging aanhangig gemaakt het voorstel van wet tot wijziging van enkele wetten op het terrein van Justitie en Veiligheid in verband met enkele aanpassingen van overwegend technische aard (Verzamelwet Justitie en Veiligheid 20</w:t>
          </w:r>
          <w:r w:rsidR="00C331CF">
            <w:rPr>
              <w:color w:val="000000"/>
            </w:rPr>
            <w:t>XX</w:t>
          </w:r>
          <w:r w:rsidR="00733455">
            <w:rPr>
              <w:color w:val="000000"/>
            </w:rPr>
            <w:t>), met memorie van toelichting.</w:t>
          </w:r>
        </w:sdtContent>
      </w:sdt>
    </w:p>
    <w:p w:rsidR="001978DD" w:rsidRDefault="001978DD" w14:paraId="1947A39C" w14:textId="77777777"/>
    <w:sdt>
      <w:sdtPr>
        <w:tag w:val="bmVrijeTekst1"/>
        <w:id w:val="-1127461874"/>
        <w:lock w:val="sdtLocked"/>
        <w:placeholder>
          <w:docPart w:val="EF48712D4F5E4B35981054F4E71CC0CB"/>
        </w:placeholder>
        <w:showingPlcHdr/>
      </w:sdtPr>
      <w:sdtEndPr/>
      <w:sdtContent>
        <w:p w:rsidR="001978DD" w:rsidRDefault="00BD3029" w14:paraId="1947A39D" w14:textId="753CD90B">
          <w:r>
            <w:t>Het wetsvoorstel is een verzamelwet en beoogt wetten op het terrein van Justitie en Veiligheid te zuiveren van wetstechnische en redactionele vergissingen en verschrijvingen, aldus de toelichting.</w:t>
          </w:r>
          <w:r>
            <w:rPr>
              <w:rStyle w:val="Voetnootmarkering"/>
            </w:rPr>
            <w:footnoteReference w:id="3"/>
          </w:r>
          <w:r>
            <w:t xml:space="preserve"> Daarnaast voorziet het voorstel in een aantal beperkt inhoudelijke wijzigingen, aldus de toelichting.</w:t>
          </w:r>
          <w:r>
            <w:br/>
          </w:r>
          <w:r>
            <w:br/>
            <w:t>De Afdeling advisering van de Raad van State  heeft over één onderdeel van de voorgestelde verzamelwet enkele opmerkingen, te weten een wijziging van de Wet forensische zorg. De voorgestelde wijziging raakt  de verwerking van persoonsgegevens ten behoeve van het treffen van voorbereidingen voor zogeheten (op de forensische zorg zelf) aansluitende zorg.</w:t>
          </w:r>
          <w:r>
            <w:rPr>
              <w:rStyle w:val="Voetnootmarkering"/>
            </w:rPr>
            <w:footnoteReference w:id="4"/>
          </w:r>
          <w:r>
            <w:t xml:space="preserve"> De Afdeling adviseert dit onderwerp niet te regelen in het voorliggende wetsvoorstel, aangezien het een verdergaande, meer dan ’beperkte’ inhoudelijke afweging van de wetgever vereist en daarom niet past bij het karakter van een verzamelwet. In verband daarmee is aanpassing van het wetsvoorstel op dit onderdeel wenselijk.</w:t>
          </w:r>
          <w:r>
            <w:br/>
          </w:r>
          <w:r>
            <w:br/>
            <w:t xml:space="preserve">De Wet forensische zorg (Wfz) verplicht de zorgaanbieder zes weken voor afloop van een justitiële titel </w:t>
          </w:r>
          <w:r w:rsidRPr="00D041FD">
            <w:t>voorbereidingen te treffen voor aansluitende zorg</w:t>
          </w:r>
          <w:r>
            <w:t>, indien de zorgverlener of behandelaar van oordeel is dat na afloop van de strafrechtelijke titel verdere zorg nodig is.</w:t>
          </w:r>
          <w:r>
            <w:rPr>
              <w:rStyle w:val="Voetnootmarkering"/>
            </w:rPr>
            <w:footnoteReference w:id="5"/>
          </w:r>
          <w:r>
            <w:t xml:space="preserve"> </w:t>
          </w:r>
          <w:r w:rsidRPr="004C632E">
            <w:t xml:space="preserve">Indien de vervolgzorg </w:t>
          </w:r>
          <w:r>
            <w:t>vrijwillig is</w:t>
          </w:r>
          <w:r w:rsidRPr="004C632E">
            <w:t xml:space="preserve">, zal de forensisch patiënt doorgaans zijn toestemming geven voor het verwerken van de hem betreffende persoonsgegevens. De toestemming van de forensisch patiënt is voor de zorgaanbieder een grondslag voor het verwerken van de persoonsgegevens. Indien de vervolgzorg </w:t>
          </w:r>
          <w:r>
            <w:t>verplicht is</w:t>
          </w:r>
          <w:r w:rsidRPr="004C632E">
            <w:t>, zal doorgaans geen sprake zijn van de toestemming van de forensisch patiënt.</w:t>
          </w:r>
          <w:r>
            <w:t xml:space="preserve"> Het voorgestelde artikel regelt dat de zorgaanbieder persoonsgegevens verwerkt, met inbegrip van (bijzondere) persoonsgegevens over gezondheid of persoonsgegevens van strafrechtelijke aard, ten behoeve van het treffen van voorbereidingen voor aansluitende zorg.</w:t>
          </w:r>
          <w:r>
            <w:rPr>
              <w:rStyle w:val="Voetnootmarkering"/>
            </w:rPr>
            <w:footnoteReference w:id="6"/>
          </w:r>
          <w:r>
            <w:br/>
          </w:r>
          <w:r>
            <w:br/>
            <w:t xml:space="preserve">De Afdeling merkt op dat de verwerking van (bijzondere) persoonsgegevens een inmenging op de persoonlijke levenssfeer van betrokkene in de zin van artikel 10 van de Grondwet vormt en hiervoor een grondslag in een wet in formele zin is vereist. De inmenging op de persoonlijke levenssfeer die de voorgestelde wettelijke bepaling met </w:t>
          </w:r>
          <w:r>
            <w:lastRenderedPageBreak/>
            <w:t>zich meebrengt, vereist een dragende motivering en een nadere afweging die zich niet verhouden tot het karakter van een verzamelwet.</w:t>
          </w:r>
          <w:r>
            <w:rPr>
              <w:rStyle w:val="Voetnootmarkering"/>
            </w:rPr>
            <w:footnoteReference w:id="7"/>
          </w:r>
          <w:r>
            <w:t xml:space="preserve"> De Afdeling adviseert daarom het onderdeel inzake de verwerking van persoonsgegevens ten behoeve van het treffen van voorbereidingen voor aansluitende zorg uit het wetsvoorstel te halen.</w:t>
          </w:r>
          <w:r>
            <w:br/>
          </w:r>
          <w:r>
            <w:br/>
            <w:t>Onverminderd het voorgaande wijst de Afdeling nog op het volgende. Voor zowel de verwerking van persoonsgegevens betreffende de gezondheid als persoonsgegevens van strafrechtelijke aard, geldt dat dit in beginsel verboden is, tenzij er sprake is van een wettelijke uitzondering.</w:t>
          </w:r>
          <w:r>
            <w:rPr>
              <w:rStyle w:val="Voetnootmarkering"/>
            </w:rPr>
            <w:footnoteReference w:id="8"/>
          </w:r>
          <w:r>
            <w:t xml:space="preserve"> Indien de voorgestelde regeling in een separaat wetsvoorstel wordt opgenomen, dient duidelijk gemaakt te worden wat de grondslag voor de verwerking van de persoonsgegevens is en om welke wettelijke uitzonderingen het gaat, zodat helder is welke rechtvaardiging men voor ogen heeft voor de verwerking van persoonsgegevens. Tevens dient kenbaar gemaakt te worden welke passende waarborgen bij strafrechtelijke gegevens en welke passende en specifieke maatregelen bij bijzondere persoonsgegevens er worden genomen om de rechten en vrijheden van de betrokkene te beschermen.</w:t>
          </w:r>
          <w:r>
            <w:rPr>
              <w:rStyle w:val="Voetnootmarkering"/>
            </w:rPr>
            <w:footnoteReference w:id="9"/>
          </w:r>
        </w:p>
      </w:sdtContent>
    </w:sdt>
    <w:p w:rsidR="00670328" w:rsidRDefault="00670328" w14:paraId="5F276416" w14:textId="77777777"/>
    <w:sdt>
      <w:sdtPr>
        <w:tag w:val="bmDictum"/>
        <w:id w:val="1619342679"/>
        <w:placeholder>
          <w:docPart w:val="9B6544E85A544B6EB70B692660C8DA98"/>
        </w:placeholder>
      </w:sdtPr>
      <w:sdtEndPr/>
      <w:sdtContent>
        <w:p w:rsidR="00670328" w:rsidRDefault="009864D7" w14:paraId="3C131482" w14:textId="192ACCE8">
          <w:r>
            <w:rPr>
              <w:color w:val="000000"/>
            </w:rPr>
            <w:t xml:space="preserve">De Afdeling advisering van de Raad van State heeft een aantal opmerkingen bij het voorstel en adviseert daarmee rekening te houden voordat het voorstel bij de Tweede Kamer der Staten-Generaal wordt ingediend. </w:t>
          </w:r>
          <w:r w:rsidR="00AD7C3F">
            <w:br/>
          </w:r>
          <w:r w:rsidR="00AD7C3F">
            <w:br/>
          </w:r>
          <w:r w:rsidR="00AD7C3F">
            <w:br/>
          </w:r>
          <w:r w:rsidR="00670328">
            <w:t>De vice-president van de Raad van State,</w:t>
          </w:r>
        </w:p>
      </w:sdtContent>
    </w:sdt>
    <w:sectPr w:rsidR="00670328" w:rsidSect="00733455">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C659E" w14:textId="77777777" w:rsidR="00CB1C75" w:rsidRDefault="00CB1C75">
      <w:r>
        <w:separator/>
      </w:r>
    </w:p>
  </w:endnote>
  <w:endnote w:type="continuationSeparator" w:id="0">
    <w:p w14:paraId="4E35D480" w14:textId="77777777" w:rsidR="00CB1C75" w:rsidRDefault="00CB1C75">
      <w:r>
        <w:continuationSeparator/>
      </w:r>
    </w:p>
  </w:endnote>
  <w:endnote w:type="continuationNotice" w:id="1">
    <w:p w14:paraId="0955300A" w14:textId="77777777" w:rsidR="00CB1C75" w:rsidRDefault="00CB1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7A3A2"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955657" w14:paraId="1947A3A5" w14:textId="77777777" w:rsidTr="00D90098">
      <w:tc>
        <w:tcPr>
          <w:tcW w:w="4815" w:type="dxa"/>
        </w:tcPr>
        <w:p w14:paraId="1947A3A3" w14:textId="77777777" w:rsidR="00D90098" w:rsidRDefault="00D90098" w:rsidP="00D90098">
          <w:pPr>
            <w:pStyle w:val="Voettekst"/>
          </w:pPr>
        </w:p>
      </w:tc>
      <w:tc>
        <w:tcPr>
          <w:tcW w:w="4247" w:type="dxa"/>
        </w:tcPr>
        <w:p w14:paraId="1947A3A4" w14:textId="77777777" w:rsidR="00D90098" w:rsidRDefault="00D90098" w:rsidP="00D90098">
          <w:pPr>
            <w:pStyle w:val="Voettekst"/>
            <w:jc w:val="right"/>
          </w:pPr>
        </w:p>
      </w:tc>
    </w:tr>
  </w:tbl>
  <w:p w14:paraId="1947A3A6"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C14E" w14:textId="2F737801" w:rsidR="00733455" w:rsidRPr="00733455" w:rsidRDefault="00733455">
    <w:pPr>
      <w:pStyle w:val="Voettekst"/>
      <w:rPr>
        <w:rFonts w:ascii="Bembo" w:hAnsi="Bembo"/>
        <w:sz w:val="32"/>
      </w:rPr>
    </w:pPr>
    <w:r w:rsidRPr="00733455">
      <w:rPr>
        <w:rFonts w:ascii="Bembo" w:hAnsi="Bembo"/>
        <w:sz w:val="32"/>
      </w:rPr>
      <w:t>AAN DE KONING</w:t>
    </w:r>
  </w:p>
  <w:p w14:paraId="3BB431B5" w14:textId="77777777" w:rsidR="00733455" w:rsidRDefault="007334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0FE29" w14:textId="77777777" w:rsidR="00CB1C75" w:rsidRDefault="00CB1C75">
      <w:r>
        <w:separator/>
      </w:r>
    </w:p>
  </w:footnote>
  <w:footnote w:type="continuationSeparator" w:id="0">
    <w:p w14:paraId="7F901F08" w14:textId="77777777" w:rsidR="00CB1C75" w:rsidRDefault="00CB1C75">
      <w:r>
        <w:continuationSeparator/>
      </w:r>
    </w:p>
  </w:footnote>
  <w:footnote w:type="continuationNotice" w:id="1">
    <w:p w14:paraId="3A61074C" w14:textId="77777777" w:rsidR="00CB1C75" w:rsidRDefault="00CB1C75"/>
  </w:footnote>
  <w:footnote w:id="2">
    <w:p w14:paraId="133EE342" w14:textId="14A1DDC2" w:rsidR="00C81B3C" w:rsidRDefault="00C81B3C">
      <w:pPr>
        <w:pStyle w:val="Voetnoottekst"/>
      </w:pPr>
      <w:r>
        <w:rPr>
          <w:rStyle w:val="Voetnootmarkering"/>
        </w:rPr>
        <w:footnoteRef/>
      </w:r>
      <w:r>
        <w:t xml:space="preserve"> </w:t>
      </w:r>
      <w:r w:rsidR="00C86ABE">
        <w:t>In</w:t>
      </w:r>
      <w:r w:rsidR="009E670E">
        <w:t xml:space="preserve"> verband met de kabinetswisseling wordt het advies gezonden aan de staatssecretaris v</w:t>
      </w:r>
      <w:r w:rsidR="0037184D">
        <w:t>oor Rechtsbescherming</w:t>
      </w:r>
      <w:r w:rsidR="009E670E">
        <w:t>.</w:t>
      </w:r>
    </w:p>
  </w:footnote>
  <w:footnote w:id="3">
    <w:p w14:paraId="43886303" w14:textId="77777777" w:rsidR="00BD3029" w:rsidRDefault="00BD3029" w:rsidP="00BD3029">
      <w:pPr>
        <w:pStyle w:val="Voetnoottekst"/>
      </w:pPr>
      <w:r>
        <w:rPr>
          <w:rStyle w:val="Voetnootmarkering"/>
        </w:rPr>
        <w:footnoteRef/>
      </w:r>
      <w:r>
        <w:t xml:space="preserve"> Memorie van toelichting, algemeen deel, paragraaf 1.</w:t>
      </w:r>
    </w:p>
  </w:footnote>
  <w:footnote w:id="4">
    <w:p w14:paraId="624B37F0" w14:textId="77777777" w:rsidR="00BD3029" w:rsidRDefault="00BD3029" w:rsidP="00BD3029">
      <w:pPr>
        <w:pStyle w:val="Voetnoottekst"/>
      </w:pPr>
      <w:r>
        <w:rPr>
          <w:rStyle w:val="Voetnootmarkering"/>
        </w:rPr>
        <w:footnoteRef/>
      </w:r>
      <w:r>
        <w:t xml:space="preserve"> </w:t>
      </w:r>
      <w:r w:rsidRPr="00786358">
        <w:t>Artikel XXII</w:t>
      </w:r>
      <w:r>
        <w:t xml:space="preserve"> van het voorstel.</w:t>
      </w:r>
    </w:p>
  </w:footnote>
  <w:footnote w:id="5">
    <w:p w14:paraId="7AADE7D2" w14:textId="77777777" w:rsidR="00BD3029" w:rsidRDefault="00BD3029" w:rsidP="00BD3029">
      <w:pPr>
        <w:pStyle w:val="Voetnoottekst"/>
      </w:pPr>
      <w:r>
        <w:rPr>
          <w:rStyle w:val="Voetnootmarkering"/>
        </w:rPr>
        <w:footnoteRef/>
      </w:r>
      <w:r>
        <w:t xml:space="preserve"> Artikel 2.5 Wfz.</w:t>
      </w:r>
    </w:p>
  </w:footnote>
  <w:footnote w:id="6">
    <w:p w14:paraId="7CA36A3B" w14:textId="77777777" w:rsidR="00BD3029" w:rsidRDefault="00BD3029" w:rsidP="00BD3029">
      <w:pPr>
        <w:pStyle w:val="Voetnoottekst"/>
      </w:pPr>
      <w:r>
        <w:rPr>
          <w:rStyle w:val="Voetnootmarkering"/>
        </w:rPr>
        <w:footnoteRef/>
      </w:r>
      <w:r>
        <w:t xml:space="preserve"> Memorie van toelichting, artikelsgewijs deel, artikel XXII.</w:t>
      </w:r>
    </w:p>
  </w:footnote>
  <w:footnote w:id="7">
    <w:p w14:paraId="242F5EE2" w14:textId="77777777" w:rsidR="00BD3029" w:rsidRDefault="00BD3029" w:rsidP="00BD3029">
      <w:pPr>
        <w:pStyle w:val="Voetnoottekst"/>
      </w:pPr>
      <w:r>
        <w:rPr>
          <w:rStyle w:val="Voetnootmarkering"/>
        </w:rPr>
        <w:footnoteRef/>
      </w:r>
      <w:r>
        <w:t xml:space="preserve"> Advies van de Afdeling advisering van de Raad van State van 7 september 2023 over de Reparatiewet OCW, (W05.23.00138/I).</w:t>
      </w:r>
    </w:p>
  </w:footnote>
  <w:footnote w:id="8">
    <w:p w14:paraId="4857CAE9" w14:textId="77777777" w:rsidR="00BD3029" w:rsidRDefault="00BD3029" w:rsidP="00BD3029">
      <w:pPr>
        <w:pStyle w:val="Voetnoottekst"/>
      </w:pPr>
      <w:r>
        <w:rPr>
          <w:rStyle w:val="Voetnootmarkering"/>
        </w:rPr>
        <w:footnoteRef/>
      </w:r>
      <w:r>
        <w:t xml:space="preserve"> A</w:t>
      </w:r>
      <w:r w:rsidRPr="004C6C17">
        <w:t>rtikel 9 AVG; artikel 10 AVG</w:t>
      </w:r>
      <w:r>
        <w:t>.</w:t>
      </w:r>
    </w:p>
  </w:footnote>
  <w:footnote w:id="9">
    <w:p w14:paraId="6B101912" w14:textId="77777777" w:rsidR="00BD3029" w:rsidRDefault="00BD3029" w:rsidP="00BD3029">
      <w:pPr>
        <w:pStyle w:val="Voetnoottekst"/>
      </w:pPr>
      <w:r>
        <w:rPr>
          <w:rStyle w:val="Voetnootmarkering"/>
        </w:rPr>
        <w:footnoteRef/>
      </w:r>
      <w:r>
        <w:t xml:space="preserve"> Artikel 10 AVG voor strafrechtelijke persoonsgegevens; artikel 9, tweede lid, AVG voor bijzondere persoonsgegevens. Aangezien deze passende (en specifieke) waarborgen zien op de bescherming van het recht op bescherming van de persoonlijke levenssfeer zoals vervat in artikel 10 van de Grondwet, ligt het in de rede dat in dergelijke waarborgen wordt voorzien op het niveau van de wet in formele zin.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7A3A0"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7A3A1" w14:textId="77777777" w:rsidR="00FA7BCD" w:rsidRDefault="00AA357D"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7A3A7" w14:textId="77777777" w:rsidR="00DA0CDA" w:rsidRDefault="00AA357D"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947A3A8" w14:textId="77777777" w:rsidR="00993C75" w:rsidRDefault="00AA357D">
    <w:pPr>
      <w:pStyle w:val="Koptekst"/>
    </w:pPr>
    <w:r>
      <w:rPr>
        <w:noProof/>
      </w:rPr>
      <w:drawing>
        <wp:anchor distT="0" distB="0" distL="114300" distR="114300" simplePos="0" relativeHeight="251658240" behindDoc="1" locked="0" layoutInCell="1" allowOverlap="1" wp14:anchorId="1947A3B3" wp14:editId="1947A3B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657"/>
    <w:rsid w:val="00001A69"/>
    <w:rsid w:val="000030A1"/>
    <w:rsid w:val="0000546C"/>
    <w:rsid w:val="00013EF2"/>
    <w:rsid w:val="00015808"/>
    <w:rsid w:val="00017C54"/>
    <w:rsid w:val="0003015E"/>
    <w:rsid w:val="00046AED"/>
    <w:rsid w:val="0005227C"/>
    <w:rsid w:val="00060057"/>
    <w:rsid w:val="00060961"/>
    <w:rsid w:val="00060AAF"/>
    <w:rsid w:val="00060E87"/>
    <w:rsid w:val="00063878"/>
    <w:rsid w:val="000675DE"/>
    <w:rsid w:val="00067DC0"/>
    <w:rsid w:val="000763EC"/>
    <w:rsid w:val="00085B72"/>
    <w:rsid w:val="000A2AB2"/>
    <w:rsid w:val="000A3E42"/>
    <w:rsid w:val="000A43B2"/>
    <w:rsid w:val="000A43F9"/>
    <w:rsid w:val="000A527E"/>
    <w:rsid w:val="000A6A86"/>
    <w:rsid w:val="000A7680"/>
    <w:rsid w:val="000B56A5"/>
    <w:rsid w:val="000C0394"/>
    <w:rsid w:val="000D1E82"/>
    <w:rsid w:val="000D3412"/>
    <w:rsid w:val="000E07D6"/>
    <w:rsid w:val="000E30C7"/>
    <w:rsid w:val="000E7D09"/>
    <w:rsid w:val="000F08F5"/>
    <w:rsid w:val="000F6E4B"/>
    <w:rsid w:val="00102956"/>
    <w:rsid w:val="00103AD7"/>
    <w:rsid w:val="00116832"/>
    <w:rsid w:val="00117A5E"/>
    <w:rsid w:val="00121EE6"/>
    <w:rsid w:val="00122163"/>
    <w:rsid w:val="00124559"/>
    <w:rsid w:val="00124A8C"/>
    <w:rsid w:val="001300EA"/>
    <w:rsid w:val="001410AB"/>
    <w:rsid w:val="0014625D"/>
    <w:rsid w:val="00150110"/>
    <w:rsid w:val="00151A14"/>
    <w:rsid w:val="00157CA3"/>
    <w:rsid w:val="00172C60"/>
    <w:rsid w:val="00174305"/>
    <w:rsid w:val="001871CF"/>
    <w:rsid w:val="00193F1C"/>
    <w:rsid w:val="00193F82"/>
    <w:rsid w:val="001978DD"/>
    <w:rsid w:val="001A5095"/>
    <w:rsid w:val="001A5C9E"/>
    <w:rsid w:val="001B7D46"/>
    <w:rsid w:val="001C0DA5"/>
    <w:rsid w:val="001C1FAD"/>
    <w:rsid w:val="001C2F60"/>
    <w:rsid w:val="001C2F7A"/>
    <w:rsid w:val="001C6D09"/>
    <w:rsid w:val="001D2732"/>
    <w:rsid w:val="001D2829"/>
    <w:rsid w:val="001D476F"/>
    <w:rsid w:val="001D6574"/>
    <w:rsid w:val="001E03ED"/>
    <w:rsid w:val="001E7670"/>
    <w:rsid w:val="001F0863"/>
    <w:rsid w:val="001F4F95"/>
    <w:rsid w:val="00201BDD"/>
    <w:rsid w:val="002039AA"/>
    <w:rsid w:val="0021074C"/>
    <w:rsid w:val="00216EBE"/>
    <w:rsid w:val="00217733"/>
    <w:rsid w:val="00223707"/>
    <w:rsid w:val="00226F6C"/>
    <w:rsid w:val="00227508"/>
    <w:rsid w:val="00233046"/>
    <w:rsid w:val="00236C66"/>
    <w:rsid w:val="0024075F"/>
    <w:rsid w:val="00241C07"/>
    <w:rsid w:val="002462C7"/>
    <w:rsid w:val="00246FC6"/>
    <w:rsid w:val="00247F87"/>
    <w:rsid w:val="0026166C"/>
    <w:rsid w:val="002703D2"/>
    <w:rsid w:val="002733A8"/>
    <w:rsid w:val="00281582"/>
    <w:rsid w:val="0028367D"/>
    <w:rsid w:val="002879D0"/>
    <w:rsid w:val="00287C62"/>
    <w:rsid w:val="002A0240"/>
    <w:rsid w:val="002A428C"/>
    <w:rsid w:val="002A533F"/>
    <w:rsid w:val="002B1559"/>
    <w:rsid w:val="002B3136"/>
    <w:rsid w:val="002B6055"/>
    <w:rsid w:val="002B752D"/>
    <w:rsid w:val="002C03BE"/>
    <w:rsid w:val="002C1C28"/>
    <w:rsid w:val="002D0C69"/>
    <w:rsid w:val="002D1500"/>
    <w:rsid w:val="002E3598"/>
    <w:rsid w:val="002E5601"/>
    <w:rsid w:val="00301223"/>
    <w:rsid w:val="00305239"/>
    <w:rsid w:val="0030536E"/>
    <w:rsid w:val="00306D48"/>
    <w:rsid w:val="00307184"/>
    <w:rsid w:val="00314ED5"/>
    <w:rsid w:val="00333512"/>
    <w:rsid w:val="00340473"/>
    <w:rsid w:val="00344BD2"/>
    <w:rsid w:val="00345131"/>
    <w:rsid w:val="00351512"/>
    <w:rsid w:val="003622F9"/>
    <w:rsid w:val="0036764F"/>
    <w:rsid w:val="0037184D"/>
    <w:rsid w:val="003825CD"/>
    <w:rsid w:val="00386386"/>
    <w:rsid w:val="00390F3A"/>
    <w:rsid w:val="003942D4"/>
    <w:rsid w:val="003B4703"/>
    <w:rsid w:val="003D2629"/>
    <w:rsid w:val="003D4CF3"/>
    <w:rsid w:val="003D6991"/>
    <w:rsid w:val="003E753D"/>
    <w:rsid w:val="003E7A0D"/>
    <w:rsid w:val="003F01B0"/>
    <w:rsid w:val="003F103A"/>
    <w:rsid w:val="003F1F4D"/>
    <w:rsid w:val="003F3F82"/>
    <w:rsid w:val="003F5732"/>
    <w:rsid w:val="003F70EA"/>
    <w:rsid w:val="00400A1C"/>
    <w:rsid w:val="00403F87"/>
    <w:rsid w:val="004162E2"/>
    <w:rsid w:val="00422332"/>
    <w:rsid w:val="00427B98"/>
    <w:rsid w:val="004339FC"/>
    <w:rsid w:val="0043726C"/>
    <w:rsid w:val="004373DA"/>
    <w:rsid w:val="004438DC"/>
    <w:rsid w:val="00444D04"/>
    <w:rsid w:val="00445D02"/>
    <w:rsid w:val="00453781"/>
    <w:rsid w:val="004538F4"/>
    <w:rsid w:val="00455B01"/>
    <w:rsid w:val="004645E1"/>
    <w:rsid w:val="004702FF"/>
    <w:rsid w:val="00472D0C"/>
    <w:rsid w:val="00474AC6"/>
    <w:rsid w:val="00477537"/>
    <w:rsid w:val="00480549"/>
    <w:rsid w:val="004817CB"/>
    <w:rsid w:val="00481990"/>
    <w:rsid w:val="004824A4"/>
    <w:rsid w:val="0048475D"/>
    <w:rsid w:val="00487948"/>
    <w:rsid w:val="00487EC0"/>
    <w:rsid w:val="00493117"/>
    <w:rsid w:val="00494463"/>
    <w:rsid w:val="004A4526"/>
    <w:rsid w:val="004A5DDE"/>
    <w:rsid w:val="004B15D9"/>
    <w:rsid w:val="004B4B59"/>
    <w:rsid w:val="004C1116"/>
    <w:rsid w:val="004C3D12"/>
    <w:rsid w:val="004C6C17"/>
    <w:rsid w:val="004C6FCE"/>
    <w:rsid w:val="004C7904"/>
    <w:rsid w:val="004E0B55"/>
    <w:rsid w:val="004E1CB9"/>
    <w:rsid w:val="004E2E1F"/>
    <w:rsid w:val="00501CB5"/>
    <w:rsid w:val="005044C9"/>
    <w:rsid w:val="005061AA"/>
    <w:rsid w:val="00524D67"/>
    <w:rsid w:val="005267F0"/>
    <w:rsid w:val="00526D40"/>
    <w:rsid w:val="00526E81"/>
    <w:rsid w:val="00527A1E"/>
    <w:rsid w:val="00530443"/>
    <w:rsid w:val="00531858"/>
    <w:rsid w:val="00537F1B"/>
    <w:rsid w:val="005473C7"/>
    <w:rsid w:val="005512AD"/>
    <w:rsid w:val="00552D60"/>
    <w:rsid w:val="0056291C"/>
    <w:rsid w:val="00565A21"/>
    <w:rsid w:val="0057037F"/>
    <w:rsid w:val="00571A87"/>
    <w:rsid w:val="00592B8E"/>
    <w:rsid w:val="005947E5"/>
    <w:rsid w:val="00594891"/>
    <w:rsid w:val="005B3495"/>
    <w:rsid w:val="005B35EA"/>
    <w:rsid w:val="005B786B"/>
    <w:rsid w:val="005C009B"/>
    <w:rsid w:val="005C206B"/>
    <w:rsid w:val="005D1432"/>
    <w:rsid w:val="005D164E"/>
    <w:rsid w:val="005D4230"/>
    <w:rsid w:val="005D726D"/>
    <w:rsid w:val="005E13AB"/>
    <w:rsid w:val="005E27E9"/>
    <w:rsid w:val="005E3F97"/>
    <w:rsid w:val="005F3C9F"/>
    <w:rsid w:val="005F4F8C"/>
    <w:rsid w:val="005F6036"/>
    <w:rsid w:val="0060189C"/>
    <w:rsid w:val="00603045"/>
    <w:rsid w:val="0060697F"/>
    <w:rsid w:val="00611165"/>
    <w:rsid w:val="0061249B"/>
    <w:rsid w:val="006137BA"/>
    <w:rsid w:val="00627A27"/>
    <w:rsid w:val="00631ADE"/>
    <w:rsid w:val="00633B40"/>
    <w:rsid w:val="00650050"/>
    <w:rsid w:val="00661AD3"/>
    <w:rsid w:val="006627EC"/>
    <w:rsid w:val="0066763D"/>
    <w:rsid w:val="00670328"/>
    <w:rsid w:val="00673DE2"/>
    <w:rsid w:val="0067506C"/>
    <w:rsid w:val="006819B8"/>
    <w:rsid w:val="00684B88"/>
    <w:rsid w:val="0068554A"/>
    <w:rsid w:val="00693425"/>
    <w:rsid w:val="006A0990"/>
    <w:rsid w:val="006A18D2"/>
    <w:rsid w:val="006A3722"/>
    <w:rsid w:val="006A4DF5"/>
    <w:rsid w:val="006A4F75"/>
    <w:rsid w:val="006B1EF4"/>
    <w:rsid w:val="006B5093"/>
    <w:rsid w:val="006B7D3B"/>
    <w:rsid w:val="006E5766"/>
    <w:rsid w:val="006E57A1"/>
    <w:rsid w:val="006E6E28"/>
    <w:rsid w:val="006F296C"/>
    <w:rsid w:val="006F2C90"/>
    <w:rsid w:val="006F4160"/>
    <w:rsid w:val="006F5CA7"/>
    <w:rsid w:val="0070406E"/>
    <w:rsid w:val="00712776"/>
    <w:rsid w:val="00723287"/>
    <w:rsid w:val="00732639"/>
    <w:rsid w:val="00732E9A"/>
    <w:rsid w:val="00733455"/>
    <w:rsid w:val="007375DD"/>
    <w:rsid w:val="007419DB"/>
    <w:rsid w:val="007464EE"/>
    <w:rsid w:val="007470C2"/>
    <w:rsid w:val="00753132"/>
    <w:rsid w:val="00757285"/>
    <w:rsid w:val="007647C3"/>
    <w:rsid w:val="00764DA3"/>
    <w:rsid w:val="00773F52"/>
    <w:rsid w:val="00775DE4"/>
    <w:rsid w:val="00780EE0"/>
    <w:rsid w:val="007815E1"/>
    <w:rsid w:val="0078179C"/>
    <w:rsid w:val="00786358"/>
    <w:rsid w:val="007873C4"/>
    <w:rsid w:val="007A3775"/>
    <w:rsid w:val="007A5219"/>
    <w:rsid w:val="007B1613"/>
    <w:rsid w:val="007C0C42"/>
    <w:rsid w:val="007C2618"/>
    <w:rsid w:val="007C2ACA"/>
    <w:rsid w:val="007C2CC3"/>
    <w:rsid w:val="007D4CA7"/>
    <w:rsid w:val="007D77B5"/>
    <w:rsid w:val="007E2C16"/>
    <w:rsid w:val="007F3B7A"/>
    <w:rsid w:val="007F3C03"/>
    <w:rsid w:val="007F6ADA"/>
    <w:rsid w:val="00801426"/>
    <w:rsid w:val="008065C9"/>
    <w:rsid w:val="00807DFB"/>
    <w:rsid w:val="008156FB"/>
    <w:rsid w:val="00823602"/>
    <w:rsid w:val="008248A6"/>
    <w:rsid w:val="00827351"/>
    <w:rsid w:val="00830231"/>
    <w:rsid w:val="0083408C"/>
    <w:rsid w:val="00844380"/>
    <w:rsid w:val="00844C69"/>
    <w:rsid w:val="0084619C"/>
    <w:rsid w:val="00857703"/>
    <w:rsid w:val="0089417E"/>
    <w:rsid w:val="008A115A"/>
    <w:rsid w:val="008B39A4"/>
    <w:rsid w:val="008B3B01"/>
    <w:rsid w:val="008B3D55"/>
    <w:rsid w:val="008C0ED6"/>
    <w:rsid w:val="008D3664"/>
    <w:rsid w:val="008D3911"/>
    <w:rsid w:val="008E051E"/>
    <w:rsid w:val="008E6D57"/>
    <w:rsid w:val="008F59A9"/>
    <w:rsid w:val="008F668E"/>
    <w:rsid w:val="008F758F"/>
    <w:rsid w:val="00902B13"/>
    <w:rsid w:val="00902D94"/>
    <w:rsid w:val="00917A9B"/>
    <w:rsid w:val="009249DF"/>
    <w:rsid w:val="0093337F"/>
    <w:rsid w:val="00940D5D"/>
    <w:rsid w:val="00952773"/>
    <w:rsid w:val="00953156"/>
    <w:rsid w:val="00955657"/>
    <w:rsid w:val="009578D2"/>
    <w:rsid w:val="009612A0"/>
    <w:rsid w:val="009644F5"/>
    <w:rsid w:val="00981D88"/>
    <w:rsid w:val="00983811"/>
    <w:rsid w:val="009839F4"/>
    <w:rsid w:val="00984650"/>
    <w:rsid w:val="009864D7"/>
    <w:rsid w:val="00987F6B"/>
    <w:rsid w:val="009919D3"/>
    <w:rsid w:val="009935AA"/>
    <w:rsid w:val="00993C75"/>
    <w:rsid w:val="00996DA2"/>
    <w:rsid w:val="009B2AF1"/>
    <w:rsid w:val="009B4307"/>
    <w:rsid w:val="009E00CA"/>
    <w:rsid w:val="009E112A"/>
    <w:rsid w:val="009E21F8"/>
    <w:rsid w:val="009E3797"/>
    <w:rsid w:val="009E3950"/>
    <w:rsid w:val="009E5041"/>
    <w:rsid w:val="009E670E"/>
    <w:rsid w:val="009E7111"/>
    <w:rsid w:val="009E7A48"/>
    <w:rsid w:val="00A11FBE"/>
    <w:rsid w:val="00A12B58"/>
    <w:rsid w:val="00A12CC6"/>
    <w:rsid w:val="00A247C7"/>
    <w:rsid w:val="00A2598F"/>
    <w:rsid w:val="00A26C7A"/>
    <w:rsid w:val="00A35C88"/>
    <w:rsid w:val="00A40BDC"/>
    <w:rsid w:val="00A568EC"/>
    <w:rsid w:val="00A648F8"/>
    <w:rsid w:val="00A67854"/>
    <w:rsid w:val="00A70638"/>
    <w:rsid w:val="00A7213F"/>
    <w:rsid w:val="00A81D3F"/>
    <w:rsid w:val="00A87CE4"/>
    <w:rsid w:val="00A91650"/>
    <w:rsid w:val="00AA1F76"/>
    <w:rsid w:val="00AA357D"/>
    <w:rsid w:val="00AA372E"/>
    <w:rsid w:val="00AA56F8"/>
    <w:rsid w:val="00AA5A01"/>
    <w:rsid w:val="00AA5FEB"/>
    <w:rsid w:val="00AA66ED"/>
    <w:rsid w:val="00AA6814"/>
    <w:rsid w:val="00AB38F3"/>
    <w:rsid w:val="00AB54BA"/>
    <w:rsid w:val="00AC5375"/>
    <w:rsid w:val="00AC78CF"/>
    <w:rsid w:val="00AD0323"/>
    <w:rsid w:val="00AD08C1"/>
    <w:rsid w:val="00AD0934"/>
    <w:rsid w:val="00AD1E74"/>
    <w:rsid w:val="00AD71F8"/>
    <w:rsid w:val="00AD7C3F"/>
    <w:rsid w:val="00AE5682"/>
    <w:rsid w:val="00AE65FE"/>
    <w:rsid w:val="00AF25EA"/>
    <w:rsid w:val="00B00FED"/>
    <w:rsid w:val="00B0536B"/>
    <w:rsid w:val="00B05831"/>
    <w:rsid w:val="00B070DA"/>
    <w:rsid w:val="00B1355A"/>
    <w:rsid w:val="00B13CB7"/>
    <w:rsid w:val="00B1579A"/>
    <w:rsid w:val="00B30F57"/>
    <w:rsid w:val="00B41AA3"/>
    <w:rsid w:val="00B4299A"/>
    <w:rsid w:val="00B44902"/>
    <w:rsid w:val="00B44D1B"/>
    <w:rsid w:val="00B4616E"/>
    <w:rsid w:val="00B52991"/>
    <w:rsid w:val="00B52DA8"/>
    <w:rsid w:val="00B62527"/>
    <w:rsid w:val="00B70899"/>
    <w:rsid w:val="00B74884"/>
    <w:rsid w:val="00B74F77"/>
    <w:rsid w:val="00B805B6"/>
    <w:rsid w:val="00B80794"/>
    <w:rsid w:val="00B8113A"/>
    <w:rsid w:val="00B90EB2"/>
    <w:rsid w:val="00B95E4A"/>
    <w:rsid w:val="00B97E4E"/>
    <w:rsid w:val="00BA2D17"/>
    <w:rsid w:val="00BA476F"/>
    <w:rsid w:val="00BA61DC"/>
    <w:rsid w:val="00BA7630"/>
    <w:rsid w:val="00BB03B5"/>
    <w:rsid w:val="00BC3378"/>
    <w:rsid w:val="00BC4612"/>
    <w:rsid w:val="00BC746A"/>
    <w:rsid w:val="00BD3029"/>
    <w:rsid w:val="00BD3FF4"/>
    <w:rsid w:val="00BD43CD"/>
    <w:rsid w:val="00BE0ECF"/>
    <w:rsid w:val="00BE563A"/>
    <w:rsid w:val="00BF2AAF"/>
    <w:rsid w:val="00BF38B6"/>
    <w:rsid w:val="00BF4DA3"/>
    <w:rsid w:val="00C0256F"/>
    <w:rsid w:val="00C040C2"/>
    <w:rsid w:val="00C10020"/>
    <w:rsid w:val="00C11185"/>
    <w:rsid w:val="00C14E0A"/>
    <w:rsid w:val="00C23D56"/>
    <w:rsid w:val="00C331CF"/>
    <w:rsid w:val="00C35363"/>
    <w:rsid w:val="00C36DE5"/>
    <w:rsid w:val="00C42E5A"/>
    <w:rsid w:val="00C4580C"/>
    <w:rsid w:val="00C47601"/>
    <w:rsid w:val="00C53F62"/>
    <w:rsid w:val="00C63159"/>
    <w:rsid w:val="00C72239"/>
    <w:rsid w:val="00C81B3C"/>
    <w:rsid w:val="00C86ABE"/>
    <w:rsid w:val="00C87C82"/>
    <w:rsid w:val="00C918A9"/>
    <w:rsid w:val="00CB1C75"/>
    <w:rsid w:val="00CB2D37"/>
    <w:rsid w:val="00CC0333"/>
    <w:rsid w:val="00CD567F"/>
    <w:rsid w:val="00CE60D5"/>
    <w:rsid w:val="00CF63E0"/>
    <w:rsid w:val="00CF6F4B"/>
    <w:rsid w:val="00D16A31"/>
    <w:rsid w:val="00D21E0A"/>
    <w:rsid w:val="00D268C2"/>
    <w:rsid w:val="00D31C2C"/>
    <w:rsid w:val="00D426F0"/>
    <w:rsid w:val="00D45B83"/>
    <w:rsid w:val="00D52FE0"/>
    <w:rsid w:val="00D53032"/>
    <w:rsid w:val="00D654CF"/>
    <w:rsid w:val="00D730CA"/>
    <w:rsid w:val="00D829CB"/>
    <w:rsid w:val="00D833DA"/>
    <w:rsid w:val="00D83478"/>
    <w:rsid w:val="00D90098"/>
    <w:rsid w:val="00D919D0"/>
    <w:rsid w:val="00DA0CDA"/>
    <w:rsid w:val="00DA353E"/>
    <w:rsid w:val="00DA79C6"/>
    <w:rsid w:val="00DB596A"/>
    <w:rsid w:val="00DD5B1A"/>
    <w:rsid w:val="00DD7F31"/>
    <w:rsid w:val="00DE3911"/>
    <w:rsid w:val="00DE4185"/>
    <w:rsid w:val="00DE609D"/>
    <w:rsid w:val="00DE69D5"/>
    <w:rsid w:val="00DF4856"/>
    <w:rsid w:val="00DF765D"/>
    <w:rsid w:val="00E0251C"/>
    <w:rsid w:val="00E12943"/>
    <w:rsid w:val="00E24165"/>
    <w:rsid w:val="00E2719B"/>
    <w:rsid w:val="00E34D75"/>
    <w:rsid w:val="00E36B7F"/>
    <w:rsid w:val="00E40054"/>
    <w:rsid w:val="00E4052A"/>
    <w:rsid w:val="00E421C7"/>
    <w:rsid w:val="00E4487E"/>
    <w:rsid w:val="00E470A7"/>
    <w:rsid w:val="00E5438D"/>
    <w:rsid w:val="00E655ED"/>
    <w:rsid w:val="00E67A34"/>
    <w:rsid w:val="00E734DA"/>
    <w:rsid w:val="00E74CC3"/>
    <w:rsid w:val="00E952DC"/>
    <w:rsid w:val="00E975DB"/>
    <w:rsid w:val="00E97B40"/>
    <w:rsid w:val="00E97CC5"/>
    <w:rsid w:val="00EA5525"/>
    <w:rsid w:val="00EB6537"/>
    <w:rsid w:val="00EC2390"/>
    <w:rsid w:val="00ED096C"/>
    <w:rsid w:val="00EE41B0"/>
    <w:rsid w:val="00EF0965"/>
    <w:rsid w:val="00EF1445"/>
    <w:rsid w:val="00EF43D3"/>
    <w:rsid w:val="00F33766"/>
    <w:rsid w:val="00F476F0"/>
    <w:rsid w:val="00F5116C"/>
    <w:rsid w:val="00F52248"/>
    <w:rsid w:val="00F523D9"/>
    <w:rsid w:val="00F55978"/>
    <w:rsid w:val="00F6031F"/>
    <w:rsid w:val="00F752DA"/>
    <w:rsid w:val="00F768DC"/>
    <w:rsid w:val="00F823D8"/>
    <w:rsid w:val="00F8747E"/>
    <w:rsid w:val="00F925E9"/>
    <w:rsid w:val="00F95ADF"/>
    <w:rsid w:val="00F96C9C"/>
    <w:rsid w:val="00F9790A"/>
    <w:rsid w:val="00FA3FCD"/>
    <w:rsid w:val="00FA3FEC"/>
    <w:rsid w:val="00FA53F1"/>
    <w:rsid w:val="00FA7BCD"/>
    <w:rsid w:val="00FB0D65"/>
    <w:rsid w:val="00FB699A"/>
    <w:rsid w:val="00FB7A7C"/>
    <w:rsid w:val="00FB7E80"/>
    <w:rsid w:val="00FC5E6A"/>
    <w:rsid w:val="00FE10E0"/>
    <w:rsid w:val="00FF1B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7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732639"/>
    <w:rPr>
      <w:color w:val="808080"/>
    </w:rPr>
  </w:style>
  <w:style w:type="paragraph" w:styleId="Revisie">
    <w:name w:val="Revision"/>
    <w:hidden/>
    <w:uiPriority w:val="99"/>
    <w:semiHidden/>
    <w:rsid w:val="000675DE"/>
    <w:rPr>
      <w:rFonts w:ascii="Univers" w:hAnsi="Univers"/>
      <w:sz w:val="22"/>
      <w:szCs w:val="24"/>
    </w:rPr>
  </w:style>
  <w:style w:type="paragraph" w:styleId="Voetnoottekst">
    <w:name w:val="footnote text"/>
    <w:basedOn w:val="Standaard"/>
    <w:link w:val="VoetnoottekstChar"/>
    <w:uiPriority w:val="99"/>
    <w:semiHidden/>
    <w:unhideWhenUsed/>
    <w:rsid w:val="007A5219"/>
    <w:rPr>
      <w:sz w:val="20"/>
      <w:szCs w:val="20"/>
    </w:rPr>
  </w:style>
  <w:style w:type="character" w:customStyle="1" w:styleId="VoetnoottekstChar">
    <w:name w:val="Voetnoottekst Char"/>
    <w:basedOn w:val="Standaardalinea-lettertype"/>
    <w:link w:val="Voetnoottekst"/>
    <w:uiPriority w:val="99"/>
    <w:semiHidden/>
    <w:rsid w:val="007A5219"/>
    <w:rPr>
      <w:rFonts w:ascii="Univers" w:hAnsi="Univers"/>
    </w:rPr>
  </w:style>
  <w:style w:type="character" w:styleId="Voetnootmarkering">
    <w:name w:val="footnote reference"/>
    <w:basedOn w:val="Standaardalinea-lettertype"/>
    <w:uiPriority w:val="99"/>
    <w:semiHidden/>
    <w:unhideWhenUsed/>
    <w:rsid w:val="007A5219"/>
    <w:rPr>
      <w:vertAlign w:val="superscript"/>
    </w:rPr>
  </w:style>
  <w:style w:type="character" w:styleId="Verwijzingopmerking">
    <w:name w:val="annotation reference"/>
    <w:basedOn w:val="Standaardalinea-lettertype"/>
    <w:uiPriority w:val="99"/>
    <w:semiHidden/>
    <w:unhideWhenUsed/>
    <w:rsid w:val="00116832"/>
    <w:rPr>
      <w:sz w:val="16"/>
      <w:szCs w:val="16"/>
    </w:rPr>
  </w:style>
  <w:style w:type="paragraph" w:styleId="Tekstopmerking">
    <w:name w:val="annotation text"/>
    <w:basedOn w:val="Standaard"/>
    <w:link w:val="TekstopmerkingChar"/>
    <w:uiPriority w:val="99"/>
    <w:unhideWhenUsed/>
    <w:rsid w:val="00116832"/>
    <w:rPr>
      <w:sz w:val="20"/>
      <w:szCs w:val="20"/>
    </w:rPr>
  </w:style>
  <w:style w:type="character" w:customStyle="1" w:styleId="TekstopmerkingChar">
    <w:name w:val="Tekst opmerking Char"/>
    <w:basedOn w:val="Standaardalinea-lettertype"/>
    <w:link w:val="Tekstopmerking"/>
    <w:uiPriority w:val="99"/>
    <w:rsid w:val="00116832"/>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116832"/>
    <w:rPr>
      <w:b/>
      <w:bCs/>
    </w:rPr>
  </w:style>
  <w:style w:type="character" w:customStyle="1" w:styleId="OnderwerpvanopmerkingChar">
    <w:name w:val="Onderwerp van opmerking Char"/>
    <w:basedOn w:val="TekstopmerkingChar"/>
    <w:link w:val="Onderwerpvanopmerking"/>
    <w:uiPriority w:val="99"/>
    <w:semiHidden/>
    <w:rsid w:val="00116832"/>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28782972-9BF2-4B5E-A15E-B51811AC844C}"/>
      </w:docPartPr>
      <w:docPartBody>
        <w:p w:rsidR="00D967DD" w:rsidRDefault="00D967DD">
          <w:r w:rsidRPr="004E2521">
            <w:rPr>
              <w:rStyle w:val="Tekstvantijdelijkeaanduiding"/>
            </w:rPr>
            <w:t>Klik of tik om tekst in te voeren.</w:t>
          </w:r>
        </w:p>
      </w:docPartBody>
    </w:docPart>
    <w:docPart>
      <w:docPartPr>
        <w:name w:val="9B6544E85A544B6EB70B692660C8DA98"/>
        <w:category>
          <w:name w:val="Algemeen"/>
          <w:gallery w:val="placeholder"/>
        </w:category>
        <w:types>
          <w:type w:val="bbPlcHdr"/>
        </w:types>
        <w:behaviors>
          <w:behavior w:val="content"/>
        </w:behaviors>
        <w:guid w:val="{D178D213-7D74-48C8-B0BB-B9DA0DE3F607}"/>
      </w:docPartPr>
      <w:docPartBody>
        <w:p w:rsidR="00AE5B08" w:rsidRDefault="00AE5B08">
          <w:pPr>
            <w:pStyle w:val="9B6544E85A544B6EB70B692660C8DA98"/>
          </w:pPr>
          <w:r w:rsidRPr="005B5AA4">
            <w:rPr>
              <w:rStyle w:val="Tekstvantijdelijkeaanduiding"/>
            </w:rPr>
            <w:t>Klik of tik om tekst in te voeren.</w:t>
          </w:r>
        </w:p>
      </w:docPartBody>
    </w:docPart>
    <w:docPart>
      <w:docPartPr>
        <w:name w:val="EF48712D4F5E4B35981054F4E71CC0CB"/>
        <w:category>
          <w:name w:val="Algemeen"/>
          <w:gallery w:val="placeholder"/>
        </w:category>
        <w:types>
          <w:type w:val="bbPlcHdr"/>
        </w:types>
        <w:behaviors>
          <w:behavior w:val="content"/>
        </w:behaviors>
        <w:guid w:val="{846FAF6F-8417-4E2A-B9FA-FB252B6EF66A}"/>
      </w:docPartPr>
      <w:docPartBody>
        <w:p w:rsidR="00AE5B08" w:rsidRDefault="00AE5B08" w:rsidP="00AE5B08">
          <w:pPr>
            <w:pStyle w:val="EF48712D4F5E4B35981054F4E71CC0CB"/>
          </w:pPr>
          <w:r>
            <w:t>Het wetsvoorstel is een verzamelwet en beoogt wetten op het terrein van Justitie en Veiligheid te zuiveren van wetstechnische en redactionele vergissingen en verschrijvingen, aldus de toelichting.</w:t>
          </w:r>
          <w:r>
            <w:rPr>
              <w:rStyle w:val="Voetnootmarkering"/>
            </w:rPr>
            <w:footnoteReference w:id="1"/>
          </w:r>
          <w:r>
            <w:t xml:space="preserve"> Daarnaast voorziet het voorstel in een aantal beperkt inhoudelijke wijzigingen, aldus de toelichting.</w:t>
          </w:r>
          <w:r>
            <w:br/>
          </w:r>
          <w:r>
            <w:br/>
            <w:t>De Afdeling advisering van de Raad van State  heeft over één onderdeel van de voorgestelde verzamelwet enkele opmerkingen, te weten een wijziging van de Wet forensische zorg. De voorgestelde wijziging raakt  de verwerking van persoonsgegevens ten behoeve van het treffen van voorbereidingen voor zogeheten (op de forensische zorg zelf) aansluitende zorg.</w:t>
          </w:r>
          <w:r>
            <w:rPr>
              <w:rStyle w:val="Voetnootmarkering"/>
            </w:rPr>
            <w:footnoteReference w:id="2"/>
          </w:r>
          <w:r>
            <w:t xml:space="preserve"> De Afdeling adviseert dit onderwerp niet te regelen in het voorliggende wetsvoorstel, aangezien het een verdergaande, meer dan ’beperkte’ inhoudelijke afweging van de wetgever vereist en daarom niet past bij het karakter van een verzamelwet. In verband daarmee is aanpassing van het wetsvoorstel op dit onderdeel wenselijk.</w:t>
          </w:r>
          <w:r>
            <w:br/>
          </w:r>
          <w:r>
            <w:br/>
            <w:t xml:space="preserve">De Wet forensische zorg (Wfz) verplicht de zorgaanbieder zes weken voor afloop van een justitiële titel </w:t>
          </w:r>
          <w:r w:rsidRPr="00D041FD">
            <w:t>voorbereidingen te treffen voor aansluitende zorg</w:t>
          </w:r>
          <w:r>
            <w:t>, indien de zorgverlener of behandelaar van oordeel is dat na afloop van de strafrechtelijke titel verdere zorg nodig is.</w:t>
          </w:r>
          <w:r>
            <w:rPr>
              <w:rStyle w:val="Voetnootmarkering"/>
            </w:rPr>
            <w:footnoteReference w:id="3"/>
          </w:r>
          <w:r>
            <w:t xml:space="preserve"> </w:t>
          </w:r>
          <w:r w:rsidRPr="004C632E">
            <w:t xml:space="preserve">Indien de vervolgzorg </w:t>
          </w:r>
          <w:r>
            <w:t>vrijwillig is</w:t>
          </w:r>
          <w:r w:rsidRPr="004C632E">
            <w:t xml:space="preserve">, zal de forensisch patiënt doorgaans zijn toestemming geven voor het verwerken van de hem betreffende persoonsgegevens. De toestemming van de forensisch patiënt is voor de zorgaanbieder een grondslag voor het verwerken van de persoonsgegevens. Indien de vervolgzorg </w:t>
          </w:r>
          <w:r>
            <w:t>verplicht is</w:t>
          </w:r>
          <w:r w:rsidRPr="004C632E">
            <w:t>, zal doorgaans geen sprake zijn van de toestemming van de forensisch patiënt.</w:t>
          </w:r>
          <w:r>
            <w:t xml:space="preserve"> Het voorgestelde artikel regelt dat de zorgaanbieder persoonsgegevens verwerkt, met inbegrip van (bijzondere) persoonsgegevens over gezondheid of persoonsgegevens van strafrechtelijke aard, ten behoeve van het treffen van voorbereidingen voor aansluitende zorg.</w:t>
          </w:r>
          <w:r>
            <w:rPr>
              <w:rStyle w:val="Voetnootmarkering"/>
            </w:rPr>
            <w:footnoteReference w:id="4"/>
          </w:r>
          <w:r>
            <w:br/>
          </w:r>
          <w:r>
            <w:br/>
            <w:t>De Afdeling merkt op dat de verwerking van (bijzondere) persoonsgegevens een inmenging op de persoonlijke levenssfeer van betrokkene in de zin van artikel 10 van de Grondwet vormt en hiervoor een grondslag in een wet in formele zin is vereist. De inmenging op de persoonlijke levenssfeer die de voorgestelde wettelijke bepaling met zich meebrengt, vereist een dragende motivering en een nadere afweging die zich niet verhouden tot het karakter van een verzamelwet.</w:t>
          </w:r>
          <w:r>
            <w:rPr>
              <w:rStyle w:val="Voetnootmarkering"/>
            </w:rPr>
            <w:footnoteReference w:id="5"/>
          </w:r>
          <w:r>
            <w:t xml:space="preserve"> De Afdeling adviseert daarom het onderdeel inzake de verwerking van persoonsgegevens ten behoeve van het treffen van voorbereidingen voor aansluitende zorg uit het wetsvoorstel te halen.</w:t>
          </w:r>
          <w:r>
            <w:br/>
          </w:r>
          <w:r>
            <w:br/>
            <w:t>Onverminderd het voorgaande wijst de Afdeling nog op het volgende. Voor zowel de verwerking van persoonsgegevens betreffende de gezondheid als persoonsgegevens van strafrechtelijke aard, geldt dat dit in beginsel verboden is, tenzij er sprake is van een wettelijke uitzondering.</w:t>
          </w:r>
          <w:r>
            <w:rPr>
              <w:rStyle w:val="Voetnootmarkering"/>
            </w:rPr>
            <w:footnoteReference w:id="6"/>
          </w:r>
          <w:r>
            <w:t xml:space="preserve"> Indien de voorgestelde regeling in een separaat wetsvoorstel wordt opgenomen, dient duidelijk gemaakt te worden wat de grondslag voor de verwerking van de persoonsgegevens is en om welke wettelijke uitzonderingen het gaat, zodat helder is welke rechtvaardiging men voor ogen heeft voor de verwerking van persoonsgegevens. Tevens dient kenbaar gemaakt te worden welke passende waarborgen bij strafrechtelijke gegevens en welke passende en specifieke maatregelen bij bijzondere persoonsgegevens er worden genomen om de rechten en vrijheden van de betrokkene te beschermen.</w:t>
          </w:r>
          <w:r>
            <w:rPr>
              <w:rStyle w:val="Voetnootmarkering"/>
            </w:rPr>
            <w:footnoteReference w:id="7"/>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55C" w:rsidRDefault="00F5055C" w:rsidP="00AE5B08">
      <w:pPr>
        <w:spacing w:after="0" w:line="240" w:lineRule="auto"/>
      </w:pPr>
      <w:r>
        <w:separator/>
      </w:r>
    </w:p>
  </w:endnote>
  <w:endnote w:type="continuationSeparator" w:id="0">
    <w:p w:rsidR="00F5055C" w:rsidRDefault="00F5055C" w:rsidP="00AE5B08">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55C" w:rsidRDefault="00F5055C" w:rsidP="00AE5B08">
      <w:pPr>
        <w:spacing w:after="0" w:line="240" w:lineRule="auto"/>
      </w:pPr>
      <w:r>
        <w:separator/>
      </w:r>
    </w:p>
  </w:footnote>
  <w:footnote w:type="continuationSeparator" w:id="0">
    <w:p w:rsidR="00F5055C" w:rsidRDefault="00F5055C" w:rsidP="00AE5B08">
      <w:pPr>
        <w:spacing w:after="0" w:line="240" w:lineRule="auto"/>
      </w:pPr>
      <w:r>
        <w:continuationSeparator/>
      </w:r>
    </w:p>
  </w:footnote>
  <w:footnote w:id="1">
    <w:p w:rsidR="00AE5B08" w:rsidRDefault="00AE5B08" w:rsidP="00BD3029">
      <w:pPr>
        <w:pStyle w:val="Voetnoottekst"/>
      </w:pPr>
      <w:r>
        <w:rPr>
          <w:rStyle w:val="Voetnootmarkering"/>
        </w:rPr>
        <w:footnoteRef/>
      </w:r>
      <w:r>
        <w:t xml:space="preserve"> Memorie van toelichting, algemeen deel, paragraaf 1.</w:t>
      </w:r>
    </w:p>
  </w:footnote>
  <w:footnote w:id="2">
    <w:p w:rsidR="00AE5B08" w:rsidRDefault="00AE5B08" w:rsidP="00BD3029">
      <w:pPr>
        <w:pStyle w:val="Voetnoottekst"/>
      </w:pPr>
      <w:r>
        <w:rPr>
          <w:rStyle w:val="Voetnootmarkering"/>
        </w:rPr>
        <w:footnoteRef/>
      </w:r>
      <w:r>
        <w:t xml:space="preserve"> </w:t>
      </w:r>
      <w:r w:rsidRPr="00786358">
        <w:t>Artikel XXII</w:t>
      </w:r>
      <w:r>
        <w:t xml:space="preserve"> van het voorstel.</w:t>
      </w:r>
    </w:p>
  </w:footnote>
  <w:footnote w:id="3">
    <w:p w:rsidR="00AE5B08" w:rsidRDefault="00AE5B08" w:rsidP="00BD3029">
      <w:pPr>
        <w:pStyle w:val="Voetnoottekst"/>
      </w:pPr>
      <w:r>
        <w:rPr>
          <w:rStyle w:val="Voetnootmarkering"/>
        </w:rPr>
        <w:footnoteRef/>
      </w:r>
      <w:r>
        <w:t xml:space="preserve"> Artikel 2.5 Wfz.</w:t>
      </w:r>
    </w:p>
  </w:footnote>
  <w:footnote w:id="4">
    <w:p w:rsidR="00AE5B08" w:rsidRDefault="00AE5B08" w:rsidP="00BD3029">
      <w:pPr>
        <w:pStyle w:val="Voetnoottekst"/>
      </w:pPr>
      <w:r>
        <w:rPr>
          <w:rStyle w:val="Voetnootmarkering"/>
        </w:rPr>
        <w:footnoteRef/>
      </w:r>
      <w:r>
        <w:t xml:space="preserve"> Memorie van toelichting, artikelsgewijs deel, artikel XXII.</w:t>
      </w:r>
    </w:p>
  </w:footnote>
  <w:footnote w:id="5">
    <w:p w:rsidR="00AE5B08" w:rsidRDefault="00AE5B08" w:rsidP="00BD3029">
      <w:pPr>
        <w:pStyle w:val="Voetnoottekst"/>
      </w:pPr>
      <w:r>
        <w:rPr>
          <w:rStyle w:val="Voetnootmarkering"/>
        </w:rPr>
        <w:footnoteRef/>
      </w:r>
      <w:r>
        <w:t xml:space="preserve"> Advies van de Afdeling advisering van de Raad van State van 7 september 2023 over de Reparatiewet OCW, (W05.23.00138/I).</w:t>
      </w:r>
    </w:p>
  </w:footnote>
  <w:footnote w:id="6">
    <w:p w:rsidR="00AE5B08" w:rsidRDefault="00AE5B08" w:rsidP="00BD3029">
      <w:pPr>
        <w:pStyle w:val="Voetnoottekst"/>
      </w:pPr>
      <w:r>
        <w:rPr>
          <w:rStyle w:val="Voetnootmarkering"/>
        </w:rPr>
        <w:footnoteRef/>
      </w:r>
      <w:r>
        <w:t xml:space="preserve"> A</w:t>
      </w:r>
      <w:r w:rsidRPr="004C6C17">
        <w:t>rtikel 9 AVG; artikel 10 AVG</w:t>
      </w:r>
      <w:r>
        <w:t>.</w:t>
      </w:r>
    </w:p>
  </w:footnote>
  <w:footnote w:id="7">
    <w:p w:rsidR="00AE5B08" w:rsidRDefault="00AE5B08" w:rsidP="00BD3029">
      <w:pPr>
        <w:pStyle w:val="Voetnoottekst"/>
      </w:pPr>
      <w:r>
        <w:rPr>
          <w:rStyle w:val="Voetnootmarkering"/>
        </w:rPr>
        <w:footnoteRef/>
      </w:r>
      <w:r>
        <w:t xml:space="preserve"> Artikel 10 AVG voor strafrechtelijke persoonsgegevens; artikel 9, tweede lid, AVG voor bijzondere persoonsgegevens. Aangezien deze passende (en specifieke) waarborgen zien op de bescherming van het recht op bescherming van de persoonlijke levenssfeer zoals vervat in artikel 10 van de Grondwet, ligt het in de rede dat in dergelijke waarborgen wordt voorzien op het niveau van de wet in formele zin.</w:t>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7DD"/>
    <w:rsid w:val="000631C7"/>
    <w:rsid w:val="000A359B"/>
    <w:rsid w:val="00341D25"/>
    <w:rsid w:val="00530B2A"/>
    <w:rsid w:val="00661382"/>
    <w:rsid w:val="008C111F"/>
    <w:rsid w:val="009824C5"/>
    <w:rsid w:val="00AE5B08"/>
    <w:rsid w:val="00D37CC9"/>
    <w:rsid w:val="00D967DD"/>
    <w:rsid w:val="00F505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57FB2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30B2A"/>
    <w:rPr>
      <w:color w:val="808080"/>
    </w:rPr>
  </w:style>
  <w:style w:type="paragraph" w:customStyle="1" w:styleId="B77C3E116586489D915D239DC1E94CE5">
    <w:name w:val="B77C3E116586489D915D239DC1E94CE5"/>
  </w:style>
  <w:style w:type="paragraph" w:customStyle="1" w:styleId="9B6544E85A544B6EB70B692660C8DA98">
    <w:name w:val="9B6544E85A544B6EB70B692660C8DA98"/>
  </w:style>
  <w:style w:type="paragraph" w:styleId="Voetnoottekst">
    <w:name w:val="footnote text"/>
    <w:basedOn w:val="Standaard"/>
    <w:link w:val="VoetnoottekstChar"/>
    <w:uiPriority w:val="99"/>
    <w:semiHidden/>
    <w:unhideWhenUsed/>
    <w:rsid w:val="00AE5B08"/>
    <w:pPr>
      <w:spacing w:after="0" w:line="240" w:lineRule="auto"/>
    </w:pPr>
    <w:rPr>
      <w:rFonts w:ascii="Univers" w:eastAsia="Times New Roman" w:hAnsi="Univers"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AE5B08"/>
    <w:rPr>
      <w:rFonts w:ascii="Univers" w:eastAsia="Times New Roman" w:hAnsi="Univers" w:cs="Times New Roman"/>
      <w:kern w:val="0"/>
      <w:sz w:val="20"/>
      <w:szCs w:val="20"/>
      <w14:ligatures w14:val="none"/>
    </w:rPr>
  </w:style>
  <w:style w:type="character" w:styleId="Voetnootmarkering">
    <w:name w:val="footnote reference"/>
    <w:basedOn w:val="Standaardalinea-lettertype"/>
    <w:uiPriority w:val="99"/>
    <w:semiHidden/>
    <w:unhideWhenUsed/>
    <w:rsid w:val="00AE5B08"/>
    <w:rPr>
      <w:vertAlign w:val="superscript"/>
    </w:rPr>
  </w:style>
  <w:style w:type="paragraph" w:customStyle="1" w:styleId="EF48712D4F5E4B35981054F4E71CC0CB">
    <w:name w:val="EF48712D4F5E4B35981054F4E71CC0CB"/>
    <w:rsid w:val="00AE5B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651</ap:Words>
  <ap:Characters>3581</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2024-10-22T09:01:00.0000000Z</dcterms:created>
  <dcterms:modified xsi:type="dcterms:W3CDTF">2024-10-22T09:01:00.0000000Z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W16.24.00107/II</vt:lpwstr>
  </property>
  <property fmtid="{D5CDD505-2E9C-101B-9397-08002B2CF9AE}" pid="5" name="zaaktype">
    <vt:lpwstr>WET</vt:lpwstr>
  </property>
  <property fmtid="{D5CDD505-2E9C-101B-9397-08002B2CF9AE}" pid="6" name="ContentTypeId">
    <vt:lpwstr>0x010100FA5A77795FEADA4EA51227303613444600637022A06E0ED847A3AE606947E8D1E0</vt:lpwstr>
  </property>
  <property fmtid="{D5CDD505-2E9C-101B-9397-08002B2CF9AE}" pid="7" name="Bestemming">
    <vt:lpwstr>2;#Corsa|a7721b99-8166-4953-a37e-7c8574fb4b8b</vt:lpwstr>
  </property>
  <property fmtid="{D5CDD505-2E9C-101B-9397-08002B2CF9AE}" pid="8" name="_dlc_DocIdItemGuid">
    <vt:lpwstr>0c90d899-f570-43ad-9591-84d607cb7c74</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