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45CD" w:rsidR="00A81C4F" w:rsidP="00A45E04" w:rsidRDefault="00A81C4F" w14:paraId="6735063C" w14:textId="32D85798">
      <w:pPr>
        <w:spacing w:line="276" w:lineRule="auto"/>
        <w:rPr>
          <w:b/>
          <w:szCs w:val="18"/>
          <w:lang w:val="nl-NL"/>
        </w:rPr>
      </w:pPr>
      <w:r>
        <w:rPr>
          <w:b/>
          <w:szCs w:val="18"/>
          <w:lang w:val="nl-NL"/>
        </w:rPr>
        <w:t xml:space="preserve">VERSLAG RAAD ALGEMENE ZAKEN VAN </w:t>
      </w:r>
      <w:r w:rsidR="00D92E56">
        <w:rPr>
          <w:b/>
          <w:szCs w:val="18"/>
          <w:lang w:val="nl-NL"/>
        </w:rPr>
        <w:t xml:space="preserve">15 </w:t>
      </w:r>
      <w:r w:rsidR="007A03B6">
        <w:rPr>
          <w:b/>
          <w:szCs w:val="18"/>
          <w:lang w:val="nl-NL"/>
        </w:rPr>
        <w:t>OKTOBER</w:t>
      </w:r>
      <w:r w:rsidR="00D92E56">
        <w:rPr>
          <w:b/>
          <w:szCs w:val="18"/>
          <w:lang w:val="nl-NL"/>
        </w:rPr>
        <w:t xml:space="preserve"> 2024</w:t>
      </w:r>
      <w:r>
        <w:rPr>
          <w:b/>
          <w:szCs w:val="18"/>
          <w:lang w:val="nl-NL"/>
        </w:rPr>
        <w:t xml:space="preserve"> </w:t>
      </w:r>
      <w:r w:rsidR="008B45CD">
        <w:rPr>
          <w:b/>
          <w:szCs w:val="18"/>
          <w:lang w:val="nl-NL"/>
        </w:rPr>
        <w:br/>
      </w:r>
      <w:r w:rsidRPr="008B45CD" w:rsidR="008B45CD">
        <w:rPr>
          <w:bCs/>
          <w:szCs w:val="18"/>
          <w:lang w:val="nl-NL"/>
        </w:rPr>
        <w:t xml:space="preserve">Op 15 oktober jl. vond </w:t>
      </w:r>
      <w:r w:rsidRPr="008B45CD" w:rsidR="008B45CD">
        <w:rPr>
          <w:lang w:val="nl-NL"/>
        </w:rPr>
        <w:t xml:space="preserve">de Raad Algemene Zaken plaats in Luxemburg. </w:t>
      </w:r>
      <w:r w:rsidR="008B45CD">
        <w:rPr>
          <w:lang w:val="nl-NL"/>
        </w:rPr>
        <w:t>De Raad</w:t>
      </w:r>
      <w:r w:rsidRPr="008B45CD" w:rsidR="008B45CD">
        <w:rPr>
          <w:lang w:val="nl-NL"/>
        </w:rPr>
        <w:t xml:space="preserve"> </w:t>
      </w:r>
      <w:r w:rsidR="008B45CD">
        <w:rPr>
          <w:lang w:val="nl-NL"/>
        </w:rPr>
        <w:t xml:space="preserve">sprak over </w:t>
      </w:r>
      <w:r w:rsidRPr="008B45CD" w:rsidR="008B45CD">
        <w:rPr>
          <w:lang w:val="nl-NL"/>
        </w:rPr>
        <w:t xml:space="preserve">de voorbereiding van de Europese Raad </w:t>
      </w:r>
      <w:r w:rsidR="00724DC5">
        <w:rPr>
          <w:lang w:val="nl-NL"/>
        </w:rPr>
        <w:t xml:space="preserve">(ER) </w:t>
      </w:r>
      <w:r w:rsidRPr="008B45CD" w:rsidR="008B45CD">
        <w:rPr>
          <w:lang w:val="nl-NL"/>
        </w:rPr>
        <w:t xml:space="preserve">van 17 en 18 oktober a.s., </w:t>
      </w:r>
      <w:r w:rsidR="00720037">
        <w:rPr>
          <w:lang w:val="nl-NL"/>
        </w:rPr>
        <w:t xml:space="preserve">over de </w:t>
      </w:r>
      <w:r w:rsidRPr="008B45CD" w:rsidR="008B45CD">
        <w:rPr>
          <w:lang w:val="nl-NL"/>
        </w:rPr>
        <w:t xml:space="preserve">verklaring over het bevorderen van Joods leven en het bestrijden van antisemitisme, </w:t>
      </w:r>
      <w:r w:rsidR="00720037">
        <w:rPr>
          <w:lang w:val="nl-NL"/>
        </w:rPr>
        <w:t xml:space="preserve">de </w:t>
      </w:r>
      <w:r w:rsidRPr="008B45CD" w:rsidR="008B45CD">
        <w:rPr>
          <w:lang w:val="nl-NL"/>
        </w:rPr>
        <w:t>EU-Zwitserland-</w:t>
      </w:r>
      <w:r w:rsidR="00EF038B">
        <w:rPr>
          <w:lang w:val="nl-NL"/>
        </w:rPr>
        <w:t>betrekkingen</w:t>
      </w:r>
      <w:r w:rsidRPr="008B45CD" w:rsidR="008B45CD">
        <w:rPr>
          <w:lang w:val="nl-NL"/>
        </w:rPr>
        <w:t xml:space="preserve">, en het Europees Semester. </w:t>
      </w:r>
      <w:r w:rsidR="008B45CD">
        <w:rPr>
          <w:lang w:val="nl-NL"/>
        </w:rPr>
        <w:t xml:space="preserve">Onder </w:t>
      </w:r>
      <w:r w:rsidR="008475AD">
        <w:rPr>
          <w:lang w:val="nl-NL"/>
        </w:rPr>
        <w:t>overige punten</w:t>
      </w:r>
      <w:r w:rsidR="008B45CD">
        <w:rPr>
          <w:lang w:val="nl-NL"/>
        </w:rPr>
        <w:t xml:space="preserve"> stond de Raad stil bij</w:t>
      </w:r>
      <w:r w:rsidRPr="008B45CD" w:rsidR="008B45CD">
        <w:rPr>
          <w:lang w:val="nl-NL"/>
        </w:rPr>
        <w:t xml:space="preserve"> de verkiezingen in Georgië, de follow-up van de verkiezing van het Europees Parlement en de EU-VK</w:t>
      </w:r>
      <w:r w:rsidR="000C16CD">
        <w:rPr>
          <w:lang w:val="nl-NL"/>
        </w:rPr>
        <w:t>-</w:t>
      </w:r>
      <w:r w:rsidRPr="008B45CD" w:rsidR="008B45CD">
        <w:rPr>
          <w:lang w:val="nl-NL"/>
        </w:rPr>
        <w:t>relatie. Tevens v</w:t>
      </w:r>
      <w:r w:rsidR="008B45CD">
        <w:rPr>
          <w:lang w:val="nl-NL"/>
        </w:rPr>
        <w:t>ond</w:t>
      </w:r>
      <w:r w:rsidRPr="008B45CD" w:rsidR="008B45CD">
        <w:rPr>
          <w:lang w:val="nl-NL"/>
        </w:rPr>
        <w:t xml:space="preserve"> en marge van de Raad een Intergouvernementele Conferentie </w:t>
      </w:r>
      <w:r w:rsidR="008A4FE4">
        <w:rPr>
          <w:lang w:val="nl-NL"/>
        </w:rPr>
        <w:t>(IGC)</w:t>
      </w:r>
      <w:r w:rsidRPr="008B45CD" w:rsidR="008B45CD">
        <w:rPr>
          <w:lang w:val="nl-NL"/>
        </w:rPr>
        <w:t xml:space="preserve"> met Albanië plaats. De minister van Buitenlandse Zaken </w:t>
      </w:r>
      <w:r w:rsidR="008B45CD">
        <w:rPr>
          <w:lang w:val="nl-NL"/>
        </w:rPr>
        <w:t xml:space="preserve">nam </w:t>
      </w:r>
      <w:r w:rsidRPr="008B45CD" w:rsidR="008B45CD">
        <w:rPr>
          <w:lang w:val="nl-NL"/>
        </w:rPr>
        <w:t>deel aan deze Raad</w:t>
      </w:r>
      <w:r w:rsidR="00BE65F9">
        <w:rPr>
          <w:lang w:val="nl-NL"/>
        </w:rPr>
        <w:t xml:space="preserve"> en </w:t>
      </w:r>
      <w:r w:rsidR="009C531F">
        <w:rPr>
          <w:lang w:val="nl-NL"/>
        </w:rPr>
        <w:t xml:space="preserve">aan </w:t>
      </w:r>
      <w:r w:rsidR="00BE65F9">
        <w:rPr>
          <w:lang w:val="nl-NL"/>
        </w:rPr>
        <w:t xml:space="preserve">de </w:t>
      </w:r>
      <w:r w:rsidR="008A4FE4">
        <w:rPr>
          <w:lang w:val="nl-NL"/>
        </w:rPr>
        <w:t>IGC</w:t>
      </w:r>
      <w:r w:rsidRPr="008B45CD" w:rsidR="008B45CD">
        <w:rPr>
          <w:lang w:val="nl-NL"/>
        </w:rPr>
        <w:t>.</w:t>
      </w:r>
      <w:r w:rsidR="008B45CD">
        <w:rPr>
          <w:b/>
          <w:szCs w:val="18"/>
          <w:lang w:val="nl-NL"/>
        </w:rPr>
        <w:t xml:space="preserve"> </w:t>
      </w:r>
    </w:p>
    <w:p w:rsidRPr="008B1F6C" w:rsidR="0060198D" w:rsidP="00A45E04" w:rsidRDefault="00D92E56" w14:paraId="5A28D93E" w14:textId="189A9B36">
      <w:pPr>
        <w:spacing w:line="276" w:lineRule="auto"/>
        <w:rPr>
          <w:lang w:val="nl-NL"/>
        </w:rPr>
      </w:pPr>
      <w:r>
        <w:rPr>
          <w:b/>
          <w:szCs w:val="18"/>
          <w:lang w:val="nl-NL" w:eastAsia="ja-JP"/>
        </w:rPr>
        <w:t>Voorbereiding Europese Raad</w:t>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F04BBA">
        <w:rPr>
          <w:rFonts w:cs="Times New Roman"/>
          <w:b/>
          <w:szCs w:val="18"/>
          <w:lang w:val="nl-NL" w:eastAsia="ja-JP"/>
        </w:rPr>
        <w:br/>
      </w:r>
      <w:bookmarkStart w:name="_Hlk179978987" w:id="0"/>
      <w:r w:rsidR="00216EFF">
        <w:rPr>
          <w:rFonts w:cs="Times New Roman"/>
          <w:szCs w:val="18"/>
          <w:lang w:val="nl-NL" w:eastAsia="ja-JP"/>
        </w:rPr>
        <w:t xml:space="preserve">De Raad stond stil bij </w:t>
      </w:r>
      <w:r w:rsidR="0060198D">
        <w:rPr>
          <w:rFonts w:cs="Times New Roman"/>
          <w:szCs w:val="18"/>
          <w:lang w:val="nl-NL" w:eastAsia="ja-JP"/>
        </w:rPr>
        <w:t>d</w:t>
      </w:r>
      <w:r w:rsidRPr="0060198D" w:rsidR="0060198D">
        <w:rPr>
          <w:lang w:val="nl-NL"/>
        </w:rPr>
        <w:t xml:space="preserve">e </w:t>
      </w:r>
      <w:r w:rsidR="00A66BB8">
        <w:rPr>
          <w:lang w:val="nl-NL"/>
        </w:rPr>
        <w:t>voortdurende</w:t>
      </w:r>
      <w:r w:rsidRPr="0060198D" w:rsidR="0060198D">
        <w:rPr>
          <w:lang w:val="nl-NL"/>
        </w:rPr>
        <w:t xml:space="preserve"> Russische </w:t>
      </w:r>
      <w:r w:rsidRPr="008B1F6C" w:rsidR="0060198D">
        <w:rPr>
          <w:lang w:val="nl-NL"/>
        </w:rPr>
        <w:t>agressieoorlog in Oekraïne</w:t>
      </w:r>
      <w:r w:rsidRPr="008B1F6C" w:rsidR="00A66BB8">
        <w:rPr>
          <w:lang w:val="nl-NL"/>
        </w:rPr>
        <w:t xml:space="preserve"> en de urgentie van voortgezette EU</w:t>
      </w:r>
      <w:r w:rsidRPr="008B1F6C" w:rsidR="004E5A4B">
        <w:rPr>
          <w:lang w:val="nl-NL"/>
        </w:rPr>
        <w:t>-</w:t>
      </w:r>
      <w:r w:rsidRPr="008B1F6C" w:rsidR="00A66BB8">
        <w:rPr>
          <w:lang w:val="nl-NL"/>
        </w:rPr>
        <w:t>steun in het licht van de aankomende winter</w:t>
      </w:r>
      <w:r w:rsidRPr="008B1F6C" w:rsidR="00216EFF">
        <w:rPr>
          <w:lang w:val="nl-NL"/>
        </w:rPr>
        <w:t>.</w:t>
      </w:r>
      <w:r w:rsidRPr="008B1F6C" w:rsidR="00A66BB8">
        <w:rPr>
          <w:lang w:val="nl-NL"/>
        </w:rPr>
        <w:t xml:space="preserve"> De Raad </w:t>
      </w:r>
      <w:r w:rsidRPr="008B1F6C" w:rsidR="006D33DA">
        <w:rPr>
          <w:lang w:val="nl-NL"/>
        </w:rPr>
        <w:t xml:space="preserve">sprak over </w:t>
      </w:r>
      <w:r w:rsidRPr="008B1F6C" w:rsidR="00A66BB8">
        <w:rPr>
          <w:lang w:val="nl-NL"/>
        </w:rPr>
        <w:t>sancties, accountability en de EU-opvolging op het G7</w:t>
      </w:r>
      <w:r w:rsidRPr="008B1F6C" w:rsidR="0024365D">
        <w:rPr>
          <w:lang w:val="nl-NL"/>
        </w:rPr>
        <w:t>-</w:t>
      </w:r>
      <w:r w:rsidRPr="008B1F6C" w:rsidR="00A66BB8">
        <w:rPr>
          <w:lang w:val="nl-NL"/>
        </w:rPr>
        <w:t>politieke akkoord met een lening van maximaal EUR 35 m</w:t>
      </w:r>
      <w:r w:rsidRPr="008B1F6C" w:rsidR="00CB65F8">
        <w:rPr>
          <w:lang w:val="nl-NL"/>
        </w:rPr>
        <w:t>iljard</w:t>
      </w:r>
      <w:r w:rsidRPr="008B1F6C" w:rsidR="00A66BB8">
        <w:rPr>
          <w:lang w:val="nl-NL"/>
        </w:rPr>
        <w:t xml:space="preserve">, gefaciliteerd met de buitengewone inkomsten over geïmmobiliseerde Russische Centrale Banktegoeden. </w:t>
      </w:r>
      <w:r w:rsidRPr="008B1F6C" w:rsidR="003C36E9">
        <w:rPr>
          <w:rFonts w:cs="Times New Roman"/>
          <w:szCs w:val="18"/>
          <w:lang w:val="nl-NL" w:eastAsia="ja-JP"/>
        </w:rPr>
        <w:t xml:space="preserve">Nederland </w:t>
      </w:r>
      <w:r w:rsidRPr="008B1F6C" w:rsidR="00A66BB8">
        <w:rPr>
          <w:rFonts w:cs="Times New Roman"/>
          <w:szCs w:val="18"/>
          <w:lang w:val="nl-NL" w:eastAsia="ja-JP"/>
        </w:rPr>
        <w:t xml:space="preserve">onderstreepte </w:t>
      </w:r>
      <w:r w:rsidRPr="008B1F6C" w:rsidR="003C36E9">
        <w:rPr>
          <w:rFonts w:eastAsia="Times New Roman"/>
          <w:lang w:val="nl-NL"/>
        </w:rPr>
        <w:t xml:space="preserve">de urgentie van </w:t>
      </w:r>
      <w:r w:rsidRPr="008B1F6C" w:rsidR="00A66BB8">
        <w:rPr>
          <w:rFonts w:eastAsia="Times New Roman"/>
          <w:lang w:val="nl-NL"/>
        </w:rPr>
        <w:t>voortgezette</w:t>
      </w:r>
      <w:r w:rsidRPr="008B1F6C" w:rsidR="003C36E9">
        <w:rPr>
          <w:rFonts w:eastAsia="Times New Roman"/>
          <w:lang w:val="nl-NL"/>
        </w:rPr>
        <w:t xml:space="preserve"> steun aan Oekraïne</w:t>
      </w:r>
      <w:r w:rsidRPr="008B1F6C" w:rsidR="00EF0AB9">
        <w:rPr>
          <w:rFonts w:eastAsia="Times New Roman"/>
          <w:lang w:val="nl-NL"/>
        </w:rPr>
        <w:t xml:space="preserve"> en vroeg</w:t>
      </w:r>
      <w:r w:rsidRPr="008B1F6C" w:rsidR="00F21982">
        <w:rPr>
          <w:rFonts w:eastAsia="Times New Roman"/>
          <w:lang w:val="nl-NL"/>
        </w:rPr>
        <w:t xml:space="preserve"> aandacht voor de rol van derde landen die de Russische agressie materieel</w:t>
      </w:r>
      <w:r w:rsidRPr="008B1F6C" w:rsidR="00984838">
        <w:rPr>
          <w:rFonts w:eastAsia="Times New Roman"/>
          <w:lang w:val="nl-NL"/>
        </w:rPr>
        <w:t xml:space="preserve"> </w:t>
      </w:r>
      <w:r w:rsidRPr="008B1F6C" w:rsidR="00F21982">
        <w:rPr>
          <w:rFonts w:eastAsia="Times New Roman"/>
          <w:lang w:val="nl-NL"/>
        </w:rPr>
        <w:t xml:space="preserve">steunen. </w:t>
      </w:r>
      <w:r w:rsidRPr="008B1F6C" w:rsidR="00EF0AB9">
        <w:rPr>
          <w:rFonts w:eastAsia="Times New Roman"/>
          <w:lang w:val="nl-NL"/>
        </w:rPr>
        <w:t>H</w:t>
      </w:r>
      <w:r w:rsidRPr="008B1F6C" w:rsidR="0060198D">
        <w:rPr>
          <w:lang w:val="nl-NL"/>
        </w:rPr>
        <w:t xml:space="preserve">et faciliteren van de Russische </w:t>
      </w:r>
      <w:r w:rsidRPr="008B1F6C" w:rsidR="00F21982">
        <w:rPr>
          <w:lang w:val="nl-NL"/>
        </w:rPr>
        <w:t xml:space="preserve">oorlogsinzet </w:t>
      </w:r>
      <w:r w:rsidRPr="008B1F6C" w:rsidR="00EF0AB9">
        <w:rPr>
          <w:lang w:val="nl-NL"/>
        </w:rPr>
        <w:t xml:space="preserve">moet </w:t>
      </w:r>
      <w:r w:rsidRPr="008B1F6C" w:rsidR="00F21982">
        <w:rPr>
          <w:lang w:val="nl-NL"/>
        </w:rPr>
        <w:t>gevolgen hebben voor de EU</w:t>
      </w:r>
      <w:r w:rsidRPr="008B1F6C" w:rsidR="00A26651">
        <w:rPr>
          <w:lang w:val="nl-NL"/>
        </w:rPr>
        <w:t>-</w:t>
      </w:r>
      <w:r w:rsidRPr="008B1F6C" w:rsidR="00F21982">
        <w:rPr>
          <w:lang w:val="nl-NL"/>
        </w:rPr>
        <w:t>betrekkingen met deze landen, inclusief sancties waar</w:t>
      </w:r>
      <w:r w:rsidRPr="008B1F6C" w:rsidR="00A81573">
        <w:rPr>
          <w:lang w:val="nl-NL"/>
        </w:rPr>
        <w:t xml:space="preserve"> </w:t>
      </w:r>
      <w:r w:rsidRPr="008B1F6C" w:rsidR="00653BA5">
        <w:rPr>
          <w:lang w:val="nl-NL"/>
        </w:rPr>
        <w:t>gerechtvaardigd</w:t>
      </w:r>
      <w:r w:rsidRPr="008B1F6C" w:rsidR="00595086">
        <w:rPr>
          <w:lang w:val="nl-NL"/>
        </w:rPr>
        <w:t>.</w:t>
      </w:r>
    </w:p>
    <w:bookmarkEnd w:id="0"/>
    <w:p w:rsidRPr="008B1F6C" w:rsidR="009A30C5" w:rsidP="00A45E04" w:rsidRDefault="003C36E9" w14:paraId="2EE89CD9" w14:textId="69F51A41">
      <w:pPr>
        <w:spacing w:line="276" w:lineRule="auto"/>
        <w:rPr>
          <w:lang w:val="nl-NL"/>
        </w:rPr>
      </w:pPr>
      <w:r w:rsidRPr="008B1F6C">
        <w:rPr>
          <w:rFonts w:cs="Times New Roman"/>
          <w:szCs w:val="18"/>
          <w:lang w:val="nl-NL" w:eastAsia="ja-JP"/>
        </w:rPr>
        <w:t xml:space="preserve">Ook stond de Raad stil bij de </w:t>
      </w:r>
      <w:r w:rsidRPr="008B1F6C" w:rsidR="00294E3E">
        <w:rPr>
          <w:rFonts w:cs="Times New Roman"/>
          <w:szCs w:val="18"/>
          <w:lang w:val="nl-NL" w:eastAsia="ja-JP"/>
        </w:rPr>
        <w:t>escal</w:t>
      </w:r>
      <w:r w:rsidRPr="008B1F6C">
        <w:rPr>
          <w:rFonts w:cs="Times New Roman"/>
          <w:szCs w:val="18"/>
          <w:lang w:val="nl-NL" w:eastAsia="ja-JP"/>
        </w:rPr>
        <w:t>atie in het Midden-Oosten</w:t>
      </w:r>
      <w:r w:rsidRPr="008B1F6C" w:rsidR="001143B6">
        <w:rPr>
          <w:rFonts w:cs="Times New Roman"/>
          <w:szCs w:val="18"/>
          <w:lang w:val="nl-NL" w:eastAsia="ja-JP"/>
        </w:rPr>
        <w:t xml:space="preserve"> </w:t>
      </w:r>
      <w:r w:rsidRPr="008B1F6C" w:rsidR="0023715E">
        <w:rPr>
          <w:rFonts w:cs="Times New Roman"/>
          <w:szCs w:val="18"/>
          <w:lang w:val="nl-NL" w:eastAsia="ja-JP"/>
        </w:rPr>
        <w:t xml:space="preserve">en sprak </w:t>
      </w:r>
      <w:r w:rsidRPr="008B1F6C" w:rsidR="001143B6">
        <w:rPr>
          <w:rFonts w:cs="Times New Roman"/>
          <w:szCs w:val="18"/>
          <w:lang w:val="nl-NL" w:eastAsia="ja-JP"/>
        </w:rPr>
        <w:t xml:space="preserve">in het bijzonder </w:t>
      </w:r>
      <w:r w:rsidRPr="008B1F6C" w:rsidR="0023715E">
        <w:rPr>
          <w:rFonts w:cs="Times New Roman"/>
          <w:szCs w:val="18"/>
          <w:lang w:val="nl-NL" w:eastAsia="ja-JP"/>
        </w:rPr>
        <w:t xml:space="preserve">over de </w:t>
      </w:r>
      <w:r w:rsidRPr="008B1F6C">
        <w:rPr>
          <w:rFonts w:cs="Times New Roman"/>
          <w:szCs w:val="18"/>
          <w:lang w:val="nl-NL" w:eastAsia="ja-JP"/>
        </w:rPr>
        <w:t>zorgen omtrent UN</w:t>
      </w:r>
      <w:r w:rsidRPr="008B1F6C" w:rsidR="00103751">
        <w:rPr>
          <w:rFonts w:cs="Times New Roman"/>
          <w:szCs w:val="18"/>
          <w:lang w:val="nl-NL" w:eastAsia="ja-JP"/>
        </w:rPr>
        <w:t>R</w:t>
      </w:r>
      <w:r w:rsidRPr="008B1F6C">
        <w:rPr>
          <w:rFonts w:cs="Times New Roman"/>
          <w:szCs w:val="18"/>
          <w:lang w:val="nl-NL" w:eastAsia="ja-JP"/>
        </w:rPr>
        <w:t xml:space="preserve">WA en UNIFIL. In die context vroeg Nederland aandacht </w:t>
      </w:r>
      <w:r w:rsidRPr="008B1F6C" w:rsidR="006D33DA">
        <w:rPr>
          <w:rFonts w:cs="Times New Roman"/>
          <w:szCs w:val="18"/>
          <w:lang w:val="nl-NL" w:eastAsia="ja-JP"/>
        </w:rPr>
        <w:t>voor</w:t>
      </w:r>
      <w:r w:rsidRPr="008B1F6C">
        <w:rPr>
          <w:rFonts w:cs="Times New Roman"/>
          <w:szCs w:val="18"/>
          <w:lang w:val="nl-NL" w:eastAsia="ja-JP"/>
        </w:rPr>
        <w:t xml:space="preserve"> implementatie van de aanbevelingen over UN</w:t>
      </w:r>
      <w:r w:rsidRPr="008B1F6C" w:rsidR="00103751">
        <w:rPr>
          <w:rFonts w:cs="Times New Roman"/>
          <w:szCs w:val="18"/>
          <w:lang w:val="nl-NL" w:eastAsia="ja-JP"/>
        </w:rPr>
        <w:t>R</w:t>
      </w:r>
      <w:r w:rsidRPr="008B1F6C">
        <w:rPr>
          <w:rFonts w:cs="Times New Roman"/>
          <w:szCs w:val="18"/>
          <w:lang w:val="nl-NL" w:eastAsia="ja-JP"/>
        </w:rPr>
        <w:t>WA</w:t>
      </w:r>
      <w:r w:rsidRPr="008B1F6C" w:rsidR="00720037">
        <w:rPr>
          <w:rFonts w:cs="Times New Roman"/>
          <w:szCs w:val="18"/>
          <w:lang w:val="nl-NL" w:eastAsia="ja-JP"/>
        </w:rPr>
        <w:t xml:space="preserve"> voortvloeiende uit het Colonna-rapport</w:t>
      </w:r>
      <w:r w:rsidRPr="008B1F6C">
        <w:rPr>
          <w:rFonts w:cs="Times New Roman"/>
          <w:szCs w:val="18"/>
          <w:lang w:val="nl-NL" w:eastAsia="ja-JP"/>
        </w:rPr>
        <w:t>.</w:t>
      </w:r>
      <w:r w:rsidRPr="008B1F6C" w:rsidR="0023715E">
        <w:rPr>
          <w:rFonts w:cs="Times New Roman"/>
          <w:szCs w:val="18"/>
          <w:lang w:val="nl-NL" w:eastAsia="ja-JP"/>
        </w:rPr>
        <w:t xml:space="preserve"> </w:t>
      </w:r>
      <w:r w:rsidRPr="008B1F6C" w:rsidR="009A30C5">
        <w:rPr>
          <w:lang w:val="nl-NL"/>
        </w:rPr>
        <w:t>Ten aanzien van het agendapunt concurrentievermogen stond de Raad kort stil bij</w:t>
      </w:r>
      <w:r w:rsidRPr="009A30C5" w:rsidR="009A30C5">
        <w:rPr>
          <w:lang w:val="nl-NL"/>
        </w:rPr>
        <w:t xml:space="preserve"> het rapport-</w:t>
      </w:r>
      <w:proofErr w:type="spellStart"/>
      <w:r w:rsidRPr="009A30C5" w:rsidR="009A30C5">
        <w:rPr>
          <w:lang w:val="nl-NL"/>
        </w:rPr>
        <w:t>Draghi</w:t>
      </w:r>
      <w:proofErr w:type="spellEnd"/>
      <w:r w:rsidR="008B1F6C">
        <w:rPr>
          <w:lang w:val="nl-NL"/>
        </w:rPr>
        <w:t>.</w:t>
      </w:r>
      <w:r w:rsidR="009A30C5">
        <w:rPr>
          <w:rStyle w:val="FootnoteReference"/>
          <w:lang w:val="nl-NL"/>
        </w:rPr>
        <w:footnoteReference w:id="2"/>
      </w:r>
      <w:r w:rsidR="009A30C5">
        <w:rPr>
          <w:lang w:val="nl-NL"/>
        </w:rPr>
        <w:t xml:space="preserve"> </w:t>
      </w:r>
      <w:r w:rsidRPr="004B5E21" w:rsidR="004B5E21">
        <w:rPr>
          <w:szCs w:val="18"/>
          <w:lang w:val="nl-NL"/>
        </w:rPr>
        <w:t xml:space="preserve">Een eerste kabinetsappreciatie kwam uw Kamer </w:t>
      </w:r>
      <w:r w:rsidR="004B5E21">
        <w:rPr>
          <w:szCs w:val="18"/>
          <w:lang w:val="nl-NL"/>
        </w:rPr>
        <w:t xml:space="preserve">reeds </w:t>
      </w:r>
      <w:r w:rsidRPr="004B5E21" w:rsidR="004B5E21">
        <w:rPr>
          <w:szCs w:val="18"/>
          <w:lang w:val="nl-NL"/>
        </w:rPr>
        <w:t>toe</w:t>
      </w:r>
      <w:r w:rsidR="008B1F6C">
        <w:rPr>
          <w:szCs w:val="18"/>
          <w:lang w:val="nl-NL"/>
        </w:rPr>
        <w:t>.</w:t>
      </w:r>
      <w:r w:rsidR="004B5E21">
        <w:rPr>
          <w:rStyle w:val="FootnoteReference"/>
          <w:szCs w:val="18"/>
          <w:lang w:val="nl-NL"/>
        </w:rPr>
        <w:footnoteReference w:id="3"/>
      </w:r>
      <w:r w:rsidR="004B5E21">
        <w:rPr>
          <w:lang w:val="nl-NL"/>
        </w:rPr>
        <w:t xml:space="preserve"> </w:t>
      </w:r>
      <w:r w:rsidR="006478DD">
        <w:rPr>
          <w:lang w:val="nl-NL"/>
        </w:rPr>
        <w:t>Zoals toegezegd</w:t>
      </w:r>
      <w:r w:rsidRPr="006478DD" w:rsidR="006478DD">
        <w:rPr>
          <w:lang w:val="nl-NL"/>
        </w:rPr>
        <w:t xml:space="preserve"> </w:t>
      </w:r>
      <w:r w:rsidR="006478DD">
        <w:rPr>
          <w:lang w:val="nl-NL"/>
        </w:rPr>
        <w:t>komt uw Kamer een nadere appreciatie toe bij de geannoteerde agenda van de informele E</w:t>
      </w:r>
      <w:r w:rsidR="008B1F6C">
        <w:rPr>
          <w:lang w:val="nl-NL"/>
        </w:rPr>
        <w:t xml:space="preserve">uropese </w:t>
      </w:r>
      <w:r w:rsidR="006478DD">
        <w:rPr>
          <w:lang w:val="nl-NL"/>
        </w:rPr>
        <w:t>R</w:t>
      </w:r>
      <w:r w:rsidR="008B1F6C">
        <w:rPr>
          <w:lang w:val="nl-NL"/>
        </w:rPr>
        <w:t>aad</w:t>
      </w:r>
      <w:r w:rsidR="006478DD">
        <w:rPr>
          <w:lang w:val="nl-NL"/>
        </w:rPr>
        <w:t xml:space="preserve"> </w:t>
      </w:r>
      <w:r w:rsidR="008B1F6C">
        <w:rPr>
          <w:lang w:val="nl-NL"/>
        </w:rPr>
        <w:t xml:space="preserve">(ER) </w:t>
      </w:r>
      <w:r w:rsidR="006478DD">
        <w:rPr>
          <w:lang w:val="nl-NL"/>
        </w:rPr>
        <w:t>van 8 november a.s., waar</w:t>
      </w:r>
      <w:r w:rsidR="00EF0AB9">
        <w:rPr>
          <w:lang w:val="nl-NL"/>
        </w:rPr>
        <w:t>voor</w:t>
      </w:r>
      <w:r w:rsidR="006478DD">
        <w:rPr>
          <w:lang w:val="nl-NL"/>
        </w:rPr>
        <w:t xml:space="preserve"> het rapport </w:t>
      </w:r>
      <w:r w:rsidRPr="009A30C5" w:rsidR="006478DD">
        <w:rPr>
          <w:lang w:val="nl-NL"/>
        </w:rPr>
        <w:t xml:space="preserve">tevens </w:t>
      </w:r>
      <w:r w:rsidRPr="008B1F6C" w:rsidR="006478DD">
        <w:rPr>
          <w:lang w:val="nl-NL"/>
        </w:rPr>
        <w:t>geagendeerd staat</w:t>
      </w:r>
      <w:r w:rsidR="008B1F6C">
        <w:rPr>
          <w:lang w:val="nl-NL"/>
        </w:rPr>
        <w:t>.</w:t>
      </w:r>
      <w:r w:rsidRPr="008B1F6C" w:rsidR="009A30C5">
        <w:rPr>
          <w:rStyle w:val="FootnoteReference"/>
          <w:lang w:val="nl-NL"/>
        </w:rPr>
        <w:footnoteReference w:id="4"/>
      </w:r>
    </w:p>
    <w:p w:rsidRPr="008B1F6C" w:rsidR="003C36E9" w:rsidP="00A45E04" w:rsidRDefault="003C36E9" w14:paraId="56C3D212" w14:textId="67C5D1CF">
      <w:pPr>
        <w:spacing w:line="276" w:lineRule="auto"/>
        <w:rPr>
          <w:rFonts w:cs="Times New Roman"/>
          <w:szCs w:val="18"/>
          <w:lang w:val="nl-NL" w:eastAsia="ja-JP"/>
        </w:rPr>
      </w:pPr>
      <w:bookmarkStart w:name="_Hlk179973572" w:id="1"/>
      <w:r w:rsidRPr="008B1F6C">
        <w:rPr>
          <w:rFonts w:cs="Times New Roman"/>
          <w:szCs w:val="18"/>
          <w:lang w:val="nl-NL" w:eastAsia="ja-JP"/>
        </w:rPr>
        <w:t xml:space="preserve">Ten aanzien van migratie </w:t>
      </w:r>
      <w:r w:rsidRPr="008B1F6C" w:rsidR="00CB65F8">
        <w:rPr>
          <w:rFonts w:cs="Times New Roman"/>
          <w:szCs w:val="18"/>
          <w:lang w:val="nl-NL" w:eastAsia="ja-JP"/>
        </w:rPr>
        <w:t xml:space="preserve">vroeg </w:t>
      </w:r>
      <w:r w:rsidRPr="008B1F6C">
        <w:rPr>
          <w:rFonts w:cs="Times New Roman"/>
          <w:szCs w:val="18"/>
          <w:lang w:val="nl-NL" w:eastAsia="ja-JP"/>
        </w:rPr>
        <w:t xml:space="preserve">een </w:t>
      </w:r>
      <w:r w:rsidRPr="008B1F6C" w:rsidR="00CB65F8">
        <w:rPr>
          <w:rFonts w:cs="Times New Roman"/>
          <w:szCs w:val="18"/>
          <w:lang w:val="nl-NL" w:eastAsia="ja-JP"/>
        </w:rPr>
        <w:t xml:space="preserve">aantal </w:t>
      </w:r>
      <w:r w:rsidRPr="008B1F6C">
        <w:rPr>
          <w:rFonts w:cs="Times New Roman"/>
          <w:szCs w:val="18"/>
          <w:lang w:val="nl-NL" w:eastAsia="ja-JP"/>
        </w:rPr>
        <w:t xml:space="preserve">lidstaten aandacht voor de externe dimensie, </w:t>
      </w:r>
      <w:r w:rsidRPr="008B1F6C" w:rsidR="00CB65F8">
        <w:rPr>
          <w:rFonts w:cs="Times New Roman"/>
          <w:szCs w:val="18"/>
          <w:lang w:val="nl-NL" w:eastAsia="ja-JP"/>
        </w:rPr>
        <w:t>terwijl andere lidstaten</w:t>
      </w:r>
      <w:r w:rsidRPr="008B1F6C">
        <w:rPr>
          <w:rFonts w:cs="Times New Roman"/>
          <w:szCs w:val="18"/>
          <w:lang w:val="nl-NL" w:eastAsia="ja-JP"/>
        </w:rPr>
        <w:t>, waaronder Nederland</w:t>
      </w:r>
      <w:r w:rsidRPr="008B1F6C" w:rsidR="00CB65F8">
        <w:rPr>
          <w:rFonts w:cs="Times New Roman"/>
          <w:szCs w:val="18"/>
          <w:lang w:val="nl-NL" w:eastAsia="ja-JP"/>
        </w:rPr>
        <w:t xml:space="preserve">, zich </w:t>
      </w:r>
      <w:r w:rsidRPr="008B1F6C" w:rsidR="00720037">
        <w:rPr>
          <w:rFonts w:cs="Times New Roman"/>
          <w:szCs w:val="18"/>
          <w:lang w:val="nl-NL" w:eastAsia="ja-JP"/>
        </w:rPr>
        <w:t xml:space="preserve">daarnaast ook </w:t>
      </w:r>
      <w:r w:rsidRPr="008B1F6C" w:rsidR="00CB65F8">
        <w:rPr>
          <w:rFonts w:cs="Times New Roman"/>
          <w:szCs w:val="18"/>
          <w:lang w:val="nl-NL" w:eastAsia="ja-JP"/>
        </w:rPr>
        <w:t>richtte op de interne dimensie</w:t>
      </w:r>
      <w:r w:rsidRPr="008B1F6C">
        <w:rPr>
          <w:rFonts w:cs="Times New Roman"/>
          <w:szCs w:val="18"/>
          <w:lang w:val="nl-NL" w:eastAsia="ja-JP"/>
        </w:rPr>
        <w:t>. Nederland benadrukte het belang van snelle implementatie</w:t>
      </w:r>
      <w:r w:rsidRPr="003C36E9">
        <w:rPr>
          <w:rFonts w:cs="Times New Roman"/>
          <w:szCs w:val="18"/>
          <w:lang w:val="nl-NL" w:eastAsia="ja-JP"/>
        </w:rPr>
        <w:t xml:space="preserve"> </w:t>
      </w:r>
      <w:r>
        <w:rPr>
          <w:rFonts w:cs="Times New Roman"/>
          <w:szCs w:val="18"/>
          <w:lang w:val="nl-NL" w:eastAsia="ja-JP"/>
        </w:rPr>
        <w:t xml:space="preserve">van het Asiel- en </w:t>
      </w:r>
      <w:r w:rsidR="00DA4764">
        <w:rPr>
          <w:rFonts w:cs="Times New Roman"/>
          <w:szCs w:val="18"/>
          <w:lang w:val="nl-NL" w:eastAsia="ja-JP"/>
        </w:rPr>
        <w:t>M</w:t>
      </w:r>
      <w:r>
        <w:rPr>
          <w:rFonts w:cs="Times New Roman"/>
          <w:szCs w:val="18"/>
          <w:lang w:val="nl-NL" w:eastAsia="ja-JP"/>
        </w:rPr>
        <w:t>igratiep</w:t>
      </w:r>
      <w:r w:rsidRPr="003C36E9">
        <w:rPr>
          <w:rFonts w:cs="Times New Roman"/>
          <w:szCs w:val="18"/>
          <w:lang w:val="nl-NL" w:eastAsia="ja-JP"/>
        </w:rPr>
        <w:t xml:space="preserve">act, </w:t>
      </w:r>
      <w:r w:rsidRPr="00DA4764" w:rsidR="009277AC">
        <w:rPr>
          <w:lang w:val="nl-NL"/>
        </w:rPr>
        <w:t>versterking van de buitengrenzen</w:t>
      </w:r>
      <w:r w:rsidRPr="003C36E9">
        <w:rPr>
          <w:rFonts w:cs="Times New Roman"/>
          <w:szCs w:val="18"/>
          <w:lang w:val="nl-NL" w:eastAsia="ja-JP"/>
        </w:rPr>
        <w:t xml:space="preserve">, </w:t>
      </w:r>
      <w:r>
        <w:rPr>
          <w:rFonts w:cs="Times New Roman"/>
          <w:szCs w:val="18"/>
          <w:lang w:val="nl-NL" w:eastAsia="ja-JP"/>
        </w:rPr>
        <w:t xml:space="preserve">de </w:t>
      </w:r>
      <w:r w:rsidRPr="003C36E9">
        <w:rPr>
          <w:rFonts w:cs="Times New Roman"/>
          <w:szCs w:val="18"/>
          <w:lang w:val="nl-NL" w:eastAsia="ja-JP"/>
        </w:rPr>
        <w:t xml:space="preserve">aanpak </w:t>
      </w:r>
      <w:r>
        <w:rPr>
          <w:rFonts w:cs="Times New Roman"/>
          <w:szCs w:val="18"/>
          <w:lang w:val="nl-NL" w:eastAsia="ja-JP"/>
        </w:rPr>
        <w:t xml:space="preserve">van </w:t>
      </w:r>
      <w:r w:rsidRPr="003C36E9">
        <w:rPr>
          <w:rFonts w:cs="Times New Roman"/>
          <w:szCs w:val="18"/>
          <w:lang w:val="nl-NL" w:eastAsia="ja-JP"/>
        </w:rPr>
        <w:t>sec</w:t>
      </w:r>
      <w:r w:rsidR="00531811">
        <w:rPr>
          <w:rFonts w:cs="Times New Roman"/>
          <w:szCs w:val="18"/>
          <w:lang w:val="nl-NL" w:eastAsia="ja-JP"/>
        </w:rPr>
        <w:t>u</w:t>
      </w:r>
      <w:r w:rsidRPr="003C36E9">
        <w:rPr>
          <w:rFonts w:cs="Times New Roman"/>
          <w:szCs w:val="18"/>
          <w:lang w:val="nl-NL" w:eastAsia="ja-JP"/>
        </w:rPr>
        <w:t xml:space="preserve">ndaire migratie, brede strategische partnerschappen, </w:t>
      </w:r>
      <w:r w:rsidRPr="009277AC" w:rsidR="004B6E2F">
        <w:rPr>
          <w:lang w:val="nl-NL"/>
        </w:rPr>
        <w:t>naleving van de Dublinverordening</w:t>
      </w:r>
      <w:r w:rsidRPr="003C36E9">
        <w:rPr>
          <w:rFonts w:cs="Times New Roman"/>
          <w:szCs w:val="18"/>
          <w:lang w:val="nl-NL" w:eastAsia="ja-JP"/>
        </w:rPr>
        <w:t xml:space="preserve"> en </w:t>
      </w:r>
      <w:r w:rsidRPr="00C95B07" w:rsidR="00C95B07">
        <w:rPr>
          <w:lang w:val="nl-NL"/>
        </w:rPr>
        <w:t xml:space="preserve">het uitwerken van </w:t>
      </w:r>
      <w:r w:rsidRPr="00F8484D" w:rsidR="00C95B07">
        <w:rPr>
          <w:i/>
          <w:iCs/>
          <w:lang w:val="nl-NL"/>
        </w:rPr>
        <w:t>out-</w:t>
      </w:r>
      <w:r w:rsidRPr="008B1F6C" w:rsidR="00C95B07">
        <w:rPr>
          <w:i/>
          <w:iCs/>
          <w:lang w:val="nl-NL"/>
        </w:rPr>
        <w:t>of-</w:t>
      </w:r>
      <w:proofErr w:type="spellStart"/>
      <w:r w:rsidRPr="008B1F6C" w:rsidR="00C95B07">
        <w:rPr>
          <w:i/>
          <w:iCs/>
          <w:lang w:val="nl-NL"/>
        </w:rPr>
        <w:t>the</w:t>
      </w:r>
      <w:proofErr w:type="spellEnd"/>
      <w:r w:rsidRPr="008B1F6C" w:rsidR="00C95B07">
        <w:rPr>
          <w:i/>
          <w:iCs/>
          <w:lang w:val="nl-NL"/>
        </w:rPr>
        <w:t>-box</w:t>
      </w:r>
      <w:r w:rsidRPr="008B1F6C" w:rsidR="00262D46">
        <w:rPr>
          <w:i/>
          <w:iCs/>
          <w:lang w:val="nl-NL"/>
        </w:rPr>
        <w:t xml:space="preserve"> </w:t>
      </w:r>
      <w:r w:rsidRPr="008B1F6C" w:rsidR="00C95B07">
        <w:rPr>
          <w:lang w:val="nl-NL"/>
        </w:rPr>
        <w:t>oplossingen</w:t>
      </w:r>
      <w:r w:rsidRPr="008B1F6C">
        <w:rPr>
          <w:rFonts w:cs="Times New Roman"/>
          <w:szCs w:val="18"/>
          <w:lang w:val="nl-NL" w:eastAsia="ja-JP"/>
        </w:rPr>
        <w:t xml:space="preserve">. </w:t>
      </w:r>
    </w:p>
    <w:bookmarkEnd w:id="1"/>
    <w:p w:rsidRPr="008B1F6C" w:rsidR="00A81C4F" w:rsidP="00A45E04" w:rsidRDefault="001143B6" w14:paraId="0FC3AD2B" w14:textId="433DADD5">
      <w:pPr>
        <w:spacing w:line="276" w:lineRule="auto"/>
        <w:rPr>
          <w:rFonts w:cs="Times New Roman"/>
          <w:szCs w:val="18"/>
          <w:lang w:val="nl-NL" w:eastAsia="ja-JP"/>
        </w:rPr>
      </w:pPr>
      <w:r w:rsidRPr="008B1F6C">
        <w:rPr>
          <w:rFonts w:cs="Times New Roman"/>
          <w:szCs w:val="18"/>
          <w:lang w:val="nl-NL" w:eastAsia="ja-JP"/>
        </w:rPr>
        <w:t>Ook sprak de Raad over de zorgelijke ontwikkelingen in Georgië en de gevolgen daarvan voor het EU-perspectief.</w:t>
      </w:r>
      <w:r w:rsidRPr="008B1F6C">
        <w:rPr>
          <w:rFonts w:eastAsia="Times New Roman"/>
          <w:i/>
          <w:iCs/>
          <w:lang w:val="nl-NL"/>
        </w:rPr>
        <w:t xml:space="preserve"> </w:t>
      </w:r>
      <w:r w:rsidRPr="008B1F6C" w:rsidR="008978B4">
        <w:rPr>
          <w:rFonts w:eastAsia="Times New Roman"/>
          <w:lang w:val="nl-NL"/>
        </w:rPr>
        <w:t xml:space="preserve">Meerdere lidstaten, waaronder Nederland, benadrukten </w:t>
      </w:r>
      <w:r w:rsidRPr="008B1F6C">
        <w:rPr>
          <w:rFonts w:eastAsia="Times New Roman"/>
          <w:lang w:val="nl-NL"/>
        </w:rPr>
        <w:t xml:space="preserve">dat </w:t>
      </w:r>
      <w:r w:rsidRPr="008B1F6C" w:rsidR="00F02213">
        <w:rPr>
          <w:rFonts w:eastAsia="Times New Roman"/>
          <w:lang w:val="nl-NL"/>
        </w:rPr>
        <w:t xml:space="preserve">de </w:t>
      </w:r>
      <w:r w:rsidRPr="008B1F6C">
        <w:rPr>
          <w:rFonts w:eastAsia="Times New Roman"/>
          <w:lang w:val="nl-NL"/>
        </w:rPr>
        <w:t xml:space="preserve">politieke koers van Georgië </w:t>
      </w:r>
      <w:r w:rsidRPr="008B1F6C" w:rsidR="008932EA">
        <w:rPr>
          <w:rFonts w:eastAsia="Times New Roman"/>
          <w:lang w:val="nl-NL"/>
        </w:rPr>
        <w:t>heeft ge</w:t>
      </w:r>
      <w:r w:rsidRPr="008B1F6C">
        <w:rPr>
          <w:rFonts w:eastAsia="Times New Roman"/>
          <w:lang w:val="nl-NL"/>
        </w:rPr>
        <w:t xml:space="preserve">leid tot </w:t>
      </w:r>
      <w:r w:rsidRPr="008B1F6C" w:rsidR="00F02213">
        <w:rPr>
          <w:rFonts w:eastAsia="Times New Roman"/>
          <w:lang w:val="nl-NL"/>
        </w:rPr>
        <w:t xml:space="preserve">het </w:t>
      </w:r>
      <w:r w:rsidRPr="008B1F6C">
        <w:rPr>
          <w:rFonts w:eastAsia="Times New Roman"/>
          <w:lang w:val="nl-NL"/>
        </w:rPr>
        <w:t xml:space="preserve">de facto </w:t>
      </w:r>
      <w:r w:rsidRPr="008B1F6C">
        <w:rPr>
          <w:lang w:val="nl-NL"/>
        </w:rPr>
        <w:t>stopzetten</w:t>
      </w:r>
      <w:r w:rsidRPr="008B1F6C">
        <w:rPr>
          <w:rFonts w:eastAsia="Times New Roman"/>
          <w:lang w:val="nl-NL"/>
        </w:rPr>
        <w:t xml:space="preserve"> van het toetredingsproces.</w:t>
      </w:r>
      <w:r w:rsidRPr="008B1F6C">
        <w:rPr>
          <w:lang w:val="nl-NL"/>
        </w:rPr>
        <w:t xml:space="preserve"> Nederland riep</w:t>
      </w:r>
      <w:r w:rsidRPr="008B1F6C" w:rsidR="007C2B2F">
        <w:rPr>
          <w:lang w:val="nl-NL"/>
        </w:rPr>
        <w:t xml:space="preserve"> tevens</w:t>
      </w:r>
      <w:r w:rsidRPr="008B1F6C">
        <w:rPr>
          <w:lang w:val="nl-NL"/>
        </w:rPr>
        <w:t xml:space="preserve"> op om verdere stappen te overwegen als de situatie verder verslechtert en om dit signaal ook duidelijk aan de Georgische autoriteiten en bevolking te communiceren.</w:t>
      </w:r>
      <w:r w:rsidRPr="008B1F6C" w:rsidR="002C0986">
        <w:rPr>
          <w:rFonts w:eastAsia="Times New Roman"/>
          <w:lang w:val="nl-NL"/>
        </w:rPr>
        <w:t xml:space="preserve"> </w:t>
      </w:r>
      <w:r w:rsidRPr="008B1F6C" w:rsidR="008978B4">
        <w:rPr>
          <w:rFonts w:eastAsia="Times New Roman"/>
          <w:lang w:val="nl-NL"/>
        </w:rPr>
        <w:t>Nederland benadrukte tevens het belang van vrije en eerlijke verkiezingen</w:t>
      </w:r>
      <w:r w:rsidRPr="008B1F6C" w:rsidR="00BA7E72">
        <w:rPr>
          <w:rFonts w:eastAsia="Times New Roman"/>
          <w:lang w:val="nl-NL"/>
        </w:rPr>
        <w:t>, in aanloop naar de aanstaande parlementsverkiezingen op 26 oktober</w:t>
      </w:r>
      <w:r w:rsidRPr="008B1F6C" w:rsidR="008978B4">
        <w:rPr>
          <w:rFonts w:eastAsia="Times New Roman"/>
          <w:lang w:val="nl-NL"/>
        </w:rPr>
        <w:t xml:space="preserve">. </w:t>
      </w:r>
      <w:r w:rsidRPr="008B1F6C" w:rsidR="002C0986">
        <w:rPr>
          <w:rFonts w:eastAsia="Times New Roman"/>
          <w:lang w:val="nl-NL"/>
        </w:rPr>
        <w:t xml:space="preserve">Ook stond de Raad kort stil bij de </w:t>
      </w:r>
      <w:r w:rsidRPr="008B1F6C" w:rsidR="00975E21">
        <w:rPr>
          <w:rFonts w:cs="Times New Roman"/>
          <w:szCs w:val="18"/>
          <w:lang w:val="nl-NL" w:eastAsia="ja-JP"/>
        </w:rPr>
        <w:t>Russische inmenging in Moldavië in aanloop naar de verkiezingen</w:t>
      </w:r>
      <w:r w:rsidRPr="008B1F6C" w:rsidR="00BA7E72">
        <w:rPr>
          <w:rFonts w:cs="Times New Roman"/>
          <w:szCs w:val="18"/>
          <w:lang w:val="nl-NL" w:eastAsia="ja-JP"/>
        </w:rPr>
        <w:t xml:space="preserve"> en het referendum</w:t>
      </w:r>
      <w:r w:rsidRPr="008B1F6C" w:rsidR="002C0986">
        <w:rPr>
          <w:rFonts w:cs="Times New Roman"/>
          <w:szCs w:val="18"/>
          <w:lang w:val="nl-NL" w:eastAsia="ja-JP"/>
        </w:rPr>
        <w:t>. Nederland sprak hierover zorgen uit</w:t>
      </w:r>
      <w:r w:rsidRPr="008B1F6C" w:rsidR="00975E21">
        <w:rPr>
          <w:rFonts w:cs="Times New Roman"/>
          <w:szCs w:val="18"/>
          <w:lang w:val="nl-NL" w:eastAsia="ja-JP"/>
        </w:rPr>
        <w:t xml:space="preserve"> en bepleitte </w:t>
      </w:r>
      <w:r w:rsidRPr="008B1F6C" w:rsidR="0060198D">
        <w:rPr>
          <w:rFonts w:cs="Times New Roman"/>
          <w:szCs w:val="18"/>
          <w:lang w:val="nl-NL" w:eastAsia="ja-JP"/>
        </w:rPr>
        <w:t>steun aan</w:t>
      </w:r>
      <w:r w:rsidRPr="008B1F6C" w:rsidR="00975E21">
        <w:rPr>
          <w:rFonts w:cs="Times New Roman"/>
          <w:szCs w:val="18"/>
          <w:lang w:val="nl-NL" w:eastAsia="ja-JP"/>
        </w:rPr>
        <w:t xml:space="preserve"> Moldavië.</w:t>
      </w:r>
    </w:p>
    <w:p w:rsidRPr="00F04BBA" w:rsidR="00A81C4F" w:rsidP="00A45E04" w:rsidRDefault="003C36E9" w14:paraId="60D711BA" w14:textId="2ACD1BE6">
      <w:pPr>
        <w:spacing w:line="276" w:lineRule="auto"/>
        <w:rPr>
          <w:bCs/>
          <w:szCs w:val="18"/>
          <w:lang w:val="nl-NL" w:eastAsia="ja-JP"/>
        </w:rPr>
      </w:pPr>
      <w:r w:rsidRPr="008B1F6C">
        <w:rPr>
          <w:szCs w:val="18"/>
          <w:lang w:val="nl-NL" w:eastAsia="ja-JP"/>
        </w:rPr>
        <w:t xml:space="preserve">Daarnaast stond de Raad, in </w:t>
      </w:r>
      <w:r w:rsidRPr="008B1F6C" w:rsidR="00313CA3">
        <w:rPr>
          <w:szCs w:val="18"/>
          <w:lang w:val="nl-NL" w:eastAsia="ja-JP"/>
        </w:rPr>
        <w:t>voorbereiding</w:t>
      </w:r>
      <w:r w:rsidRPr="008B1F6C">
        <w:rPr>
          <w:szCs w:val="18"/>
          <w:lang w:val="nl-NL" w:eastAsia="ja-JP"/>
        </w:rPr>
        <w:t xml:space="preserve"> op de ER, </w:t>
      </w:r>
      <w:r w:rsidRPr="008B1F6C" w:rsidR="0023715E">
        <w:rPr>
          <w:szCs w:val="18"/>
          <w:lang w:val="nl-NL" w:eastAsia="ja-JP"/>
        </w:rPr>
        <w:t xml:space="preserve">onder Overig </w:t>
      </w:r>
      <w:r w:rsidRPr="008B1F6C">
        <w:rPr>
          <w:szCs w:val="18"/>
          <w:lang w:val="nl-NL" w:eastAsia="ja-JP"/>
        </w:rPr>
        <w:t>kort</w:t>
      </w:r>
      <w:r>
        <w:rPr>
          <w:bCs/>
          <w:szCs w:val="18"/>
          <w:lang w:val="nl-NL" w:eastAsia="ja-JP"/>
        </w:rPr>
        <w:t xml:space="preserve"> stil bij de ontwikkelingen in Soedan en Venezuela. Ook nam de Raad nota van de voorbereidingen op de </w:t>
      </w:r>
      <w:r>
        <w:rPr>
          <w:lang w:val="nl-NL"/>
        </w:rPr>
        <w:t>29</w:t>
      </w:r>
      <w:r w:rsidRPr="008B1F6C" w:rsidR="008B1F6C">
        <w:rPr>
          <w:vertAlign w:val="superscript"/>
          <w:lang w:val="nl-NL"/>
        </w:rPr>
        <w:t>e</w:t>
      </w:r>
      <w:r w:rsidR="008B1F6C">
        <w:rPr>
          <w:lang w:val="nl-NL"/>
        </w:rPr>
        <w:t xml:space="preserve"> </w:t>
      </w:r>
      <w:r>
        <w:rPr>
          <w:lang w:val="nl-NL"/>
        </w:rPr>
        <w:t>en 16</w:t>
      </w:r>
      <w:r w:rsidRPr="008B1F6C" w:rsidR="008B1F6C">
        <w:rPr>
          <w:vertAlign w:val="superscript"/>
          <w:lang w:val="nl-NL"/>
        </w:rPr>
        <w:t>e</w:t>
      </w:r>
      <w:r w:rsidR="008B1F6C">
        <w:rPr>
          <w:lang w:val="nl-NL"/>
        </w:rPr>
        <w:t xml:space="preserve"> </w:t>
      </w:r>
      <w:r w:rsidRPr="003C36E9">
        <w:rPr>
          <w:lang w:val="nl-NL"/>
        </w:rPr>
        <w:t>Conferentie van Partijen</w:t>
      </w:r>
      <w:r>
        <w:rPr>
          <w:lang w:val="nl-NL"/>
        </w:rPr>
        <w:t xml:space="preserve"> over respectievelijk het </w:t>
      </w:r>
      <w:r w:rsidRPr="003C36E9">
        <w:rPr>
          <w:lang w:val="nl-NL"/>
        </w:rPr>
        <w:t>VN-klimaatverdrag</w:t>
      </w:r>
      <w:r>
        <w:rPr>
          <w:lang w:val="nl-NL"/>
        </w:rPr>
        <w:t xml:space="preserve"> en het </w:t>
      </w:r>
      <w:r w:rsidRPr="003C36E9">
        <w:rPr>
          <w:lang w:val="nl-NL"/>
        </w:rPr>
        <w:t>VN-Biodiversiteitsverdrag</w:t>
      </w:r>
      <w:r w:rsidR="00F04BBA">
        <w:rPr>
          <w:lang w:val="nl-NL"/>
        </w:rPr>
        <w:t xml:space="preserve">. Tot slot stond de Raad kort stil bij </w:t>
      </w:r>
      <w:r w:rsidRPr="00F04BBA" w:rsidR="00F04BBA">
        <w:rPr>
          <w:lang w:val="nl-NL"/>
        </w:rPr>
        <w:t>de strijd tegen alle vormen van discriminatie.</w:t>
      </w:r>
    </w:p>
    <w:p w:rsidRPr="00724DC5" w:rsidR="00B753D8" w:rsidP="00A45E04" w:rsidRDefault="00E6169E" w14:paraId="4AA0E898" w14:textId="6D1AD893">
      <w:pPr>
        <w:spacing w:line="276" w:lineRule="auto"/>
        <w:rPr>
          <w:rFonts w:cs="Times New Roman"/>
          <w:szCs w:val="18"/>
          <w:lang w:val="nl-NL" w:eastAsia="ja-JP"/>
        </w:rPr>
      </w:pPr>
      <w:r>
        <w:rPr>
          <w:b/>
          <w:szCs w:val="18"/>
          <w:lang w:val="nl-NL" w:eastAsia="ja-JP"/>
        </w:rPr>
        <w:lastRenderedPageBreak/>
        <w:t xml:space="preserve">Verklaring </w:t>
      </w:r>
      <w:r w:rsidR="00D92E56">
        <w:rPr>
          <w:b/>
          <w:szCs w:val="18"/>
          <w:lang w:val="nl-NL" w:eastAsia="ja-JP"/>
        </w:rPr>
        <w:t xml:space="preserve">over het </w:t>
      </w:r>
      <w:r>
        <w:rPr>
          <w:b/>
          <w:szCs w:val="18"/>
          <w:lang w:val="nl-NL" w:eastAsia="ja-JP"/>
        </w:rPr>
        <w:t>bevorderen van</w:t>
      </w:r>
      <w:r w:rsidR="00D92E56">
        <w:rPr>
          <w:b/>
          <w:szCs w:val="18"/>
          <w:lang w:val="nl-NL" w:eastAsia="ja-JP"/>
        </w:rPr>
        <w:t xml:space="preserve"> Joods leven</w:t>
      </w:r>
      <w:r>
        <w:rPr>
          <w:b/>
          <w:szCs w:val="18"/>
          <w:lang w:val="nl-NL" w:eastAsia="ja-JP"/>
        </w:rPr>
        <w:t xml:space="preserve"> en het bestrijden van antisemitisme</w:t>
      </w:r>
      <w:r w:rsidR="00A81C4F">
        <w:rPr>
          <w:rFonts w:eastAsia="Malgun Gothic"/>
          <w:b/>
          <w:szCs w:val="18"/>
          <w:lang w:val="nl-NL" w:eastAsia="ko-KR"/>
        </w:rPr>
        <w:tab/>
      </w:r>
      <w:r w:rsidR="009A633C">
        <w:rPr>
          <w:rFonts w:eastAsia="Malgun Gothic"/>
          <w:b/>
          <w:szCs w:val="18"/>
          <w:lang w:val="nl-NL" w:eastAsia="ko-KR"/>
        </w:rPr>
        <w:t xml:space="preserve">        </w:t>
      </w:r>
      <w:bookmarkStart w:name="_Hlk179980948" w:id="2"/>
      <w:r w:rsidRPr="002922A1" w:rsidR="000C7A53">
        <w:rPr>
          <w:rFonts w:eastAsia="Malgun Gothic"/>
          <w:szCs w:val="18"/>
          <w:lang w:val="nl-NL" w:eastAsia="ko-KR"/>
        </w:rPr>
        <w:t xml:space="preserve">De Raad nam de Raadsverklaring </w:t>
      </w:r>
      <w:r w:rsidR="000C7A53">
        <w:rPr>
          <w:rFonts w:eastAsia="Malgun Gothic"/>
          <w:szCs w:val="18"/>
          <w:lang w:val="nl-NL" w:eastAsia="ko-KR"/>
        </w:rPr>
        <w:t>over het</w:t>
      </w:r>
      <w:r w:rsidRPr="002922A1" w:rsidR="000C7A53">
        <w:rPr>
          <w:rFonts w:eastAsia="Malgun Gothic"/>
          <w:szCs w:val="18"/>
          <w:lang w:val="nl-NL" w:eastAsia="ko-KR"/>
        </w:rPr>
        <w:t xml:space="preserve"> bevorderen van Joods leven en het bestrijden van</w:t>
      </w:r>
      <w:r w:rsidR="007433FA">
        <w:rPr>
          <w:rFonts w:eastAsia="Malgun Gothic"/>
          <w:szCs w:val="18"/>
          <w:lang w:val="nl-NL" w:eastAsia="ko-KR"/>
        </w:rPr>
        <w:t xml:space="preserve"> a</w:t>
      </w:r>
      <w:r w:rsidRPr="002922A1" w:rsidR="000C7A53">
        <w:rPr>
          <w:rFonts w:eastAsia="Malgun Gothic"/>
          <w:szCs w:val="18"/>
          <w:lang w:val="nl-NL" w:eastAsia="ko-KR"/>
        </w:rPr>
        <w:t>ntisemitisme aan</w:t>
      </w:r>
      <w:r w:rsidR="008B1F6C">
        <w:rPr>
          <w:rFonts w:eastAsia="Malgun Gothic"/>
          <w:szCs w:val="18"/>
          <w:lang w:val="nl-NL" w:eastAsia="ko-KR"/>
        </w:rPr>
        <w:t>.</w:t>
      </w:r>
      <w:r w:rsidR="00E747E3">
        <w:rPr>
          <w:rStyle w:val="FootnoteReference"/>
          <w:rFonts w:eastAsia="Malgun Gothic"/>
          <w:szCs w:val="18"/>
          <w:lang w:val="nl-NL" w:eastAsia="ko-KR"/>
        </w:rPr>
        <w:footnoteReference w:id="5"/>
      </w:r>
      <w:r w:rsidRPr="002922A1" w:rsidR="000C7A53">
        <w:rPr>
          <w:rFonts w:eastAsia="Malgun Gothic"/>
          <w:szCs w:val="18"/>
          <w:lang w:val="nl-NL" w:eastAsia="ko-KR"/>
        </w:rPr>
        <w:t xml:space="preserve"> Alle lidstaten benadrukten het belang van de verklaring en gaven aan dat voor antisemitisme geen plek is in de EU. </w:t>
      </w:r>
      <w:bookmarkEnd w:id="2"/>
      <w:r w:rsidR="00B753D8">
        <w:rPr>
          <w:rFonts w:eastAsia="Malgun Gothic"/>
          <w:szCs w:val="18"/>
          <w:lang w:val="nl-NL" w:eastAsia="ko-KR"/>
        </w:rPr>
        <w:t>Nederland benoemde daarbij ook de intensivering van de kabinetsinzet ter</w:t>
      </w:r>
      <w:r w:rsidR="00A45E04">
        <w:rPr>
          <w:rFonts w:eastAsia="Malgun Gothic"/>
          <w:szCs w:val="18"/>
          <w:lang w:val="nl-NL" w:eastAsia="ko-KR"/>
        </w:rPr>
        <w:t xml:space="preserve"> </w:t>
      </w:r>
      <w:r w:rsidR="00B753D8">
        <w:rPr>
          <w:rFonts w:eastAsia="Malgun Gothic"/>
          <w:szCs w:val="18"/>
          <w:lang w:val="nl-NL" w:eastAsia="ko-KR"/>
        </w:rPr>
        <w:t>zake, inclusief de nieuwe strategie die eind 2024 wordt verwacht.</w:t>
      </w:r>
    </w:p>
    <w:p w:rsidRPr="00724DC5" w:rsidR="005951C1" w:rsidP="00A45E04" w:rsidRDefault="00D92E56" w14:paraId="57A98D1B" w14:textId="54BF1E85">
      <w:pPr>
        <w:spacing w:line="276" w:lineRule="auto"/>
        <w:rPr>
          <w:rFonts w:cs="Times New Roman"/>
          <w:b/>
          <w:szCs w:val="18"/>
          <w:lang w:val="nl-NL" w:eastAsia="ja-JP"/>
        </w:rPr>
      </w:pPr>
      <w:r>
        <w:rPr>
          <w:b/>
          <w:szCs w:val="18"/>
          <w:lang w:val="nl-NL" w:eastAsia="ja-JP"/>
        </w:rPr>
        <w:t>EU-Zwitserland-</w:t>
      </w:r>
      <w:r w:rsidR="00E6169E">
        <w:rPr>
          <w:b/>
          <w:szCs w:val="18"/>
          <w:lang w:val="nl-NL" w:eastAsia="ja-JP"/>
        </w:rPr>
        <w:t>betrekkingen</w:t>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5D798E">
        <w:rPr>
          <w:rFonts w:cs="Times New Roman"/>
          <w:b/>
          <w:szCs w:val="18"/>
          <w:lang w:val="nl-NL" w:eastAsia="ja-JP"/>
        </w:rPr>
        <w:br/>
      </w:r>
      <w:r w:rsidR="005D798E">
        <w:rPr>
          <w:lang w:val="nl-NL"/>
        </w:rPr>
        <w:t xml:space="preserve">Commissaris </w:t>
      </w:r>
      <w:proofErr w:type="spellStart"/>
      <w:r w:rsidRPr="005D798E" w:rsidR="005D798E">
        <w:rPr>
          <w:lang w:val="nl-NL"/>
        </w:rPr>
        <w:t>Šefčovič</w:t>
      </w:r>
      <w:proofErr w:type="spellEnd"/>
      <w:r w:rsidRPr="005D798E" w:rsidR="005D798E">
        <w:rPr>
          <w:lang w:val="nl-NL"/>
        </w:rPr>
        <w:t xml:space="preserve"> </w:t>
      </w:r>
      <w:r w:rsidRPr="005951C1" w:rsidR="005951C1">
        <w:rPr>
          <w:lang w:val="nl-NL"/>
        </w:rPr>
        <w:t xml:space="preserve">gaf een </w:t>
      </w:r>
      <w:r w:rsidR="004D19BB">
        <w:rPr>
          <w:lang w:val="nl-NL"/>
        </w:rPr>
        <w:t xml:space="preserve">update </w:t>
      </w:r>
      <w:r w:rsidR="006C26BC">
        <w:rPr>
          <w:lang w:val="nl-NL"/>
        </w:rPr>
        <w:t xml:space="preserve">over </w:t>
      </w:r>
      <w:r w:rsidR="004D19BB">
        <w:rPr>
          <w:lang w:val="nl-NL"/>
        </w:rPr>
        <w:t>de</w:t>
      </w:r>
      <w:r w:rsidRPr="005951C1" w:rsidR="005951C1">
        <w:rPr>
          <w:lang w:val="nl-NL"/>
        </w:rPr>
        <w:t xml:space="preserve"> onderhandelingen </w:t>
      </w:r>
      <w:r w:rsidR="004D19BB">
        <w:rPr>
          <w:lang w:val="nl-NL"/>
        </w:rPr>
        <w:t xml:space="preserve">tussen de EU en Zwitserland. </w:t>
      </w:r>
      <w:r w:rsidR="009C1F47">
        <w:rPr>
          <w:lang w:val="nl-NL"/>
        </w:rPr>
        <w:t>Naast de geboekte voortgang zijn er</w:t>
      </w:r>
      <w:r w:rsidR="004D19BB">
        <w:rPr>
          <w:lang w:val="nl-NL"/>
        </w:rPr>
        <w:t xml:space="preserve"> openstaande punten op een</w:t>
      </w:r>
      <w:r w:rsidRPr="005951C1" w:rsidR="005951C1">
        <w:rPr>
          <w:lang w:val="nl-NL"/>
        </w:rPr>
        <w:t xml:space="preserve"> aantal dossiers die aan fundamentele belangen</w:t>
      </w:r>
      <w:r w:rsidR="009C1F47">
        <w:rPr>
          <w:lang w:val="nl-NL"/>
        </w:rPr>
        <w:t xml:space="preserve"> van de EU</w:t>
      </w:r>
      <w:r w:rsidRPr="005951C1" w:rsidR="005951C1">
        <w:rPr>
          <w:lang w:val="nl-NL"/>
        </w:rPr>
        <w:t xml:space="preserve"> raken. </w:t>
      </w:r>
      <w:r w:rsidR="004D19BB">
        <w:rPr>
          <w:lang w:val="nl-NL"/>
        </w:rPr>
        <w:t xml:space="preserve">De Commissie </w:t>
      </w:r>
      <w:r w:rsidR="0025657A">
        <w:rPr>
          <w:lang w:val="nl-NL"/>
        </w:rPr>
        <w:t xml:space="preserve">stuurt aan op een overeenkomst voor het </w:t>
      </w:r>
      <w:r w:rsidRPr="005951C1" w:rsidR="005951C1">
        <w:rPr>
          <w:lang w:val="nl-NL"/>
        </w:rPr>
        <w:t>einde van 2024.</w:t>
      </w:r>
      <w:r w:rsidR="00724DC5">
        <w:rPr>
          <w:rFonts w:cs="Times New Roman"/>
          <w:b/>
          <w:szCs w:val="18"/>
          <w:lang w:val="nl-NL" w:eastAsia="ja-JP"/>
        </w:rPr>
        <w:br/>
      </w:r>
      <w:r w:rsidR="009C1F47">
        <w:rPr>
          <w:lang w:val="nl-NL"/>
        </w:rPr>
        <w:t>V</w:t>
      </w:r>
      <w:r w:rsidRPr="005951C1" w:rsidR="005951C1">
        <w:rPr>
          <w:lang w:val="nl-NL"/>
        </w:rPr>
        <w:t xml:space="preserve">rijwel alle </w:t>
      </w:r>
      <w:r w:rsidR="00925BFA">
        <w:rPr>
          <w:lang w:val="nl-NL"/>
        </w:rPr>
        <w:t>lidstaten</w:t>
      </w:r>
      <w:r w:rsidRPr="005951C1" w:rsidR="005951C1">
        <w:rPr>
          <w:lang w:val="nl-NL"/>
        </w:rPr>
        <w:t xml:space="preserve"> </w:t>
      </w:r>
      <w:r w:rsidR="009C1F47">
        <w:rPr>
          <w:lang w:val="nl-NL"/>
        </w:rPr>
        <w:t xml:space="preserve">spraken </w:t>
      </w:r>
      <w:r w:rsidRPr="005951C1" w:rsidR="005951C1">
        <w:rPr>
          <w:lang w:val="nl-NL"/>
        </w:rPr>
        <w:t xml:space="preserve">steun en vertrouwen uit voor </w:t>
      </w:r>
      <w:r w:rsidR="000A1583">
        <w:rPr>
          <w:lang w:val="nl-NL"/>
        </w:rPr>
        <w:t xml:space="preserve">de </w:t>
      </w:r>
      <w:r w:rsidRPr="005951C1" w:rsidR="005951C1">
        <w:rPr>
          <w:lang w:val="nl-NL"/>
        </w:rPr>
        <w:t xml:space="preserve">koers </w:t>
      </w:r>
      <w:r w:rsidR="00A9070F">
        <w:rPr>
          <w:lang w:val="nl-NL"/>
        </w:rPr>
        <w:t>van de Commissie</w:t>
      </w:r>
      <w:r w:rsidR="00720037">
        <w:rPr>
          <w:lang w:val="nl-NL"/>
        </w:rPr>
        <w:t xml:space="preserve"> en</w:t>
      </w:r>
      <w:r w:rsidR="00353255">
        <w:rPr>
          <w:lang w:val="nl-NL"/>
        </w:rPr>
        <w:t xml:space="preserve"> ste</w:t>
      </w:r>
      <w:r w:rsidR="001C3C4E">
        <w:rPr>
          <w:lang w:val="nl-NL"/>
        </w:rPr>
        <w:t>u</w:t>
      </w:r>
      <w:r w:rsidR="00353255">
        <w:rPr>
          <w:lang w:val="nl-NL"/>
        </w:rPr>
        <w:t xml:space="preserve">nden het streven om </w:t>
      </w:r>
      <w:r w:rsidR="000A1583">
        <w:rPr>
          <w:lang w:val="nl-NL"/>
        </w:rPr>
        <w:t xml:space="preserve">de </w:t>
      </w:r>
      <w:r w:rsidR="00353255">
        <w:rPr>
          <w:lang w:val="nl-NL"/>
        </w:rPr>
        <w:t xml:space="preserve">onderhandelingen dit jaar af te ronden. </w:t>
      </w:r>
      <w:r w:rsidR="00DD5FDA">
        <w:rPr>
          <w:lang w:val="nl-NL"/>
        </w:rPr>
        <w:t>Enkele</w:t>
      </w:r>
      <w:r w:rsidR="00353255">
        <w:rPr>
          <w:lang w:val="nl-NL"/>
        </w:rPr>
        <w:t xml:space="preserve"> lidstaten benoemden specifiek het belang van Zwitserse associatie bij </w:t>
      </w:r>
      <w:r w:rsidRPr="005E7363" w:rsidR="00353255">
        <w:rPr>
          <w:i/>
          <w:iCs/>
          <w:lang w:val="nl-NL"/>
        </w:rPr>
        <w:t>Horizon Europe</w:t>
      </w:r>
      <w:r w:rsidR="00353255">
        <w:rPr>
          <w:lang w:val="nl-NL"/>
        </w:rPr>
        <w:t xml:space="preserve"> als onderdeel van het pakket.</w:t>
      </w:r>
      <w:r w:rsidRPr="005951C1" w:rsidR="005951C1">
        <w:rPr>
          <w:lang w:val="nl-NL"/>
        </w:rPr>
        <w:t xml:space="preserve"> </w:t>
      </w:r>
      <w:r w:rsidR="00B2262F">
        <w:rPr>
          <w:lang w:val="nl-NL"/>
        </w:rPr>
        <w:t>De u</w:t>
      </w:r>
      <w:r w:rsidRPr="005951C1" w:rsidR="005951C1">
        <w:rPr>
          <w:lang w:val="nl-NL"/>
        </w:rPr>
        <w:t xml:space="preserve">itzonderingen die </w:t>
      </w:r>
      <w:r w:rsidR="00353255">
        <w:rPr>
          <w:lang w:val="nl-NL"/>
        </w:rPr>
        <w:t>Zwitserland</w:t>
      </w:r>
      <w:r w:rsidRPr="005951C1" w:rsidR="005951C1">
        <w:rPr>
          <w:lang w:val="nl-NL"/>
        </w:rPr>
        <w:t xml:space="preserve"> wenst op </w:t>
      </w:r>
      <w:r w:rsidR="00245592">
        <w:rPr>
          <w:lang w:val="nl-NL"/>
        </w:rPr>
        <w:t>vr</w:t>
      </w:r>
      <w:r w:rsidRPr="005951C1" w:rsidR="005951C1">
        <w:rPr>
          <w:lang w:val="nl-NL"/>
        </w:rPr>
        <w:t xml:space="preserve">ij verkeer van personen </w:t>
      </w:r>
      <w:r w:rsidR="00CB62F3">
        <w:rPr>
          <w:lang w:val="nl-NL"/>
        </w:rPr>
        <w:t>kre</w:t>
      </w:r>
      <w:r w:rsidR="00B2262F">
        <w:rPr>
          <w:lang w:val="nl-NL"/>
        </w:rPr>
        <w:t>gen</w:t>
      </w:r>
      <w:r w:rsidR="00CB62F3">
        <w:rPr>
          <w:lang w:val="nl-NL"/>
        </w:rPr>
        <w:t xml:space="preserve"> geen steun</w:t>
      </w:r>
      <w:r w:rsidR="009C1F47">
        <w:rPr>
          <w:lang w:val="nl-NL"/>
        </w:rPr>
        <w:t xml:space="preserve">. </w:t>
      </w:r>
    </w:p>
    <w:p w:rsidRPr="00117EA7" w:rsidR="00A81C4F" w:rsidP="00A45E04" w:rsidRDefault="00D92E56" w14:paraId="046855B4" w14:textId="3B2CE631">
      <w:pPr>
        <w:spacing w:line="276" w:lineRule="auto"/>
        <w:rPr>
          <w:rFonts w:cs="Times New Roman"/>
          <w:b/>
          <w:szCs w:val="18"/>
          <w:lang w:val="nl-NL" w:eastAsia="ja-JP"/>
        </w:rPr>
      </w:pPr>
      <w:r w:rsidRPr="00D92E56">
        <w:rPr>
          <w:b/>
          <w:szCs w:val="18"/>
          <w:lang w:val="nl-NL" w:eastAsia="ja-JP"/>
        </w:rPr>
        <w:t>Europe</w:t>
      </w:r>
      <w:r w:rsidR="00A620B5">
        <w:rPr>
          <w:b/>
          <w:szCs w:val="18"/>
          <w:lang w:val="nl-NL" w:eastAsia="ja-JP"/>
        </w:rPr>
        <w:t>e</w:t>
      </w:r>
      <w:r w:rsidRPr="00D92E56">
        <w:rPr>
          <w:b/>
          <w:szCs w:val="18"/>
          <w:lang w:val="nl-NL" w:eastAsia="ja-JP"/>
        </w:rPr>
        <w:t>s Semester 2024</w:t>
      </w:r>
      <w:r w:rsidRPr="00D92E56">
        <w:rPr>
          <w:rFonts w:eastAsia="Malgun Gothic"/>
          <w:b/>
          <w:szCs w:val="18"/>
          <w:lang w:val="nl-NL" w:eastAsia="ko-KR"/>
        </w:rPr>
        <w:tab/>
      </w:r>
      <w:r w:rsidRPr="00D92E56">
        <w:rPr>
          <w:rFonts w:eastAsia="Malgun Gothic"/>
          <w:b/>
          <w:szCs w:val="18"/>
          <w:lang w:val="nl-NL" w:eastAsia="ko-KR"/>
        </w:rPr>
        <w:tab/>
      </w:r>
      <w:r w:rsidRPr="00D92E56">
        <w:rPr>
          <w:rFonts w:eastAsia="Malgun Gothic"/>
          <w:b/>
          <w:szCs w:val="18"/>
          <w:lang w:val="nl-NL" w:eastAsia="ko-KR"/>
        </w:rPr>
        <w:tab/>
      </w:r>
      <w:r w:rsidRPr="00D92E56">
        <w:rPr>
          <w:rFonts w:eastAsia="Malgun Gothic"/>
          <w:b/>
          <w:szCs w:val="18"/>
          <w:lang w:val="nl-NL" w:eastAsia="ko-KR"/>
        </w:rPr>
        <w:tab/>
      </w:r>
      <w:r w:rsidR="004C2422">
        <w:rPr>
          <w:rFonts w:cs="Times New Roman"/>
          <w:b/>
          <w:szCs w:val="18"/>
          <w:lang w:val="nl-NL" w:eastAsia="ja-JP"/>
        </w:rPr>
        <w:br/>
      </w:r>
      <w:r w:rsidR="004C2422">
        <w:rPr>
          <w:lang w:val="nl-NL"/>
        </w:rPr>
        <w:t xml:space="preserve">De Raad geleidde </w:t>
      </w:r>
      <w:r w:rsidRPr="004C2422" w:rsidR="004C2422">
        <w:rPr>
          <w:lang w:val="nl-NL"/>
        </w:rPr>
        <w:t xml:space="preserve">de </w:t>
      </w:r>
      <w:proofErr w:type="spellStart"/>
      <w:r w:rsidRPr="004C2422" w:rsidR="004C2422">
        <w:rPr>
          <w:lang w:val="nl-NL"/>
        </w:rPr>
        <w:t>land</w:t>
      </w:r>
      <w:r w:rsidR="00720037">
        <w:rPr>
          <w:lang w:val="nl-NL"/>
        </w:rPr>
        <w:t>en</w:t>
      </w:r>
      <w:r w:rsidRPr="004C2422" w:rsidR="004C2422">
        <w:rPr>
          <w:lang w:val="nl-NL"/>
        </w:rPr>
        <w:t>specifieke</w:t>
      </w:r>
      <w:proofErr w:type="spellEnd"/>
      <w:r w:rsidRPr="004C2422" w:rsidR="004C2422">
        <w:rPr>
          <w:lang w:val="nl-NL"/>
        </w:rPr>
        <w:t xml:space="preserve"> aanbevelingen van het Europees Semester </w:t>
      </w:r>
      <w:r w:rsidR="00724DC5">
        <w:rPr>
          <w:lang w:val="nl-NL"/>
        </w:rPr>
        <w:t xml:space="preserve">(ES) </w:t>
      </w:r>
      <w:r w:rsidR="004C2422">
        <w:rPr>
          <w:lang w:val="nl-NL"/>
        </w:rPr>
        <w:t>door aan de ER</w:t>
      </w:r>
      <w:r w:rsidRPr="004C2422" w:rsidR="004C2422">
        <w:rPr>
          <w:lang w:val="nl-NL"/>
        </w:rPr>
        <w:t xml:space="preserve">. Deze zijn eerder tijdens de </w:t>
      </w:r>
      <w:proofErr w:type="spellStart"/>
      <w:r w:rsidRPr="004C2422" w:rsidR="004C2422">
        <w:rPr>
          <w:lang w:val="nl-NL"/>
        </w:rPr>
        <w:t>Ecofinraad</w:t>
      </w:r>
      <w:proofErr w:type="spellEnd"/>
      <w:r w:rsidRPr="004C2422" w:rsidR="004C2422">
        <w:rPr>
          <w:lang w:val="nl-NL"/>
        </w:rPr>
        <w:t xml:space="preserve"> van 16 juli jl. goedgekeurd</w:t>
      </w:r>
      <w:r w:rsidR="000A1E68">
        <w:rPr>
          <w:lang w:val="nl-NL"/>
        </w:rPr>
        <w:t>.</w:t>
      </w:r>
      <w:r w:rsidR="004C2422">
        <w:rPr>
          <w:rStyle w:val="FootnoteReference"/>
          <w:lang w:val="nl-NL"/>
        </w:rPr>
        <w:footnoteReference w:id="6"/>
      </w:r>
      <w:r w:rsidRPr="004C2422" w:rsidR="004C2422">
        <w:rPr>
          <w:lang w:val="nl-NL"/>
        </w:rPr>
        <w:t xml:space="preserve"> Na bekrachtiging door de </w:t>
      </w:r>
      <w:r w:rsidR="005E7363">
        <w:rPr>
          <w:lang w:val="nl-NL"/>
        </w:rPr>
        <w:t>ER</w:t>
      </w:r>
      <w:r w:rsidRPr="004C2422" w:rsidR="004C2422">
        <w:rPr>
          <w:lang w:val="nl-NL"/>
        </w:rPr>
        <w:t xml:space="preserve">, </w:t>
      </w:r>
      <w:r w:rsidR="005E7363">
        <w:rPr>
          <w:lang w:val="nl-NL"/>
        </w:rPr>
        <w:t xml:space="preserve">neemt </w:t>
      </w:r>
      <w:r w:rsidRPr="004C2422" w:rsidR="005E7363">
        <w:rPr>
          <w:lang w:val="nl-NL"/>
        </w:rPr>
        <w:t xml:space="preserve">de eerstvolgende </w:t>
      </w:r>
      <w:proofErr w:type="spellStart"/>
      <w:r w:rsidRPr="004C2422" w:rsidR="005E7363">
        <w:rPr>
          <w:lang w:val="nl-NL"/>
        </w:rPr>
        <w:t>Ecofinraad</w:t>
      </w:r>
      <w:proofErr w:type="spellEnd"/>
      <w:r w:rsidRPr="004C2422" w:rsidR="004C2422">
        <w:rPr>
          <w:lang w:val="nl-NL"/>
        </w:rPr>
        <w:t xml:space="preserve"> de aanbevelingen officieel aan</w:t>
      </w:r>
      <w:r w:rsidR="005E7363">
        <w:rPr>
          <w:lang w:val="nl-NL"/>
        </w:rPr>
        <w:t>. D</w:t>
      </w:r>
      <w:r w:rsidRPr="004C2422" w:rsidR="004C2422">
        <w:rPr>
          <w:lang w:val="nl-NL"/>
        </w:rPr>
        <w:t xml:space="preserve">eze stap </w:t>
      </w:r>
      <w:r w:rsidR="005E7363">
        <w:rPr>
          <w:lang w:val="nl-NL"/>
        </w:rPr>
        <w:t>rond</w:t>
      </w:r>
      <w:r w:rsidRPr="004C2422" w:rsidR="004C2422">
        <w:rPr>
          <w:lang w:val="nl-NL"/>
        </w:rPr>
        <w:t xml:space="preserve">t </w:t>
      </w:r>
      <w:r w:rsidR="00681EC5">
        <w:rPr>
          <w:lang w:val="nl-NL"/>
        </w:rPr>
        <w:t>het</w:t>
      </w:r>
      <w:r w:rsidRPr="004C2422" w:rsidR="004C2422">
        <w:rPr>
          <w:lang w:val="nl-NL"/>
        </w:rPr>
        <w:t xml:space="preserve"> </w:t>
      </w:r>
      <w:r w:rsidR="00724DC5">
        <w:rPr>
          <w:lang w:val="nl-NL"/>
        </w:rPr>
        <w:t xml:space="preserve">ES 2024 </w:t>
      </w:r>
      <w:r w:rsidRPr="004C2422" w:rsidR="004C2422">
        <w:rPr>
          <w:lang w:val="nl-NL"/>
        </w:rPr>
        <w:t>af.</w:t>
      </w:r>
    </w:p>
    <w:p w:rsidR="00A81C4F" w:rsidP="00A45E04" w:rsidRDefault="008475AD" w14:paraId="4446E9C2" w14:textId="3559613C">
      <w:pPr>
        <w:spacing w:line="276" w:lineRule="auto"/>
        <w:rPr>
          <w:rFonts w:cs="Times New Roman"/>
          <w:szCs w:val="18"/>
          <w:lang w:val="nl-NL" w:eastAsia="ja-JP"/>
        </w:rPr>
      </w:pPr>
      <w:r>
        <w:rPr>
          <w:rFonts w:cs="Times New Roman"/>
          <w:i/>
          <w:szCs w:val="18"/>
          <w:lang w:val="nl-NL" w:eastAsia="ja-JP"/>
        </w:rPr>
        <w:t>Overig punt</w:t>
      </w:r>
      <w:r w:rsidR="00D92E56">
        <w:rPr>
          <w:rFonts w:cs="Times New Roman"/>
          <w:i/>
          <w:szCs w:val="18"/>
          <w:lang w:val="nl-NL" w:eastAsia="ja-JP"/>
        </w:rPr>
        <w:t xml:space="preserve"> Verkiezingen Georgi</w:t>
      </w:r>
      <w:r w:rsidRPr="00A620B5" w:rsidR="00D92E56">
        <w:rPr>
          <w:rFonts w:cs="Times New Roman"/>
          <w:i/>
          <w:szCs w:val="18"/>
          <w:lang w:val="nl-NL" w:eastAsia="ja-JP"/>
        </w:rPr>
        <w:t>ë</w:t>
      </w:r>
      <w:r w:rsidR="00A81C4F">
        <w:rPr>
          <w:rFonts w:cs="Times New Roman"/>
          <w:i/>
          <w:szCs w:val="18"/>
          <w:lang w:val="nl-NL" w:eastAsia="ja-JP"/>
        </w:rPr>
        <w:br/>
      </w:r>
      <w:r w:rsidR="003F4815">
        <w:rPr>
          <w:rFonts w:cs="Times New Roman"/>
          <w:szCs w:val="18"/>
          <w:lang w:val="nl-NL" w:eastAsia="ja-JP"/>
        </w:rPr>
        <w:t xml:space="preserve">De </w:t>
      </w:r>
      <w:r w:rsidR="00D97BEA">
        <w:rPr>
          <w:rFonts w:cs="Times New Roman"/>
          <w:szCs w:val="18"/>
          <w:lang w:val="nl-NL" w:eastAsia="ja-JP"/>
        </w:rPr>
        <w:t>Raad stil bij</w:t>
      </w:r>
      <w:r w:rsidR="005A7869">
        <w:rPr>
          <w:rFonts w:cs="Times New Roman"/>
          <w:szCs w:val="18"/>
          <w:lang w:val="nl-NL" w:eastAsia="ja-JP"/>
        </w:rPr>
        <w:t xml:space="preserve"> de </w:t>
      </w:r>
      <w:r w:rsidR="00BA7E72">
        <w:rPr>
          <w:rFonts w:cs="Times New Roman"/>
          <w:szCs w:val="18"/>
          <w:lang w:val="nl-NL" w:eastAsia="ja-JP"/>
        </w:rPr>
        <w:t>aanstaande parlements</w:t>
      </w:r>
      <w:r w:rsidR="005A7869">
        <w:rPr>
          <w:rFonts w:cs="Times New Roman"/>
          <w:szCs w:val="18"/>
          <w:lang w:val="nl-NL" w:eastAsia="ja-JP"/>
        </w:rPr>
        <w:t>verkiezingen in Georgië.</w:t>
      </w:r>
      <w:r w:rsidR="00DA69BC">
        <w:rPr>
          <w:rFonts w:cs="Times New Roman"/>
          <w:szCs w:val="18"/>
          <w:lang w:val="nl-NL" w:eastAsia="ja-JP"/>
        </w:rPr>
        <w:t xml:space="preserve"> </w:t>
      </w:r>
      <w:r w:rsidR="007378B9">
        <w:rPr>
          <w:rFonts w:cs="Times New Roman"/>
          <w:szCs w:val="18"/>
          <w:lang w:val="nl-NL" w:eastAsia="ja-JP"/>
        </w:rPr>
        <w:t xml:space="preserve">Nederland </w:t>
      </w:r>
      <w:r w:rsidR="00971159">
        <w:rPr>
          <w:rFonts w:cs="Times New Roman"/>
          <w:szCs w:val="18"/>
          <w:lang w:val="nl-NL" w:eastAsia="ja-JP"/>
        </w:rPr>
        <w:t>haalde</w:t>
      </w:r>
      <w:r w:rsidR="00BA7E72">
        <w:rPr>
          <w:rFonts w:cs="Times New Roman"/>
          <w:szCs w:val="18"/>
          <w:lang w:val="nl-NL" w:eastAsia="ja-JP"/>
        </w:rPr>
        <w:t xml:space="preserve"> </w:t>
      </w:r>
      <w:r w:rsidR="00720037">
        <w:rPr>
          <w:rFonts w:cs="Times New Roman"/>
          <w:szCs w:val="18"/>
          <w:lang w:val="nl-NL" w:eastAsia="ja-JP"/>
        </w:rPr>
        <w:t xml:space="preserve">in lijn met </w:t>
      </w:r>
      <w:r w:rsidR="00BA7E72">
        <w:rPr>
          <w:rFonts w:cs="Times New Roman"/>
          <w:szCs w:val="18"/>
          <w:lang w:val="nl-NL" w:eastAsia="ja-JP"/>
        </w:rPr>
        <w:t xml:space="preserve">de </w:t>
      </w:r>
      <w:r w:rsidR="00720037">
        <w:rPr>
          <w:rFonts w:cs="Times New Roman"/>
          <w:szCs w:val="18"/>
          <w:lang w:val="nl-NL" w:eastAsia="ja-JP"/>
        </w:rPr>
        <w:t xml:space="preserve">conclusies </w:t>
      </w:r>
      <w:r w:rsidR="00BA7E72">
        <w:rPr>
          <w:rFonts w:cs="Times New Roman"/>
          <w:szCs w:val="18"/>
          <w:lang w:val="nl-NL" w:eastAsia="ja-JP"/>
        </w:rPr>
        <w:t xml:space="preserve">van de </w:t>
      </w:r>
      <w:r w:rsidR="00971159">
        <w:rPr>
          <w:rFonts w:cs="Times New Roman"/>
          <w:szCs w:val="18"/>
          <w:lang w:val="nl-NL" w:eastAsia="ja-JP"/>
        </w:rPr>
        <w:t>ER</w:t>
      </w:r>
      <w:r w:rsidR="00BA7E72">
        <w:rPr>
          <w:rFonts w:cs="Times New Roman"/>
          <w:szCs w:val="18"/>
          <w:lang w:val="nl-NL" w:eastAsia="ja-JP"/>
        </w:rPr>
        <w:t xml:space="preserve"> van juni jl. </w:t>
      </w:r>
      <w:r w:rsidR="00DF6444">
        <w:rPr>
          <w:rFonts w:cs="Times New Roman"/>
          <w:szCs w:val="18"/>
          <w:lang w:val="nl-NL" w:eastAsia="ja-JP"/>
        </w:rPr>
        <w:t xml:space="preserve">aan </w:t>
      </w:r>
      <w:r w:rsidR="00BA7E72">
        <w:rPr>
          <w:rFonts w:cs="Times New Roman"/>
          <w:szCs w:val="18"/>
          <w:lang w:val="nl-NL" w:eastAsia="ja-JP"/>
        </w:rPr>
        <w:t xml:space="preserve">dat de </w:t>
      </w:r>
      <w:r w:rsidRPr="00BA7E72" w:rsidR="00BA7E72">
        <w:rPr>
          <w:rFonts w:cs="Times New Roman"/>
          <w:szCs w:val="18"/>
          <w:lang w:val="nl-NL" w:eastAsia="ja-JP"/>
        </w:rPr>
        <w:t>acties</w:t>
      </w:r>
      <w:r w:rsidR="00BA7E72">
        <w:rPr>
          <w:rFonts w:cs="Times New Roman"/>
          <w:szCs w:val="18"/>
          <w:lang w:val="nl-NL" w:eastAsia="ja-JP"/>
        </w:rPr>
        <w:t xml:space="preserve"> van de Georgische regering</w:t>
      </w:r>
      <w:r w:rsidRPr="00BA7E72" w:rsidR="00BA7E72">
        <w:rPr>
          <w:rFonts w:cs="Times New Roman"/>
          <w:szCs w:val="18"/>
          <w:lang w:val="nl-NL" w:eastAsia="ja-JP"/>
        </w:rPr>
        <w:t xml:space="preserve"> leiden tot het de facto stopzetten van het toetredingstraject. </w:t>
      </w:r>
      <w:r w:rsidR="00BA7E72">
        <w:rPr>
          <w:rFonts w:cs="Times New Roman"/>
          <w:szCs w:val="18"/>
          <w:lang w:val="nl-NL" w:eastAsia="ja-JP"/>
        </w:rPr>
        <w:t xml:space="preserve">Nederland </w:t>
      </w:r>
      <w:r w:rsidR="007378B9">
        <w:rPr>
          <w:rFonts w:cs="Times New Roman"/>
          <w:szCs w:val="18"/>
          <w:lang w:val="nl-NL" w:eastAsia="ja-JP"/>
        </w:rPr>
        <w:t xml:space="preserve">pleitte </w:t>
      </w:r>
      <w:r w:rsidR="006037EF">
        <w:rPr>
          <w:rFonts w:cs="Times New Roman"/>
          <w:szCs w:val="18"/>
          <w:lang w:val="nl-NL" w:eastAsia="ja-JP"/>
        </w:rPr>
        <w:t xml:space="preserve">hierbij </w:t>
      </w:r>
      <w:r w:rsidR="007378B9">
        <w:rPr>
          <w:rFonts w:cs="Times New Roman"/>
          <w:szCs w:val="18"/>
          <w:lang w:val="nl-NL" w:eastAsia="ja-JP"/>
        </w:rPr>
        <w:t>voor extra maatregele</w:t>
      </w:r>
      <w:r w:rsidR="00BA7E72">
        <w:rPr>
          <w:rFonts w:cs="Times New Roman"/>
          <w:szCs w:val="18"/>
          <w:lang w:val="nl-NL" w:eastAsia="ja-JP"/>
        </w:rPr>
        <w:t>n</w:t>
      </w:r>
      <w:r w:rsidR="007378B9">
        <w:rPr>
          <w:rFonts w:cs="Times New Roman"/>
          <w:szCs w:val="18"/>
          <w:lang w:val="nl-NL" w:eastAsia="ja-JP"/>
        </w:rPr>
        <w:t xml:space="preserve">, </w:t>
      </w:r>
      <w:r w:rsidR="007A7AC3">
        <w:rPr>
          <w:rFonts w:cs="Times New Roman"/>
          <w:szCs w:val="18"/>
          <w:lang w:val="nl-NL" w:eastAsia="ja-JP"/>
        </w:rPr>
        <w:t xml:space="preserve">bijvoorbeeld ten aanzien </w:t>
      </w:r>
      <w:r w:rsidR="007378B9">
        <w:rPr>
          <w:rFonts w:cs="Times New Roman"/>
          <w:szCs w:val="18"/>
          <w:lang w:val="nl-NL" w:eastAsia="ja-JP"/>
        </w:rPr>
        <w:t xml:space="preserve">van </w:t>
      </w:r>
      <w:r w:rsidR="00BA7E72">
        <w:rPr>
          <w:rFonts w:cs="Times New Roman"/>
          <w:szCs w:val="18"/>
          <w:lang w:val="nl-NL" w:eastAsia="ja-JP"/>
        </w:rPr>
        <w:t xml:space="preserve">het herzien van </w:t>
      </w:r>
      <w:r w:rsidR="007378B9">
        <w:rPr>
          <w:rFonts w:cs="Times New Roman"/>
          <w:szCs w:val="18"/>
          <w:lang w:val="nl-NL" w:eastAsia="ja-JP"/>
        </w:rPr>
        <w:t xml:space="preserve">de voorwaarden </w:t>
      </w:r>
      <w:r w:rsidR="006B6A6F">
        <w:rPr>
          <w:rFonts w:cs="Times New Roman"/>
          <w:szCs w:val="18"/>
          <w:lang w:val="nl-NL" w:eastAsia="ja-JP"/>
        </w:rPr>
        <w:t>voor</w:t>
      </w:r>
      <w:r w:rsidR="007378B9">
        <w:rPr>
          <w:rFonts w:cs="Times New Roman"/>
          <w:szCs w:val="18"/>
          <w:lang w:val="nl-NL" w:eastAsia="ja-JP"/>
        </w:rPr>
        <w:t xml:space="preserve"> visumvrij</w:t>
      </w:r>
      <w:r w:rsidR="00D97BEA">
        <w:rPr>
          <w:rFonts w:cs="Times New Roman"/>
          <w:szCs w:val="18"/>
          <w:lang w:val="nl-NL" w:eastAsia="ja-JP"/>
        </w:rPr>
        <w:t xml:space="preserve"> </w:t>
      </w:r>
      <w:r w:rsidR="007378B9">
        <w:rPr>
          <w:rFonts w:cs="Times New Roman"/>
          <w:szCs w:val="18"/>
          <w:lang w:val="nl-NL" w:eastAsia="ja-JP"/>
        </w:rPr>
        <w:t xml:space="preserve">reizen. </w:t>
      </w:r>
      <w:r w:rsidR="00720037">
        <w:rPr>
          <w:rFonts w:cs="Times New Roman"/>
          <w:szCs w:val="18"/>
          <w:lang w:val="nl-NL" w:eastAsia="ja-JP"/>
        </w:rPr>
        <w:t>De Commissie gaf aan dat het in h</w:t>
      </w:r>
      <w:r w:rsidR="007378B9">
        <w:rPr>
          <w:rFonts w:cs="Times New Roman"/>
          <w:szCs w:val="18"/>
          <w:lang w:val="nl-NL" w:eastAsia="ja-JP"/>
        </w:rPr>
        <w:t xml:space="preserve">et </w:t>
      </w:r>
      <w:r w:rsidR="00BA7E72">
        <w:rPr>
          <w:rFonts w:cs="Times New Roman"/>
          <w:szCs w:val="18"/>
          <w:lang w:val="nl-NL" w:eastAsia="ja-JP"/>
        </w:rPr>
        <w:t xml:space="preserve">jaarlijkse </w:t>
      </w:r>
      <w:r w:rsidR="007378B9">
        <w:rPr>
          <w:rFonts w:cs="Times New Roman"/>
          <w:szCs w:val="18"/>
          <w:lang w:val="nl-NL" w:eastAsia="ja-JP"/>
        </w:rPr>
        <w:t xml:space="preserve">uitbreidingspakket </w:t>
      </w:r>
      <w:r w:rsidR="00BA7E72">
        <w:rPr>
          <w:rFonts w:cs="Times New Roman"/>
          <w:szCs w:val="18"/>
          <w:lang w:val="nl-NL" w:eastAsia="ja-JP"/>
        </w:rPr>
        <w:t xml:space="preserve">en het landenrapport </w:t>
      </w:r>
      <w:r w:rsidR="006F2BA3">
        <w:rPr>
          <w:rFonts w:cs="Times New Roman"/>
          <w:szCs w:val="18"/>
          <w:lang w:val="nl-NL" w:eastAsia="ja-JP"/>
        </w:rPr>
        <w:t>vervolg</w:t>
      </w:r>
      <w:r w:rsidR="006037EF">
        <w:rPr>
          <w:rFonts w:cs="Times New Roman"/>
          <w:szCs w:val="18"/>
          <w:lang w:val="nl-NL" w:eastAsia="ja-JP"/>
        </w:rPr>
        <w:t xml:space="preserve">stappen </w:t>
      </w:r>
      <w:r w:rsidR="00720037">
        <w:rPr>
          <w:rFonts w:cs="Times New Roman"/>
          <w:szCs w:val="18"/>
          <w:lang w:val="nl-NL" w:eastAsia="ja-JP"/>
        </w:rPr>
        <w:t xml:space="preserve">zal </w:t>
      </w:r>
      <w:r w:rsidR="00FD1CC2">
        <w:rPr>
          <w:rFonts w:cs="Times New Roman"/>
          <w:szCs w:val="18"/>
          <w:lang w:val="nl-NL" w:eastAsia="ja-JP"/>
        </w:rPr>
        <w:t>voorstellen</w:t>
      </w:r>
      <w:r w:rsidR="006037EF">
        <w:rPr>
          <w:rFonts w:cs="Times New Roman"/>
          <w:szCs w:val="18"/>
          <w:lang w:val="nl-NL" w:eastAsia="ja-JP"/>
        </w:rPr>
        <w:t>.</w:t>
      </w:r>
    </w:p>
    <w:p w:rsidR="00AD1E18" w:rsidP="00A45E04" w:rsidRDefault="008475AD" w14:paraId="6E240AFA" w14:textId="40F41C95">
      <w:pPr>
        <w:spacing w:line="276" w:lineRule="auto"/>
        <w:rPr>
          <w:rFonts w:cs="Times New Roman"/>
          <w:szCs w:val="18"/>
          <w:lang w:val="nl-NL" w:eastAsia="ja-JP"/>
        </w:rPr>
      </w:pPr>
      <w:r>
        <w:rPr>
          <w:rFonts w:cs="Times New Roman"/>
          <w:i/>
          <w:szCs w:val="18"/>
          <w:lang w:val="nl-NL" w:eastAsia="ja-JP"/>
        </w:rPr>
        <w:t>Overig punt</w:t>
      </w:r>
      <w:r w:rsidR="00D92E56">
        <w:rPr>
          <w:rFonts w:cs="Times New Roman"/>
          <w:i/>
          <w:szCs w:val="18"/>
          <w:lang w:val="nl-NL" w:eastAsia="ja-JP"/>
        </w:rPr>
        <w:t xml:space="preserve"> EP-verkiezingen</w:t>
      </w:r>
      <w:r w:rsidR="00D92E56">
        <w:rPr>
          <w:rFonts w:cs="Times New Roman"/>
          <w:i/>
          <w:szCs w:val="18"/>
          <w:lang w:val="nl-NL" w:eastAsia="ja-JP"/>
        </w:rPr>
        <w:br/>
      </w:r>
      <w:bookmarkStart w:name="_Hlk179970517" w:id="3"/>
      <w:r w:rsidR="00AD1E18">
        <w:rPr>
          <w:rFonts w:cs="Times New Roman"/>
          <w:szCs w:val="18"/>
          <w:lang w:val="nl-NL" w:eastAsia="ja-JP"/>
        </w:rPr>
        <w:t xml:space="preserve">De Commissie lichtte de resultaten van een interne analyse van het verloop van de afgelopen verkiezingen in het Europees Parlement (EP) toe. </w:t>
      </w:r>
      <w:r w:rsidR="0038403C">
        <w:rPr>
          <w:rFonts w:cs="Times New Roman"/>
          <w:szCs w:val="18"/>
          <w:lang w:val="nl-NL" w:eastAsia="ja-JP"/>
        </w:rPr>
        <w:t>De Commissie concludeert dat de EP-verkiezingen over het algemeen goed verlopen zijn</w:t>
      </w:r>
      <w:r w:rsidR="0048575B">
        <w:rPr>
          <w:rFonts w:cs="Times New Roman"/>
          <w:szCs w:val="18"/>
          <w:lang w:val="nl-NL" w:eastAsia="ja-JP"/>
        </w:rPr>
        <w:t xml:space="preserve">. </w:t>
      </w:r>
      <w:r w:rsidR="0038403C">
        <w:rPr>
          <w:rFonts w:cs="Times New Roman"/>
          <w:szCs w:val="18"/>
          <w:lang w:val="nl-NL" w:eastAsia="ja-JP"/>
        </w:rPr>
        <w:t>Een rapport met de officiële resultaten volg</w:t>
      </w:r>
      <w:r w:rsidR="00FD4E5E">
        <w:rPr>
          <w:rFonts w:cs="Times New Roman"/>
          <w:szCs w:val="18"/>
          <w:lang w:val="nl-NL" w:eastAsia="ja-JP"/>
        </w:rPr>
        <w:t>t</w:t>
      </w:r>
      <w:r w:rsidR="0038403C">
        <w:rPr>
          <w:rFonts w:cs="Times New Roman"/>
          <w:szCs w:val="18"/>
          <w:lang w:val="nl-NL" w:eastAsia="ja-JP"/>
        </w:rPr>
        <w:t>.</w:t>
      </w:r>
      <w:r w:rsidR="0048575B">
        <w:rPr>
          <w:rFonts w:cs="Times New Roman"/>
          <w:szCs w:val="18"/>
          <w:lang w:val="nl-NL" w:eastAsia="ja-JP"/>
        </w:rPr>
        <w:t xml:space="preserve"> </w:t>
      </w:r>
      <w:r w:rsidR="0038403C">
        <w:rPr>
          <w:rFonts w:cs="Times New Roman"/>
          <w:szCs w:val="18"/>
          <w:lang w:val="nl-NL" w:eastAsia="ja-JP"/>
        </w:rPr>
        <w:t>D</w:t>
      </w:r>
      <w:r w:rsidR="002E39F3">
        <w:rPr>
          <w:rFonts w:cs="Times New Roman"/>
          <w:szCs w:val="18"/>
          <w:lang w:val="nl-NL" w:eastAsia="ja-JP"/>
        </w:rPr>
        <w:t xml:space="preserve">e Commissie </w:t>
      </w:r>
      <w:r w:rsidR="0038403C">
        <w:rPr>
          <w:rFonts w:cs="Times New Roman"/>
          <w:szCs w:val="18"/>
          <w:lang w:val="nl-NL" w:eastAsia="ja-JP"/>
        </w:rPr>
        <w:t xml:space="preserve">riep </w:t>
      </w:r>
      <w:r w:rsidR="002E39F3">
        <w:rPr>
          <w:rFonts w:cs="Times New Roman"/>
          <w:szCs w:val="18"/>
          <w:lang w:val="nl-NL" w:eastAsia="ja-JP"/>
        </w:rPr>
        <w:t>op tot handhaving van de Digitale dienstverordening</w:t>
      </w:r>
      <w:r w:rsidR="00083CEB">
        <w:rPr>
          <w:lang w:val="nl-NL"/>
        </w:rPr>
        <w:t xml:space="preserve">en </w:t>
      </w:r>
      <w:r w:rsidRPr="0038403C" w:rsidR="0038403C">
        <w:rPr>
          <w:lang w:val="nl-NL"/>
        </w:rPr>
        <w:t>vroeg aandacht voor digitale geletterdheid</w:t>
      </w:r>
      <w:r w:rsidR="00083CEB">
        <w:rPr>
          <w:lang w:val="nl-NL"/>
        </w:rPr>
        <w:t>,</w:t>
      </w:r>
      <w:r w:rsidRPr="0038403C" w:rsidR="0038403C">
        <w:rPr>
          <w:lang w:val="nl-NL"/>
        </w:rPr>
        <w:t xml:space="preserve"> het reguleren van politieke advertenties en onafhankelijke journalistiek en media</w:t>
      </w:r>
      <w:r w:rsidR="0030220B">
        <w:rPr>
          <w:rStyle w:val="FootnoteReference"/>
          <w:rFonts w:cs="Times New Roman"/>
          <w:szCs w:val="18"/>
          <w:lang w:val="nl-NL" w:eastAsia="ja-JP"/>
        </w:rPr>
        <w:footnoteReference w:id="7"/>
      </w:r>
      <w:r w:rsidR="0038403C">
        <w:rPr>
          <w:rFonts w:cs="Times New Roman"/>
          <w:szCs w:val="18"/>
          <w:lang w:val="nl-NL" w:eastAsia="ja-JP"/>
        </w:rPr>
        <w:t>.</w:t>
      </w:r>
      <w:bookmarkEnd w:id="3"/>
    </w:p>
    <w:p w:rsidRPr="00572873" w:rsidR="00CB0CE8" w:rsidP="00A45E04" w:rsidRDefault="008475AD" w14:paraId="2ACCAC80" w14:textId="24FB3D55">
      <w:pPr>
        <w:spacing w:before="100" w:beforeAutospacing="1" w:after="100" w:afterAutospacing="1" w:line="276" w:lineRule="auto"/>
        <w:rPr>
          <w:lang w:val="nl-NL"/>
        </w:rPr>
      </w:pPr>
      <w:r>
        <w:rPr>
          <w:rFonts w:cs="Times New Roman"/>
          <w:i/>
          <w:szCs w:val="18"/>
          <w:lang w:val="nl-NL" w:eastAsia="ja-JP"/>
        </w:rPr>
        <w:t>Overig punt</w:t>
      </w:r>
      <w:r w:rsidRPr="00117EA7" w:rsidR="00D92E56">
        <w:rPr>
          <w:rFonts w:cs="Times New Roman"/>
          <w:i/>
          <w:szCs w:val="18"/>
          <w:lang w:val="nl-NL" w:eastAsia="ja-JP"/>
        </w:rPr>
        <w:t xml:space="preserve"> EU-VK-relaties</w:t>
      </w:r>
      <w:r w:rsidRPr="00117EA7" w:rsidR="00D92E56">
        <w:rPr>
          <w:rFonts w:cs="Times New Roman"/>
          <w:i/>
          <w:szCs w:val="18"/>
          <w:lang w:val="nl-NL" w:eastAsia="ja-JP"/>
        </w:rPr>
        <w:br/>
      </w:r>
      <w:r w:rsidR="00AC1E70">
        <w:rPr>
          <w:rFonts w:eastAsia="Times New Roman"/>
          <w:szCs w:val="18"/>
          <w:lang w:val="nl-NL"/>
        </w:rPr>
        <w:t xml:space="preserve">Commissaris </w:t>
      </w:r>
      <w:proofErr w:type="spellStart"/>
      <w:r w:rsidRPr="005D798E" w:rsidR="00D955FD">
        <w:rPr>
          <w:lang w:val="nl-NL"/>
        </w:rPr>
        <w:t>Šefčovič</w:t>
      </w:r>
      <w:proofErr w:type="spellEnd"/>
      <w:r w:rsidR="00D955FD">
        <w:rPr>
          <w:rFonts w:eastAsia="Times New Roman"/>
          <w:szCs w:val="18"/>
          <w:lang w:val="nl-NL"/>
        </w:rPr>
        <w:t xml:space="preserve"> </w:t>
      </w:r>
      <w:r w:rsidR="00572873">
        <w:rPr>
          <w:rFonts w:eastAsia="Times New Roman"/>
          <w:szCs w:val="18"/>
          <w:lang w:val="nl-NL"/>
        </w:rPr>
        <w:t>blikt</w:t>
      </w:r>
      <w:r w:rsidR="0086294A">
        <w:rPr>
          <w:rFonts w:eastAsia="Times New Roman"/>
          <w:szCs w:val="18"/>
          <w:lang w:val="nl-NL"/>
        </w:rPr>
        <w:t>e</w:t>
      </w:r>
      <w:r w:rsidR="00572873">
        <w:rPr>
          <w:rFonts w:eastAsia="Times New Roman"/>
          <w:szCs w:val="18"/>
          <w:lang w:val="nl-NL"/>
        </w:rPr>
        <w:t xml:space="preserve"> terug</w:t>
      </w:r>
      <w:r w:rsidRPr="00CB0CE8" w:rsidR="00CB0CE8">
        <w:rPr>
          <w:rFonts w:eastAsia="Times New Roman"/>
          <w:szCs w:val="18"/>
          <w:lang w:val="nl-NL"/>
        </w:rPr>
        <w:t xml:space="preserve"> op het bezoek van </w:t>
      </w:r>
      <w:r w:rsidR="00572873">
        <w:rPr>
          <w:rFonts w:eastAsia="Times New Roman"/>
          <w:szCs w:val="18"/>
          <w:lang w:val="nl-NL"/>
        </w:rPr>
        <w:t>de Britse</w:t>
      </w:r>
      <w:r w:rsidRPr="00CB0CE8" w:rsidR="00CB0CE8">
        <w:rPr>
          <w:rFonts w:eastAsia="Times New Roman"/>
          <w:szCs w:val="18"/>
          <w:lang w:val="nl-NL"/>
        </w:rPr>
        <w:t xml:space="preserve"> premier </w:t>
      </w:r>
      <w:proofErr w:type="spellStart"/>
      <w:r w:rsidRPr="00CB0CE8" w:rsidR="00CB0CE8">
        <w:rPr>
          <w:rFonts w:eastAsia="Times New Roman"/>
          <w:szCs w:val="18"/>
          <w:lang w:val="nl-NL"/>
        </w:rPr>
        <w:t>Starmer</w:t>
      </w:r>
      <w:proofErr w:type="spellEnd"/>
      <w:r w:rsidRPr="00CB0CE8" w:rsidR="00CB0CE8">
        <w:rPr>
          <w:rFonts w:eastAsia="Times New Roman"/>
          <w:szCs w:val="18"/>
          <w:lang w:val="nl-NL"/>
        </w:rPr>
        <w:t xml:space="preserve"> aan Commissie</w:t>
      </w:r>
      <w:r w:rsidR="00572873">
        <w:rPr>
          <w:rFonts w:eastAsia="Times New Roman"/>
          <w:szCs w:val="18"/>
          <w:lang w:val="nl-NL"/>
        </w:rPr>
        <w:t>voorzitter</w:t>
      </w:r>
      <w:r w:rsidRPr="00CB0CE8" w:rsidR="00CB0CE8">
        <w:rPr>
          <w:rFonts w:eastAsia="Times New Roman"/>
          <w:szCs w:val="18"/>
          <w:lang w:val="nl-NL"/>
        </w:rPr>
        <w:t xml:space="preserve"> Von der Leyen van 2 oktober </w:t>
      </w:r>
      <w:r w:rsidRPr="00CB0CE8" w:rsidR="00796EBD">
        <w:rPr>
          <w:rFonts w:eastAsia="Times New Roman"/>
          <w:szCs w:val="18"/>
          <w:lang w:val="nl-NL"/>
        </w:rPr>
        <w:t>jl.</w:t>
      </w:r>
      <w:r w:rsidR="00171C29">
        <w:rPr>
          <w:rFonts w:eastAsia="Times New Roman"/>
          <w:szCs w:val="18"/>
          <w:lang w:val="nl-NL"/>
        </w:rPr>
        <w:t xml:space="preserve"> en bijbehorende verklaring</w:t>
      </w:r>
      <w:r w:rsidR="000A1E68">
        <w:rPr>
          <w:rFonts w:eastAsia="Times New Roman"/>
          <w:szCs w:val="18"/>
          <w:lang w:val="nl-NL"/>
        </w:rPr>
        <w:t>.</w:t>
      </w:r>
      <w:r w:rsidR="0030220B">
        <w:rPr>
          <w:rStyle w:val="FootnoteReference"/>
          <w:rFonts w:eastAsia="Times New Roman"/>
          <w:szCs w:val="18"/>
          <w:lang w:val="nl-NL"/>
        </w:rPr>
        <w:footnoteReference w:id="8"/>
      </w:r>
      <w:r w:rsidRPr="0030220B" w:rsidR="0030220B">
        <w:rPr>
          <w:rStyle w:val="FootnoteReference"/>
          <w:rFonts w:eastAsia="Times New Roman"/>
          <w:szCs w:val="18"/>
          <w:lang w:val="nl-NL"/>
        </w:rPr>
        <w:t xml:space="preserve"> </w:t>
      </w:r>
      <w:r w:rsidRPr="00CB0CE8" w:rsidR="00CB0CE8">
        <w:rPr>
          <w:rFonts w:eastAsia="Times New Roman"/>
          <w:szCs w:val="18"/>
          <w:lang w:val="nl-NL"/>
        </w:rPr>
        <w:t xml:space="preserve">De Commissie </w:t>
      </w:r>
      <w:r w:rsidR="00F63120">
        <w:rPr>
          <w:rFonts w:eastAsia="Times New Roman"/>
          <w:szCs w:val="18"/>
          <w:lang w:val="nl-NL"/>
        </w:rPr>
        <w:t>zegde toe</w:t>
      </w:r>
      <w:r w:rsidRPr="00CB0CE8" w:rsidR="00CB0CE8">
        <w:rPr>
          <w:rFonts w:eastAsia="Times New Roman"/>
          <w:szCs w:val="18"/>
          <w:lang w:val="nl-NL"/>
        </w:rPr>
        <w:t xml:space="preserve"> de Raad transparant en tijdig </w:t>
      </w:r>
      <w:r w:rsidR="00AF4789">
        <w:rPr>
          <w:rFonts w:eastAsia="Times New Roman"/>
          <w:szCs w:val="18"/>
          <w:lang w:val="nl-NL"/>
        </w:rPr>
        <w:t>te</w:t>
      </w:r>
      <w:r w:rsidRPr="00CB0CE8" w:rsidR="00CB0CE8">
        <w:rPr>
          <w:rFonts w:eastAsia="Times New Roman"/>
          <w:szCs w:val="18"/>
          <w:lang w:val="nl-NL"/>
        </w:rPr>
        <w:t xml:space="preserve"> blijven informeren over </w:t>
      </w:r>
      <w:r w:rsidR="00F8426C">
        <w:rPr>
          <w:rFonts w:eastAsia="Times New Roman"/>
          <w:szCs w:val="18"/>
          <w:lang w:val="nl-NL"/>
        </w:rPr>
        <w:t xml:space="preserve">de </w:t>
      </w:r>
      <w:r w:rsidRPr="00CB0CE8" w:rsidR="00CB0CE8">
        <w:rPr>
          <w:rFonts w:eastAsia="Times New Roman"/>
          <w:szCs w:val="18"/>
          <w:lang w:val="nl-NL"/>
        </w:rPr>
        <w:t xml:space="preserve">implementatie </w:t>
      </w:r>
      <w:r w:rsidR="00C81135">
        <w:rPr>
          <w:rFonts w:eastAsia="Times New Roman"/>
          <w:szCs w:val="18"/>
          <w:lang w:val="nl-NL"/>
        </w:rPr>
        <w:t xml:space="preserve">van bestaande </w:t>
      </w:r>
      <w:r w:rsidRPr="00CB0CE8" w:rsidR="00CB0CE8">
        <w:rPr>
          <w:rFonts w:eastAsia="Times New Roman"/>
          <w:szCs w:val="18"/>
          <w:lang w:val="nl-NL"/>
        </w:rPr>
        <w:t xml:space="preserve">akkoorden. </w:t>
      </w:r>
      <w:r w:rsidR="006B2098">
        <w:rPr>
          <w:rFonts w:eastAsia="Times New Roman"/>
          <w:szCs w:val="18"/>
          <w:lang w:val="nl-NL"/>
        </w:rPr>
        <w:t xml:space="preserve">Hoewel niet in de verklaring genoemd, </w:t>
      </w:r>
      <w:r w:rsidR="00887B7D">
        <w:rPr>
          <w:rFonts w:eastAsia="Times New Roman"/>
          <w:szCs w:val="18"/>
          <w:lang w:val="nl-NL"/>
        </w:rPr>
        <w:t>benoemde</w:t>
      </w:r>
      <w:r w:rsidR="006B2098">
        <w:rPr>
          <w:rFonts w:eastAsia="Times New Roman"/>
          <w:szCs w:val="18"/>
          <w:lang w:val="nl-NL"/>
        </w:rPr>
        <w:t xml:space="preserve"> </w:t>
      </w:r>
      <w:proofErr w:type="spellStart"/>
      <w:r w:rsidRPr="005D798E" w:rsidR="00D955FD">
        <w:rPr>
          <w:lang w:val="nl-NL"/>
        </w:rPr>
        <w:t>Šefčovič</w:t>
      </w:r>
      <w:proofErr w:type="spellEnd"/>
      <w:r w:rsidRPr="00CB0CE8" w:rsidR="00CB0CE8">
        <w:rPr>
          <w:rFonts w:eastAsia="Times New Roman"/>
          <w:szCs w:val="18"/>
          <w:lang w:val="nl-NL"/>
        </w:rPr>
        <w:t xml:space="preserve"> </w:t>
      </w:r>
      <w:r w:rsidR="00E156D8">
        <w:rPr>
          <w:rFonts w:eastAsia="Times New Roman"/>
          <w:szCs w:val="18"/>
          <w:lang w:val="nl-NL"/>
        </w:rPr>
        <w:t xml:space="preserve">alsook Nederland en enkele andere lidstaten expliciet </w:t>
      </w:r>
      <w:r w:rsidRPr="00CB0CE8" w:rsidR="00CB0CE8">
        <w:rPr>
          <w:rFonts w:eastAsia="Times New Roman"/>
          <w:szCs w:val="18"/>
          <w:lang w:val="nl-NL"/>
        </w:rPr>
        <w:t xml:space="preserve">de </w:t>
      </w:r>
      <w:r w:rsidR="00E156D8">
        <w:rPr>
          <w:rFonts w:eastAsia="Times New Roman"/>
          <w:szCs w:val="18"/>
          <w:lang w:val="nl-NL"/>
        </w:rPr>
        <w:t xml:space="preserve">Europese </w:t>
      </w:r>
      <w:r w:rsidRPr="00CB0CE8" w:rsidR="00CB0CE8">
        <w:rPr>
          <w:rFonts w:eastAsia="Times New Roman"/>
          <w:szCs w:val="18"/>
          <w:lang w:val="nl-NL"/>
        </w:rPr>
        <w:t xml:space="preserve">visserijbelangen. </w:t>
      </w:r>
      <w:r w:rsidR="00C60F28">
        <w:rPr>
          <w:rFonts w:eastAsia="Times New Roman"/>
          <w:szCs w:val="18"/>
          <w:lang w:val="nl-NL"/>
        </w:rPr>
        <w:t>De</w:t>
      </w:r>
      <w:r w:rsidRPr="00CB0CE8" w:rsidR="00CB0CE8">
        <w:rPr>
          <w:rFonts w:eastAsia="Times New Roman"/>
          <w:szCs w:val="18"/>
          <w:lang w:val="nl-NL"/>
        </w:rPr>
        <w:t xml:space="preserve"> EU </w:t>
      </w:r>
      <w:r w:rsidR="00C60F28">
        <w:rPr>
          <w:rFonts w:eastAsia="Times New Roman"/>
          <w:szCs w:val="18"/>
          <w:lang w:val="nl-NL"/>
        </w:rPr>
        <w:t xml:space="preserve">dient de </w:t>
      </w:r>
      <w:r w:rsidRPr="00CB0CE8" w:rsidR="00CB0CE8">
        <w:rPr>
          <w:rFonts w:eastAsia="Times New Roman"/>
          <w:szCs w:val="18"/>
          <w:lang w:val="nl-NL"/>
        </w:rPr>
        <w:t xml:space="preserve">eigen </w:t>
      </w:r>
      <w:r w:rsidR="00E156D8">
        <w:rPr>
          <w:rFonts w:eastAsia="Times New Roman"/>
          <w:szCs w:val="18"/>
          <w:lang w:val="nl-NL"/>
        </w:rPr>
        <w:t>prioriteiten</w:t>
      </w:r>
      <w:r w:rsidRPr="00CB0CE8" w:rsidR="00CB0CE8">
        <w:rPr>
          <w:rFonts w:eastAsia="Times New Roman"/>
          <w:szCs w:val="18"/>
          <w:lang w:val="nl-NL"/>
        </w:rPr>
        <w:t xml:space="preserve"> scherp te hebben</w:t>
      </w:r>
      <w:r w:rsidR="00FF4FA6">
        <w:rPr>
          <w:rFonts w:eastAsia="Times New Roman"/>
          <w:szCs w:val="18"/>
          <w:lang w:val="nl-NL"/>
        </w:rPr>
        <w:t xml:space="preserve"> anticiperend</w:t>
      </w:r>
      <w:r w:rsidRPr="00CB0CE8" w:rsidR="00CB0CE8">
        <w:rPr>
          <w:rFonts w:eastAsia="Times New Roman"/>
          <w:szCs w:val="18"/>
          <w:lang w:val="nl-NL"/>
        </w:rPr>
        <w:t xml:space="preserve"> op mogelijk concrete verzoeken van het VK. </w:t>
      </w:r>
    </w:p>
    <w:p w:rsidRPr="00A56CB0" w:rsidR="00146BE9" w:rsidP="00A45E04" w:rsidRDefault="00EB51D8" w14:paraId="3B5C57A3" w14:textId="6057E883">
      <w:pPr>
        <w:spacing w:before="100" w:beforeAutospacing="1" w:after="100" w:afterAutospacing="1" w:line="276" w:lineRule="auto"/>
        <w:rPr>
          <w:rFonts w:eastAsia="Times New Roman"/>
          <w:szCs w:val="18"/>
          <w:lang w:val="nl-NL"/>
        </w:rPr>
      </w:pPr>
      <w:r w:rsidRPr="00EB51D8">
        <w:rPr>
          <w:rFonts w:eastAsia="Times New Roman"/>
          <w:szCs w:val="18"/>
          <w:lang w:val="nl-NL"/>
        </w:rPr>
        <w:t xml:space="preserve">Alle lidstaten spraken zich </w:t>
      </w:r>
      <w:r w:rsidR="0039178E">
        <w:rPr>
          <w:rFonts w:eastAsia="Times New Roman"/>
          <w:szCs w:val="18"/>
          <w:lang w:val="nl-NL"/>
        </w:rPr>
        <w:t>positief</w:t>
      </w:r>
      <w:r w:rsidRPr="00EB51D8">
        <w:rPr>
          <w:rFonts w:eastAsia="Times New Roman"/>
          <w:szCs w:val="18"/>
          <w:lang w:val="nl-NL"/>
        </w:rPr>
        <w:t xml:space="preserve"> uit </w:t>
      </w:r>
      <w:r w:rsidR="004C4271">
        <w:rPr>
          <w:rFonts w:eastAsia="Times New Roman"/>
          <w:szCs w:val="18"/>
          <w:lang w:val="nl-NL"/>
        </w:rPr>
        <w:t>over het</w:t>
      </w:r>
      <w:r w:rsidR="00D739E2">
        <w:rPr>
          <w:rFonts w:eastAsia="Times New Roman"/>
          <w:szCs w:val="18"/>
          <w:lang w:val="nl-NL"/>
        </w:rPr>
        <w:t xml:space="preserve"> verkennen van</w:t>
      </w:r>
      <w:r w:rsidRPr="00EB51D8">
        <w:rPr>
          <w:rFonts w:eastAsia="Times New Roman"/>
          <w:szCs w:val="18"/>
          <w:lang w:val="nl-NL"/>
        </w:rPr>
        <w:t xml:space="preserve"> mogelijkheden </w:t>
      </w:r>
      <w:r>
        <w:rPr>
          <w:rFonts w:eastAsia="Times New Roman"/>
          <w:szCs w:val="18"/>
          <w:lang w:val="nl-NL"/>
        </w:rPr>
        <w:t xml:space="preserve">voor </w:t>
      </w:r>
      <w:r w:rsidR="00D739E2">
        <w:rPr>
          <w:rFonts w:eastAsia="Times New Roman"/>
          <w:szCs w:val="18"/>
          <w:lang w:val="nl-NL"/>
        </w:rPr>
        <w:t>een</w:t>
      </w:r>
      <w:r>
        <w:rPr>
          <w:rFonts w:eastAsia="Times New Roman"/>
          <w:szCs w:val="18"/>
          <w:lang w:val="nl-NL"/>
        </w:rPr>
        <w:t xml:space="preserve"> versterk</w:t>
      </w:r>
      <w:r w:rsidR="00D739E2">
        <w:rPr>
          <w:rFonts w:eastAsia="Times New Roman"/>
          <w:szCs w:val="18"/>
          <w:lang w:val="nl-NL"/>
        </w:rPr>
        <w:t>te</w:t>
      </w:r>
      <w:r w:rsidRPr="00EB51D8">
        <w:rPr>
          <w:rFonts w:eastAsia="Times New Roman"/>
          <w:szCs w:val="18"/>
          <w:lang w:val="nl-NL"/>
        </w:rPr>
        <w:t xml:space="preserve"> EU-VK</w:t>
      </w:r>
      <w:r w:rsidR="000C16CD">
        <w:rPr>
          <w:rFonts w:eastAsia="Times New Roman"/>
          <w:szCs w:val="18"/>
          <w:lang w:val="nl-NL"/>
        </w:rPr>
        <w:t>-</w:t>
      </w:r>
      <w:r w:rsidRPr="00EB51D8">
        <w:rPr>
          <w:rFonts w:eastAsia="Times New Roman"/>
          <w:szCs w:val="18"/>
          <w:lang w:val="nl-NL"/>
        </w:rPr>
        <w:t>relatie</w:t>
      </w:r>
      <w:r w:rsidR="00B07A78">
        <w:rPr>
          <w:rFonts w:eastAsia="Times New Roman"/>
          <w:szCs w:val="18"/>
          <w:lang w:val="nl-NL"/>
        </w:rPr>
        <w:t>, met inachtneming van EU-eenheid</w:t>
      </w:r>
      <w:r w:rsidR="00752F4C">
        <w:rPr>
          <w:rFonts w:eastAsia="Times New Roman"/>
          <w:szCs w:val="18"/>
          <w:lang w:val="nl-NL"/>
        </w:rPr>
        <w:t xml:space="preserve">. </w:t>
      </w:r>
      <w:r w:rsidR="00F408AB">
        <w:rPr>
          <w:rFonts w:eastAsia="Times New Roman"/>
          <w:szCs w:val="18"/>
          <w:lang w:val="nl-NL"/>
        </w:rPr>
        <w:t>De</w:t>
      </w:r>
      <w:r w:rsidRPr="00EB51D8">
        <w:rPr>
          <w:rFonts w:eastAsia="Times New Roman"/>
          <w:szCs w:val="18"/>
          <w:lang w:val="nl-NL"/>
        </w:rPr>
        <w:t xml:space="preserve"> </w:t>
      </w:r>
      <w:r w:rsidR="00F408AB">
        <w:rPr>
          <w:rFonts w:eastAsia="Times New Roman"/>
          <w:szCs w:val="18"/>
          <w:lang w:val="nl-NL"/>
        </w:rPr>
        <w:t>bestaande</w:t>
      </w:r>
      <w:r>
        <w:rPr>
          <w:rFonts w:eastAsia="Times New Roman"/>
          <w:szCs w:val="18"/>
          <w:lang w:val="nl-NL"/>
        </w:rPr>
        <w:t xml:space="preserve"> akkoorden </w:t>
      </w:r>
      <w:r w:rsidR="00F408AB">
        <w:rPr>
          <w:rFonts w:eastAsia="Times New Roman"/>
          <w:szCs w:val="18"/>
          <w:lang w:val="nl-NL"/>
        </w:rPr>
        <w:t xml:space="preserve">dienen </w:t>
      </w:r>
      <w:r w:rsidRPr="00EB51D8">
        <w:rPr>
          <w:rFonts w:eastAsia="Times New Roman"/>
          <w:szCs w:val="18"/>
          <w:lang w:val="nl-NL"/>
        </w:rPr>
        <w:t>als startpunt.</w:t>
      </w:r>
      <w:r w:rsidR="005606F2">
        <w:rPr>
          <w:rFonts w:eastAsia="Times New Roman"/>
          <w:szCs w:val="18"/>
          <w:lang w:val="nl-NL"/>
        </w:rPr>
        <w:t xml:space="preserve"> </w:t>
      </w:r>
      <w:r w:rsidRPr="00EB51D8">
        <w:rPr>
          <w:rFonts w:eastAsia="Times New Roman"/>
          <w:szCs w:val="18"/>
          <w:lang w:val="nl-NL"/>
        </w:rPr>
        <w:t xml:space="preserve">Volledige implementatie </w:t>
      </w:r>
      <w:r w:rsidR="008722DA">
        <w:rPr>
          <w:rFonts w:eastAsia="Times New Roman"/>
          <w:szCs w:val="18"/>
          <w:lang w:val="nl-NL"/>
        </w:rPr>
        <w:t xml:space="preserve">van bestaande afspraken is noodzakelijk </w:t>
      </w:r>
      <w:r w:rsidRPr="00EB51D8">
        <w:rPr>
          <w:rFonts w:eastAsia="Times New Roman"/>
          <w:szCs w:val="18"/>
          <w:lang w:val="nl-NL"/>
        </w:rPr>
        <w:t>voordat er volgende stappen worden gezet.</w:t>
      </w:r>
      <w:r w:rsidR="00E96A5A">
        <w:rPr>
          <w:rFonts w:eastAsia="Times New Roman"/>
          <w:szCs w:val="18"/>
          <w:lang w:val="nl-NL"/>
        </w:rPr>
        <w:t xml:space="preserve"> </w:t>
      </w:r>
      <w:r w:rsidR="00B07A78">
        <w:rPr>
          <w:rFonts w:eastAsia="Times New Roman"/>
          <w:szCs w:val="18"/>
          <w:lang w:val="nl-NL"/>
        </w:rPr>
        <w:t>L</w:t>
      </w:r>
      <w:r w:rsidR="0066146B">
        <w:rPr>
          <w:rFonts w:eastAsia="Times New Roman"/>
          <w:szCs w:val="18"/>
          <w:lang w:val="nl-NL"/>
        </w:rPr>
        <w:t xml:space="preserve">idstaten </w:t>
      </w:r>
      <w:r w:rsidR="00B07A78">
        <w:rPr>
          <w:rFonts w:eastAsia="Times New Roman"/>
          <w:szCs w:val="18"/>
          <w:lang w:val="nl-NL"/>
        </w:rPr>
        <w:t xml:space="preserve">vroegen </w:t>
      </w:r>
      <w:r w:rsidR="0066146B">
        <w:rPr>
          <w:rFonts w:eastAsia="Times New Roman"/>
          <w:szCs w:val="18"/>
          <w:lang w:val="nl-NL"/>
        </w:rPr>
        <w:t xml:space="preserve">aandacht voor het </w:t>
      </w:r>
      <w:r w:rsidR="005403B5">
        <w:rPr>
          <w:rFonts w:eastAsia="Times New Roman"/>
          <w:szCs w:val="18"/>
          <w:lang w:val="nl-NL"/>
        </w:rPr>
        <w:t>Windsor Raamwerk</w:t>
      </w:r>
      <w:r w:rsidR="00B07A78">
        <w:rPr>
          <w:rFonts w:eastAsia="Times New Roman"/>
          <w:szCs w:val="18"/>
          <w:lang w:val="nl-NL"/>
        </w:rPr>
        <w:t xml:space="preserve"> en benoemden</w:t>
      </w:r>
      <w:r w:rsidR="008037DA">
        <w:rPr>
          <w:rFonts w:eastAsia="Times New Roman"/>
          <w:szCs w:val="18"/>
          <w:lang w:val="nl-NL"/>
        </w:rPr>
        <w:t xml:space="preserve"> energiesamenwerking</w:t>
      </w:r>
      <w:r w:rsidR="00B07A78">
        <w:rPr>
          <w:rFonts w:eastAsia="Times New Roman"/>
          <w:szCs w:val="18"/>
          <w:lang w:val="nl-NL"/>
        </w:rPr>
        <w:t>,</w:t>
      </w:r>
      <w:r w:rsidR="008037DA">
        <w:rPr>
          <w:rFonts w:eastAsia="Times New Roman"/>
          <w:szCs w:val="18"/>
          <w:lang w:val="nl-NL"/>
        </w:rPr>
        <w:t xml:space="preserve"> </w:t>
      </w:r>
      <w:r w:rsidR="008037DA">
        <w:rPr>
          <w:rFonts w:eastAsia="Times New Roman"/>
          <w:szCs w:val="18"/>
          <w:lang w:val="nl-NL"/>
        </w:rPr>
        <w:lastRenderedPageBreak/>
        <w:t>visserij</w:t>
      </w:r>
      <w:r w:rsidR="006022FF">
        <w:rPr>
          <w:rFonts w:eastAsia="Times New Roman"/>
          <w:szCs w:val="18"/>
          <w:lang w:val="nl-NL"/>
        </w:rPr>
        <w:t>, jeugduitwisseling en migratie</w:t>
      </w:r>
      <w:r w:rsidR="008037DA">
        <w:rPr>
          <w:rFonts w:eastAsia="Times New Roman"/>
          <w:szCs w:val="18"/>
          <w:lang w:val="nl-NL"/>
        </w:rPr>
        <w:t xml:space="preserve"> als prioritaire thema’s.</w:t>
      </w:r>
      <w:r w:rsidR="006022FF">
        <w:rPr>
          <w:rFonts w:eastAsia="Times New Roman"/>
          <w:szCs w:val="18"/>
          <w:lang w:val="nl-NL"/>
        </w:rPr>
        <w:t xml:space="preserve"> Nederland benadrukte de goede band met het VK als Noordzeebuurland en gelijkgezinde partner</w:t>
      </w:r>
      <w:r w:rsidR="000C16CD">
        <w:rPr>
          <w:rFonts w:eastAsia="Times New Roman"/>
          <w:szCs w:val="18"/>
          <w:lang w:val="nl-NL"/>
        </w:rPr>
        <w:t>,</w:t>
      </w:r>
      <w:r w:rsidR="006022FF">
        <w:rPr>
          <w:rFonts w:eastAsia="Times New Roman"/>
          <w:szCs w:val="18"/>
          <w:lang w:val="nl-NL"/>
        </w:rPr>
        <w:t xml:space="preserve"> en sprak steun uit voor het statement</w:t>
      </w:r>
      <w:r w:rsidR="00E156D8">
        <w:rPr>
          <w:rFonts w:eastAsia="Times New Roman"/>
          <w:szCs w:val="18"/>
          <w:lang w:val="nl-NL"/>
        </w:rPr>
        <w:t>.</w:t>
      </w:r>
      <w:r w:rsidRPr="00CB0CE8" w:rsidR="00CB0CE8">
        <w:rPr>
          <w:rFonts w:eastAsia="Times New Roman"/>
          <w:szCs w:val="18"/>
          <w:lang w:val="nl-NL"/>
        </w:rPr>
        <w:t xml:space="preserve"> </w:t>
      </w:r>
    </w:p>
    <w:p w:rsidRPr="00A95592" w:rsidR="00826EB2" w:rsidP="00A45E04" w:rsidRDefault="008B45CD" w14:paraId="39BF6303" w14:textId="15186E27">
      <w:pPr>
        <w:spacing w:line="276" w:lineRule="auto"/>
        <w:rPr>
          <w:szCs w:val="18"/>
          <w:lang w:val="nl-NL" w:eastAsia="ja-JP"/>
        </w:rPr>
      </w:pPr>
      <w:r w:rsidRPr="008B45CD">
        <w:rPr>
          <w:rFonts w:cs="Times New Roman"/>
          <w:b/>
          <w:bCs/>
          <w:szCs w:val="18"/>
          <w:lang w:val="nl-NL" w:eastAsia="ja-JP"/>
        </w:rPr>
        <w:t xml:space="preserve">IGC Albanië </w:t>
      </w:r>
      <w:r w:rsidR="00B3572D">
        <w:rPr>
          <w:rFonts w:cs="Times New Roman"/>
          <w:b/>
          <w:bCs/>
          <w:szCs w:val="18"/>
          <w:lang w:val="nl-NL" w:eastAsia="ja-JP"/>
        </w:rPr>
        <w:br/>
      </w:r>
      <w:r w:rsidR="00FB49CD">
        <w:rPr>
          <w:lang w:val="nl-NL"/>
        </w:rPr>
        <w:t>En marge van de Raad vo</w:t>
      </w:r>
      <w:r w:rsidR="000C16CD">
        <w:rPr>
          <w:lang w:val="nl-NL"/>
        </w:rPr>
        <w:t>n</w:t>
      </w:r>
      <w:r w:rsidR="00FB49CD">
        <w:rPr>
          <w:lang w:val="nl-NL"/>
        </w:rPr>
        <w:t xml:space="preserve">d tevens de </w:t>
      </w:r>
      <w:r w:rsidRPr="00FB49CD" w:rsidR="00FB49CD">
        <w:rPr>
          <w:lang w:val="nl-NL"/>
        </w:rPr>
        <w:t>IGC plaats met</w:t>
      </w:r>
      <w:r w:rsidR="00FB49CD">
        <w:rPr>
          <w:lang w:val="nl-NL"/>
        </w:rPr>
        <w:t xml:space="preserve"> EU</w:t>
      </w:r>
      <w:r w:rsidRPr="00FB49CD" w:rsidR="00FB49CD">
        <w:rPr>
          <w:lang w:val="nl-NL"/>
        </w:rPr>
        <w:t xml:space="preserve"> kandidaat-lidsta</w:t>
      </w:r>
      <w:r w:rsidR="00FB49CD">
        <w:rPr>
          <w:lang w:val="nl-NL"/>
        </w:rPr>
        <w:t>a</w:t>
      </w:r>
      <w:r w:rsidRPr="00FB49CD" w:rsidR="00FB49CD">
        <w:rPr>
          <w:lang w:val="nl-NL"/>
        </w:rPr>
        <w:t>t</w:t>
      </w:r>
      <w:r w:rsidR="00FB49CD">
        <w:rPr>
          <w:lang w:val="nl-NL"/>
        </w:rPr>
        <w:t xml:space="preserve"> Albanië, na</w:t>
      </w:r>
      <w:r w:rsidR="001A32F6">
        <w:rPr>
          <w:lang w:val="nl-NL"/>
        </w:rPr>
        <w:t xml:space="preserve"> formele opening van</w:t>
      </w:r>
      <w:r w:rsidR="00FB49CD">
        <w:rPr>
          <w:lang w:val="nl-NL"/>
        </w:rPr>
        <w:t xml:space="preserve"> toetredingsonderhandelingen </w:t>
      </w:r>
      <w:r w:rsidR="001A32F6">
        <w:rPr>
          <w:lang w:val="nl-NL"/>
        </w:rPr>
        <w:t xml:space="preserve">in 2020 </w:t>
      </w:r>
      <w:r w:rsidR="00FB49CD">
        <w:rPr>
          <w:lang w:val="nl-NL"/>
        </w:rPr>
        <w:t xml:space="preserve">en </w:t>
      </w:r>
      <w:r w:rsidR="001A32F6">
        <w:rPr>
          <w:lang w:val="nl-NL"/>
        </w:rPr>
        <w:t xml:space="preserve">vaststelling van </w:t>
      </w:r>
      <w:r w:rsidR="00FB49CD">
        <w:rPr>
          <w:lang w:val="nl-NL"/>
        </w:rPr>
        <w:t xml:space="preserve">het onderhandelingsraamwerk </w:t>
      </w:r>
      <w:r w:rsidR="001A32F6">
        <w:rPr>
          <w:lang w:val="nl-NL"/>
        </w:rPr>
        <w:t>in 2022</w:t>
      </w:r>
      <w:r w:rsidR="00FB49CD">
        <w:rPr>
          <w:lang w:val="nl-NL"/>
        </w:rPr>
        <w:t>. Tijdens deze IGC werd Cluster 1 van de toetredingsonderhandelingen geopend</w:t>
      </w:r>
      <w:r w:rsidR="00C30708">
        <w:rPr>
          <w:lang w:val="nl-NL"/>
        </w:rPr>
        <w:t>.</w:t>
      </w:r>
      <w:r w:rsidR="00FB49CD">
        <w:rPr>
          <w:rStyle w:val="FootnoteReference"/>
          <w:lang w:val="nl-NL"/>
        </w:rPr>
        <w:footnoteReference w:id="9"/>
      </w:r>
      <w:r w:rsidR="00C30708">
        <w:rPr>
          <w:lang w:val="nl-NL"/>
        </w:rPr>
        <w:t xml:space="preserve"> </w:t>
      </w:r>
      <w:r w:rsidR="00894C7D">
        <w:rPr>
          <w:lang w:val="nl-NL"/>
        </w:rPr>
        <w:t>Verschillende</w:t>
      </w:r>
      <w:r w:rsidR="00C30708">
        <w:rPr>
          <w:lang w:val="nl-NL"/>
        </w:rPr>
        <w:t xml:space="preserve"> </w:t>
      </w:r>
      <w:r w:rsidR="00894C7D">
        <w:rPr>
          <w:lang w:val="nl-NL"/>
        </w:rPr>
        <w:t>l</w:t>
      </w:r>
      <w:r w:rsidR="00C30708">
        <w:rPr>
          <w:lang w:val="nl-NL"/>
        </w:rPr>
        <w:t>idstaten</w:t>
      </w:r>
      <w:r w:rsidR="00894C7D">
        <w:rPr>
          <w:lang w:val="nl-NL"/>
        </w:rPr>
        <w:t>, waaronder</w:t>
      </w:r>
      <w:r w:rsidR="00C30708">
        <w:rPr>
          <w:lang w:val="nl-NL"/>
        </w:rPr>
        <w:t xml:space="preserve"> Nederland </w:t>
      </w:r>
      <w:r w:rsidR="00894C7D">
        <w:rPr>
          <w:lang w:val="nl-NL"/>
        </w:rPr>
        <w:t xml:space="preserve">namens de Benelux, stonden </w:t>
      </w:r>
      <w:r w:rsidR="00C30708">
        <w:rPr>
          <w:lang w:val="nl-NL"/>
        </w:rPr>
        <w:t xml:space="preserve">stil bij de voortgang tot nu toe, en de vereisten waar Albanië aan </w:t>
      </w:r>
      <w:r w:rsidR="00081283">
        <w:rPr>
          <w:lang w:val="nl-NL"/>
        </w:rPr>
        <w:t>moet</w:t>
      </w:r>
      <w:r w:rsidR="00C30708">
        <w:rPr>
          <w:lang w:val="nl-NL"/>
        </w:rPr>
        <w:t xml:space="preserve"> voldoen in deze fase van het toetredingsproces om voortgang te maken. Hierbij benadrukte Nederland onder andere het belang van de rechtsstaat, corruptiebestrijding, fundamentele rechten, vrije media, en openbaar bestuur, en werd </w:t>
      </w:r>
      <w:r w:rsidR="001B24CF">
        <w:rPr>
          <w:lang w:val="nl-NL"/>
        </w:rPr>
        <w:t>Albanië</w:t>
      </w:r>
      <w:r w:rsidR="00C30708">
        <w:rPr>
          <w:lang w:val="nl-NL"/>
        </w:rPr>
        <w:t xml:space="preserve"> opgeroepen werk te maken van de verdere hervormingen.</w:t>
      </w:r>
    </w:p>
    <w:sectPr w:rsidRPr="00A95592" w:rsidR="00826EB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03DE" w14:textId="77777777" w:rsidR="00AC6CFB" w:rsidRDefault="00AC6CFB" w:rsidP="00B9094B">
      <w:pPr>
        <w:spacing w:after="0"/>
      </w:pPr>
      <w:r>
        <w:separator/>
      </w:r>
    </w:p>
  </w:endnote>
  <w:endnote w:type="continuationSeparator" w:id="0">
    <w:p w14:paraId="577E0A33" w14:textId="77777777" w:rsidR="00AC6CFB" w:rsidRDefault="00AC6CFB" w:rsidP="00B9094B">
      <w:pPr>
        <w:spacing w:after="0"/>
      </w:pPr>
      <w:r>
        <w:continuationSeparator/>
      </w:r>
    </w:p>
  </w:endnote>
  <w:endnote w:type="continuationNotice" w:id="1">
    <w:p w14:paraId="35FF5520" w14:textId="77777777" w:rsidR="00AC6CFB" w:rsidRDefault="00AC6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D6C0" w14:textId="77777777" w:rsidR="001F7F6F" w:rsidRDefault="001F7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8C58" w14:textId="77777777" w:rsidR="001F7F6F" w:rsidRDefault="001F7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961E" w14:textId="77777777" w:rsidR="00AC6CFB" w:rsidRDefault="00AC6CFB" w:rsidP="00B9094B">
      <w:pPr>
        <w:spacing w:after="0"/>
      </w:pPr>
      <w:r>
        <w:separator/>
      </w:r>
    </w:p>
  </w:footnote>
  <w:footnote w:type="continuationSeparator" w:id="0">
    <w:p w14:paraId="43482CD3" w14:textId="77777777" w:rsidR="00AC6CFB" w:rsidRDefault="00AC6CFB" w:rsidP="00B9094B">
      <w:pPr>
        <w:spacing w:after="0"/>
      </w:pPr>
      <w:r>
        <w:continuationSeparator/>
      </w:r>
    </w:p>
  </w:footnote>
  <w:footnote w:type="continuationNotice" w:id="1">
    <w:p w14:paraId="0374A081" w14:textId="77777777" w:rsidR="00AC6CFB" w:rsidRDefault="00AC6CFB">
      <w:pPr>
        <w:spacing w:after="0"/>
      </w:pPr>
    </w:p>
  </w:footnote>
  <w:footnote w:id="2">
    <w:p w14:paraId="659B7614" w14:textId="5DAD4BAC" w:rsidR="009A30C5" w:rsidRPr="00724DC5" w:rsidRDefault="009A30C5">
      <w:pPr>
        <w:pStyle w:val="FootnoteText"/>
        <w:rPr>
          <w:sz w:val="16"/>
          <w:szCs w:val="16"/>
        </w:rPr>
      </w:pPr>
      <w:r w:rsidRPr="00724DC5">
        <w:rPr>
          <w:rStyle w:val="FootnoteReference"/>
          <w:sz w:val="16"/>
          <w:szCs w:val="16"/>
        </w:rPr>
        <w:footnoteRef/>
      </w:r>
      <w:r w:rsidRPr="00724DC5">
        <w:rPr>
          <w:sz w:val="16"/>
          <w:szCs w:val="16"/>
        </w:rPr>
        <w:t xml:space="preserve"> Zie voor het rapport: </w:t>
      </w:r>
      <w:hyperlink r:id="rId1" w:history="1">
        <w:r w:rsidRPr="00724DC5">
          <w:rPr>
            <w:rStyle w:val="Hyperlink"/>
            <w:sz w:val="16"/>
            <w:szCs w:val="16"/>
          </w:rPr>
          <w:t xml:space="preserve">EU </w:t>
        </w:r>
        <w:proofErr w:type="spellStart"/>
        <w:r w:rsidRPr="00724DC5">
          <w:rPr>
            <w:rStyle w:val="Hyperlink"/>
            <w:sz w:val="16"/>
            <w:szCs w:val="16"/>
          </w:rPr>
          <w:t>competitiveness</w:t>
        </w:r>
        <w:proofErr w:type="spellEnd"/>
        <w:r w:rsidRPr="00724DC5">
          <w:rPr>
            <w:rStyle w:val="Hyperlink"/>
            <w:sz w:val="16"/>
            <w:szCs w:val="16"/>
          </w:rPr>
          <w:t xml:space="preserve">: </w:t>
        </w:r>
        <w:proofErr w:type="spellStart"/>
        <w:r w:rsidRPr="00724DC5">
          <w:rPr>
            <w:rStyle w:val="Hyperlink"/>
            <w:sz w:val="16"/>
            <w:szCs w:val="16"/>
          </w:rPr>
          <w:t>Looking</w:t>
        </w:r>
        <w:proofErr w:type="spellEnd"/>
        <w:r w:rsidRPr="00724DC5">
          <w:rPr>
            <w:rStyle w:val="Hyperlink"/>
            <w:sz w:val="16"/>
            <w:szCs w:val="16"/>
          </w:rPr>
          <w:t xml:space="preserve"> </w:t>
        </w:r>
        <w:proofErr w:type="spellStart"/>
        <w:r w:rsidRPr="00724DC5">
          <w:rPr>
            <w:rStyle w:val="Hyperlink"/>
            <w:sz w:val="16"/>
            <w:szCs w:val="16"/>
          </w:rPr>
          <w:t>ahead</w:t>
        </w:r>
        <w:proofErr w:type="spellEnd"/>
      </w:hyperlink>
      <w:r w:rsidR="00575682" w:rsidRPr="00724DC5">
        <w:rPr>
          <w:rStyle w:val="Hyperlink"/>
          <w:sz w:val="16"/>
          <w:szCs w:val="16"/>
        </w:rPr>
        <w:t>.</w:t>
      </w:r>
      <w:r w:rsidR="0017443E" w:rsidRPr="00724DC5">
        <w:rPr>
          <w:sz w:val="16"/>
          <w:szCs w:val="16"/>
        </w:rPr>
        <w:t xml:space="preserve">, </w:t>
      </w:r>
    </w:p>
  </w:footnote>
  <w:footnote w:id="3">
    <w:p w14:paraId="36C78864" w14:textId="0B360527" w:rsidR="004B5E21" w:rsidRPr="00724DC5" w:rsidRDefault="004B5E21">
      <w:pPr>
        <w:pStyle w:val="FootnoteText"/>
        <w:rPr>
          <w:sz w:val="18"/>
          <w:szCs w:val="18"/>
        </w:rPr>
      </w:pPr>
      <w:r w:rsidRPr="00724DC5">
        <w:rPr>
          <w:rStyle w:val="FootnoteReference"/>
          <w:sz w:val="18"/>
          <w:szCs w:val="18"/>
        </w:rPr>
        <w:footnoteRef/>
      </w:r>
      <w:r w:rsidRPr="00724DC5">
        <w:rPr>
          <w:sz w:val="18"/>
          <w:szCs w:val="18"/>
        </w:rPr>
        <w:t xml:space="preserve"> </w:t>
      </w:r>
      <w:r w:rsidRPr="00724DC5">
        <w:rPr>
          <w:sz w:val="16"/>
          <w:szCs w:val="16"/>
        </w:rPr>
        <w:t xml:space="preserve">zie bijlage verslag Raad voor Concurrentievermogen van 26 september </w:t>
      </w:r>
      <w:r w:rsidR="008B1F6C" w:rsidRPr="00724DC5">
        <w:rPr>
          <w:sz w:val="16"/>
          <w:szCs w:val="16"/>
        </w:rPr>
        <w:t>jl.</w:t>
      </w:r>
      <w:r w:rsidRPr="00724DC5">
        <w:rPr>
          <w:sz w:val="18"/>
          <w:szCs w:val="16"/>
        </w:rPr>
        <w:t xml:space="preserve">, </w:t>
      </w:r>
      <w:r w:rsidRPr="00724DC5">
        <w:rPr>
          <w:sz w:val="16"/>
          <w:szCs w:val="16"/>
        </w:rPr>
        <w:t>Kamerstuk 21501-30</w:t>
      </w:r>
      <w:r w:rsidR="00682A3D">
        <w:rPr>
          <w:sz w:val="16"/>
          <w:szCs w:val="16"/>
        </w:rPr>
        <w:t xml:space="preserve"> nr. </w:t>
      </w:r>
      <w:r w:rsidRPr="00724DC5">
        <w:rPr>
          <w:sz w:val="16"/>
          <w:szCs w:val="16"/>
        </w:rPr>
        <w:t>614</w:t>
      </w:r>
    </w:p>
  </w:footnote>
  <w:footnote w:id="4">
    <w:p w14:paraId="4774C943" w14:textId="1FDBB922" w:rsidR="009A30C5" w:rsidRPr="00724DC5" w:rsidRDefault="009A30C5">
      <w:pPr>
        <w:pStyle w:val="FootnoteText"/>
        <w:rPr>
          <w:sz w:val="16"/>
          <w:szCs w:val="16"/>
        </w:rPr>
      </w:pPr>
      <w:r w:rsidRPr="00724DC5">
        <w:rPr>
          <w:rStyle w:val="FootnoteReference"/>
          <w:sz w:val="16"/>
          <w:szCs w:val="16"/>
        </w:rPr>
        <w:footnoteRef/>
      </w:r>
      <w:r w:rsidRPr="00724DC5">
        <w:rPr>
          <w:sz w:val="16"/>
          <w:szCs w:val="16"/>
        </w:rPr>
        <w:t xml:space="preserve"> </w:t>
      </w:r>
      <w:r w:rsidR="008940D5" w:rsidRPr="00724DC5">
        <w:rPr>
          <w:sz w:val="16"/>
          <w:szCs w:val="16"/>
        </w:rPr>
        <w:t>Toezegging bij Commissiedebat: “Raad Algemene Zaken d.d. 15 oktober 2024”, TZ202410-109</w:t>
      </w:r>
    </w:p>
  </w:footnote>
  <w:footnote w:id="5">
    <w:p w14:paraId="7C65E6E8" w14:textId="5893C597" w:rsidR="00E747E3" w:rsidRPr="007433FA" w:rsidRDefault="00E747E3">
      <w:pPr>
        <w:pStyle w:val="FootnoteText"/>
        <w:rPr>
          <w:lang w:val="en-US"/>
        </w:rPr>
      </w:pPr>
      <w:r w:rsidRPr="00724DC5">
        <w:rPr>
          <w:rStyle w:val="FootnoteReference"/>
          <w:sz w:val="18"/>
          <w:szCs w:val="18"/>
        </w:rPr>
        <w:footnoteRef/>
      </w:r>
      <w:proofErr w:type="spellStart"/>
      <w:r w:rsidR="002D7C85" w:rsidRPr="00A45E04">
        <w:rPr>
          <w:sz w:val="16"/>
          <w:szCs w:val="16"/>
          <w:lang w:val="en-US"/>
        </w:rPr>
        <w:t>Zie</w:t>
      </w:r>
      <w:proofErr w:type="spellEnd"/>
      <w:r w:rsidR="002D7C85" w:rsidRPr="00A45E04">
        <w:rPr>
          <w:sz w:val="16"/>
          <w:szCs w:val="16"/>
          <w:lang w:val="en-US"/>
        </w:rPr>
        <w:t xml:space="preserve"> </w:t>
      </w:r>
      <w:proofErr w:type="spellStart"/>
      <w:r w:rsidR="002D7C85" w:rsidRPr="00A45E04">
        <w:rPr>
          <w:sz w:val="16"/>
          <w:szCs w:val="16"/>
          <w:lang w:val="en-US"/>
        </w:rPr>
        <w:t>hiervoor</w:t>
      </w:r>
      <w:proofErr w:type="spellEnd"/>
      <w:r w:rsidR="002D7C85" w:rsidRPr="007433FA">
        <w:rPr>
          <w:sz w:val="16"/>
          <w:szCs w:val="16"/>
          <w:lang w:val="en-US"/>
        </w:rPr>
        <w:t xml:space="preserve">: </w:t>
      </w:r>
      <w:hyperlink r:id="rId2" w:history="1">
        <w:r w:rsidR="00425EA4" w:rsidRPr="00724DC5">
          <w:rPr>
            <w:rStyle w:val="Hyperlink"/>
            <w:sz w:val="16"/>
            <w:szCs w:val="16"/>
            <w:lang w:val="en-US"/>
          </w:rPr>
          <w:t>Fostering Jewish life and combating antisemitism: Council approves declaration</w:t>
        </w:r>
      </w:hyperlink>
    </w:p>
  </w:footnote>
  <w:footnote w:id="6">
    <w:p w14:paraId="333E0667" w14:textId="556CAC76" w:rsidR="004C2422" w:rsidRPr="00724DC5" w:rsidRDefault="004C2422">
      <w:pPr>
        <w:pStyle w:val="FootnoteText"/>
        <w:rPr>
          <w:sz w:val="16"/>
          <w:szCs w:val="16"/>
        </w:rPr>
      </w:pPr>
      <w:r w:rsidRPr="00724DC5">
        <w:rPr>
          <w:rStyle w:val="FootnoteReference"/>
          <w:sz w:val="16"/>
          <w:szCs w:val="16"/>
        </w:rPr>
        <w:footnoteRef/>
      </w:r>
      <w:r w:rsidR="00724DC5">
        <w:rPr>
          <w:sz w:val="16"/>
          <w:szCs w:val="16"/>
        </w:rPr>
        <w:t xml:space="preserve"> </w:t>
      </w:r>
      <w:r w:rsidRPr="00724DC5">
        <w:rPr>
          <w:sz w:val="16"/>
          <w:szCs w:val="16"/>
        </w:rPr>
        <w:t>Zie Kamerstuk 21501-07 nr. 2058</w:t>
      </w:r>
    </w:p>
  </w:footnote>
  <w:footnote w:id="7">
    <w:p w14:paraId="747524E7" w14:textId="77777777" w:rsidR="0030220B" w:rsidRPr="008475AD" w:rsidRDefault="0030220B" w:rsidP="0030220B">
      <w:pPr>
        <w:pStyle w:val="FootnoteText"/>
        <w:rPr>
          <w:sz w:val="18"/>
          <w:szCs w:val="18"/>
        </w:rPr>
      </w:pPr>
      <w:r w:rsidRPr="00724DC5">
        <w:rPr>
          <w:rStyle w:val="FootnoteReference"/>
          <w:sz w:val="16"/>
          <w:szCs w:val="16"/>
        </w:rPr>
        <w:footnoteRef/>
      </w:r>
      <w:r w:rsidRPr="008475AD">
        <w:rPr>
          <w:sz w:val="16"/>
          <w:szCs w:val="16"/>
        </w:rPr>
        <w:t xml:space="preserve"> EU</w:t>
      </w:r>
      <w:r w:rsidRPr="0030220B">
        <w:rPr>
          <w:sz w:val="16"/>
          <w:szCs w:val="16"/>
        </w:rPr>
        <w:t>-verordening</w:t>
      </w:r>
      <w:r w:rsidRPr="008475AD">
        <w:rPr>
          <w:sz w:val="16"/>
          <w:szCs w:val="16"/>
        </w:rPr>
        <w:t xml:space="preserve"> 2022/2065</w:t>
      </w:r>
    </w:p>
  </w:footnote>
  <w:footnote w:id="8">
    <w:p w14:paraId="15068BB1" w14:textId="77777777" w:rsidR="0030220B" w:rsidRPr="00EE6052" w:rsidRDefault="0030220B" w:rsidP="0030220B">
      <w:pPr>
        <w:pStyle w:val="FootnoteText"/>
        <w:rPr>
          <w:lang w:val="en-US"/>
        </w:rPr>
      </w:pPr>
      <w:r w:rsidRPr="00171C29">
        <w:rPr>
          <w:rStyle w:val="FootnoteReference"/>
          <w:sz w:val="16"/>
          <w:szCs w:val="16"/>
        </w:rPr>
        <w:footnoteRef/>
      </w:r>
      <w:r w:rsidRPr="00171C29">
        <w:rPr>
          <w:sz w:val="16"/>
          <w:szCs w:val="16"/>
          <w:lang w:val="en-US"/>
        </w:rPr>
        <w:t xml:space="preserve"> </w:t>
      </w:r>
      <w:proofErr w:type="spellStart"/>
      <w:r w:rsidRPr="00171C29">
        <w:rPr>
          <w:sz w:val="16"/>
          <w:szCs w:val="16"/>
          <w:lang w:val="en-US"/>
        </w:rPr>
        <w:t>Zie</w:t>
      </w:r>
      <w:proofErr w:type="spellEnd"/>
      <w:r w:rsidRPr="00171C29">
        <w:rPr>
          <w:sz w:val="16"/>
          <w:szCs w:val="16"/>
          <w:lang w:val="en-US"/>
        </w:rPr>
        <w:t xml:space="preserve"> het </w:t>
      </w:r>
      <w:hyperlink r:id="rId3" w:history="1">
        <w:r w:rsidRPr="00171C29">
          <w:rPr>
            <w:rStyle w:val="Hyperlink"/>
            <w:sz w:val="16"/>
            <w:szCs w:val="16"/>
            <w:lang w:val="en-US"/>
          </w:rPr>
          <w:t xml:space="preserve">Press statement by the President with UK PM Starmer. </w:t>
        </w:r>
      </w:hyperlink>
    </w:p>
  </w:footnote>
  <w:footnote w:id="9">
    <w:p w14:paraId="52D11EDE" w14:textId="3E2A429B" w:rsidR="00FB49CD" w:rsidRPr="00FB49CD" w:rsidRDefault="00FB49CD">
      <w:pPr>
        <w:pStyle w:val="FootnoteText"/>
        <w:rPr>
          <w:sz w:val="18"/>
          <w:szCs w:val="18"/>
        </w:rPr>
      </w:pPr>
      <w:r w:rsidRPr="00724DC5">
        <w:rPr>
          <w:rStyle w:val="FootnoteReference"/>
          <w:sz w:val="16"/>
          <w:szCs w:val="16"/>
        </w:rPr>
        <w:footnoteRef/>
      </w:r>
      <w:r w:rsidRPr="00724DC5">
        <w:rPr>
          <w:sz w:val="16"/>
          <w:szCs w:val="16"/>
        </w:rPr>
        <w:t xml:space="preserve"> Cluster 1 omvat hoofdstukken 5 (Overheidsopdrachten), 18 (Statistieken), 23 (Rechterlijke macht en grondrechten), 24 (Rechtvaardigheid, vrijheid en veiligheid) en 32 (Financiële controle).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D266" w14:textId="77777777" w:rsidR="001F7F6F" w:rsidRDefault="001F7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E8BF" w14:textId="77777777" w:rsidR="001F7F6F" w:rsidRDefault="001F7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2973" w14:textId="77777777" w:rsidR="001F7F6F" w:rsidRDefault="001F7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036"/>
    <w:multiLevelType w:val="hybridMultilevel"/>
    <w:tmpl w:val="DF1CC258"/>
    <w:lvl w:ilvl="0" w:tplc="EC644FE0">
      <w:numFmt w:val="bullet"/>
      <w:lvlText w:val=""/>
      <w:lvlJc w:val="left"/>
      <w:pPr>
        <w:ind w:left="360" w:hanging="360"/>
      </w:pPr>
      <w:rPr>
        <w:rFonts w:ascii="Symbol" w:eastAsia="Calibr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123E0113"/>
    <w:multiLevelType w:val="hybridMultilevel"/>
    <w:tmpl w:val="C1F2F1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72B005F"/>
    <w:multiLevelType w:val="multilevel"/>
    <w:tmpl w:val="D27A2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60340125">
    <w:abstractNumId w:val="0"/>
  </w:num>
  <w:num w:numId="2" w16cid:durableId="461458787">
    <w:abstractNumId w:val="1"/>
  </w:num>
  <w:num w:numId="3" w16cid:durableId="1141074489">
    <w:abstractNumId w:val="0"/>
  </w:num>
  <w:num w:numId="4" w16cid:durableId="116410511">
    <w:abstractNumId w:val="1"/>
  </w:num>
  <w:num w:numId="5" w16cid:durableId="1145316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C07"/>
    <w:rsid w:val="000116A0"/>
    <w:rsid w:val="00020828"/>
    <w:rsid w:val="000330FE"/>
    <w:rsid w:val="0003322C"/>
    <w:rsid w:val="000412C6"/>
    <w:rsid w:val="00041A38"/>
    <w:rsid w:val="00044FBB"/>
    <w:rsid w:val="00054AED"/>
    <w:rsid w:val="0006660B"/>
    <w:rsid w:val="000703BB"/>
    <w:rsid w:val="000709DA"/>
    <w:rsid w:val="00077824"/>
    <w:rsid w:val="000809EA"/>
    <w:rsid w:val="00081283"/>
    <w:rsid w:val="000820D5"/>
    <w:rsid w:val="00083CEB"/>
    <w:rsid w:val="000A1583"/>
    <w:rsid w:val="000A1E68"/>
    <w:rsid w:val="000A2636"/>
    <w:rsid w:val="000A7DC1"/>
    <w:rsid w:val="000A7E72"/>
    <w:rsid w:val="000B2475"/>
    <w:rsid w:val="000B41B3"/>
    <w:rsid w:val="000B4399"/>
    <w:rsid w:val="000B48B9"/>
    <w:rsid w:val="000B6938"/>
    <w:rsid w:val="000C16CD"/>
    <w:rsid w:val="000C3C37"/>
    <w:rsid w:val="000C4F06"/>
    <w:rsid w:val="000C6A70"/>
    <w:rsid w:val="000C7A53"/>
    <w:rsid w:val="000D090E"/>
    <w:rsid w:val="000D2CB0"/>
    <w:rsid w:val="000D405C"/>
    <w:rsid w:val="000D4CF4"/>
    <w:rsid w:val="000E3F0A"/>
    <w:rsid w:val="000E587E"/>
    <w:rsid w:val="000F3ED7"/>
    <w:rsid w:val="000F467E"/>
    <w:rsid w:val="000F5134"/>
    <w:rsid w:val="00103751"/>
    <w:rsid w:val="00103AC0"/>
    <w:rsid w:val="001044AE"/>
    <w:rsid w:val="001143B6"/>
    <w:rsid w:val="00117EA7"/>
    <w:rsid w:val="00125881"/>
    <w:rsid w:val="00125F9A"/>
    <w:rsid w:val="00126433"/>
    <w:rsid w:val="00133F73"/>
    <w:rsid w:val="0013701E"/>
    <w:rsid w:val="00143545"/>
    <w:rsid w:val="00143DE5"/>
    <w:rsid w:val="00146BE9"/>
    <w:rsid w:val="00146CF4"/>
    <w:rsid w:val="00161CB8"/>
    <w:rsid w:val="001628A7"/>
    <w:rsid w:val="001663D5"/>
    <w:rsid w:val="001673CA"/>
    <w:rsid w:val="00171C29"/>
    <w:rsid w:val="0017443E"/>
    <w:rsid w:val="0017642F"/>
    <w:rsid w:val="00177823"/>
    <w:rsid w:val="00182C70"/>
    <w:rsid w:val="00190ADE"/>
    <w:rsid w:val="0019385C"/>
    <w:rsid w:val="00194262"/>
    <w:rsid w:val="00194E78"/>
    <w:rsid w:val="00195BB0"/>
    <w:rsid w:val="001960E5"/>
    <w:rsid w:val="00196225"/>
    <w:rsid w:val="00196566"/>
    <w:rsid w:val="001A108A"/>
    <w:rsid w:val="001A1FA4"/>
    <w:rsid w:val="001A32F6"/>
    <w:rsid w:val="001A4F66"/>
    <w:rsid w:val="001A7E3F"/>
    <w:rsid w:val="001B057D"/>
    <w:rsid w:val="001B24CF"/>
    <w:rsid w:val="001B4846"/>
    <w:rsid w:val="001C04BF"/>
    <w:rsid w:val="001C3C4E"/>
    <w:rsid w:val="001D06F5"/>
    <w:rsid w:val="001D20B8"/>
    <w:rsid w:val="001D296E"/>
    <w:rsid w:val="001D60C9"/>
    <w:rsid w:val="001E0457"/>
    <w:rsid w:val="001F1706"/>
    <w:rsid w:val="001F5767"/>
    <w:rsid w:val="001F7F6F"/>
    <w:rsid w:val="00204706"/>
    <w:rsid w:val="002166A4"/>
    <w:rsid w:val="00216EFF"/>
    <w:rsid w:val="002226AD"/>
    <w:rsid w:val="00230103"/>
    <w:rsid w:val="002350A4"/>
    <w:rsid w:val="0023715E"/>
    <w:rsid w:val="0024365D"/>
    <w:rsid w:val="00244DD8"/>
    <w:rsid w:val="00245592"/>
    <w:rsid w:val="00247336"/>
    <w:rsid w:val="002504C4"/>
    <w:rsid w:val="00250829"/>
    <w:rsid w:val="00255DF7"/>
    <w:rsid w:val="0025657A"/>
    <w:rsid w:val="00257023"/>
    <w:rsid w:val="00262D46"/>
    <w:rsid w:val="0027191D"/>
    <w:rsid w:val="00281FC0"/>
    <w:rsid w:val="00283179"/>
    <w:rsid w:val="002922A1"/>
    <w:rsid w:val="00294E3E"/>
    <w:rsid w:val="002A01EB"/>
    <w:rsid w:val="002A0E9C"/>
    <w:rsid w:val="002A0EA4"/>
    <w:rsid w:val="002A2261"/>
    <w:rsid w:val="002A3B0B"/>
    <w:rsid w:val="002B3B25"/>
    <w:rsid w:val="002C0986"/>
    <w:rsid w:val="002D7C85"/>
    <w:rsid w:val="002E39F3"/>
    <w:rsid w:val="002F74B6"/>
    <w:rsid w:val="0030220B"/>
    <w:rsid w:val="00305929"/>
    <w:rsid w:val="00307CB4"/>
    <w:rsid w:val="00310A55"/>
    <w:rsid w:val="00310DD5"/>
    <w:rsid w:val="00313CA3"/>
    <w:rsid w:val="003142E1"/>
    <w:rsid w:val="003177BF"/>
    <w:rsid w:val="00324C0B"/>
    <w:rsid w:val="003308A6"/>
    <w:rsid w:val="00332233"/>
    <w:rsid w:val="00335767"/>
    <w:rsid w:val="00343691"/>
    <w:rsid w:val="00347349"/>
    <w:rsid w:val="00351084"/>
    <w:rsid w:val="00353255"/>
    <w:rsid w:val="00355D6F"/>
    <w:rsid w:val="00362162"/>
    <w:rsid w:val="00370610"/>
    <w:rsid w:val="0037304A"/>
    <w:rsid w:val="0038403C"/>
    <w:rsid w:val="003850BD"/>
    <w:rsid w:val="0039178E"/>
    <w:rsid w:val="003951DE"/>
    <w:rsid w:val="00396FBA"/>
    <w:rsid w:val="003A04AB"/>
    <w:rsid w:val="003A34B6"/>
    <w:rsid w:val="003A7BF8"/>
    <w:rsid w:val="003C148F"/>
    <w:rsid w:val="003C36E9"/>
    <w:rsid w:val="003C4159"/>
    <w:rsid w:val="003C50A5"/>
    <w:rsid w:val="003D673B"/>
    <w:rsid w:val="003D6E54"/>
    <w:rsid w:val="003E608E"/>
    <w:rsid w:val="003E69AC"/>
    <w:rsid w:val="003F37CC"/>
    <w:rsid w:val="003F4815"/>
    <w:rsid w:val="00416B78"/>
    <w:rsid w:val="00416D3A"/>
    <w:rsid w:val="00425EA4"/>
    <w:rsid w:val="00442849"/>
    <w:rsid w:val="00444063"/>
    <w:rsid w:val="004458C2"/>
    <w:rsid w:val="00461175"/>
    <w:rsid w:val="004619FD"/>
    <w:rsid w:val="004640AD"/>
    <w:rsid w:val="00466E4E"/>
    <w:rsid w:val="0047678D"/>
    <w:rsid w:val="0048575B"/>
    <w:rsid w:val="00493B21"/>
    <w:rsid w:val="004959D0"/>
    <w:rsid w:val="004A0DD1"/>
    <w:rsid w:val="004A1874"/>
    <w:rsid w:val="004A69AB"/>
    <w:rsid w:val="004B0C36"/>
    <w:rsid w:val="004B0F2C"/>
    <w:rsid w:val="004B10AA"/>
    <w:rsid w:val="004B304E"/>
    <w:rsid w:val="004B537B"/>
    <w:rsid w:val="004B5E21"/>
    <w:rsid w:val="004B6E2F"/>
    <w:rsid w:val="004C2422"/>
    <w:rsid w:val="004C4271"/>
    <w:rsid w:val="004D0A4C"/>
    <w:rsid w:val="004D19BB"/>
    <w:rsid w:val="004D5BBE"/>
    <w:rsid w:val="004E5A4B"/>
    <w:rsid w:val="004E6AC5"/>
    <w:rsid w:val="004F1C07"/>
    <w:rsid w:val="004F24D9"/>
    <w:rsid w:val="005136A3"/>
    <w:rsid w:val="00517A8C"/>
    <w:rsid w:val="005223A7"/>
    <w:rsid w:val="00531808"/>
    <w:rsid w:val="00531811"/>
    <w:rsid w:val="00533829"/>
    <w:rsid w:val="005348F5"/>
    <w:rsid w:val="005403B5"/>
    <w:rsid w:val="00542AB4"/>
    <w:rsid w:val="00543BA4"/>
    <w:rsid w:val="00543C4A"/>
    <w:rsid w:val="005606F2"/>
    <w:rsid w:val="00561319"/>
    <w:rsid w:val="00572873"/>
    <w:rsid w:val="00575682"/>
    <w:rsid w:val="00582FE6"/>
    <w:rsid w:val="0058537C"/>
    <w:rsid w:val="00594644"/>
    <w:rsid w:val="00595086"/>
    <w:rsid w:val="005951C1"/>
    <w:rsid w:val="0059697F"/>
    <w:rsid w:val="005A1D54"/>
    <w:rsid w:val="005A44E9"/>
    <w:rsid w:val="005A4B80"/>
    <w:rsid w:val="005A7869"/>
    <w:rsid w:val="005B7D71"/>
    <w:rsid w:val="005C20B6"/>
    <w:rsid w:val="005C38D1"/>
    <w:rsid w:val="005D798E"/>
    <w:rsid w:val="005E0E16"/>
    <w:rsid w:val="005E158F"/>
    <w:rsid w:val="005E7363"/>
    <w:rsid w:val="005F1799"/>
    <w:rsid w:val="005F7223"/>
    <w:rsid w:val="006011D7"/>
    <w:rsid w:val="0060198D"/>
    <w:rsid w:val="006022FF"/>
    <w:rsid w:val="006037EF"/>
    <w:rsid w:val="006255EF"/>
    <w:rsid w:val="00630749"/>
    <w:rsid w:val="006325A6"/>
    <w:rsid w:val="00647548"/>
    <w:rsid w:val="006478DD"/>
    <w:rsid w:val="00650888"/>
    <w:rsid w:val="00653BA5"/>
    <w:rsid w:val="0065503C"/>
    <w:rsid w:val="006608C2"/>
    <w:rsid w:val="0066146B"/>
    <w:rsid w:val="006615FA"/>
    <w:rsid w:val="006633A2"/>
    <w:rsid w:val="00663F15"/>
    <w:rsid w:val="00674074"/>
    <w:rsid w:val="00680F92"/>
    <w:rsid w:val="00681EC5"/>
    <w:rsid w:val="006824D3"/>
    <w:rsid w:val="00682A3D"/>
    <w:rsid w:val="00684CD0"/>
    <w:rsid w:val="00685549"/>
    <w:rsid w:val="00687783"/>
    <w:rsid w:val="006A0319"/>
    <w:rsid w:val="006A0848"/>
    <w:rsid w:val="006A089D"/>
    <w:rsid w:val="006A200F"/>
    <w:rsid w:val="006B2098"/>
    <w:rsid w:val="006B326A"/>
    <w:rsid w:val="006B6A6F"/>
    <w:rsid w:val="006C26BC"/>
    <w:rsid w:val="006D1933"/>
    <w:rsid w:val="006D33DA"/>
    <w:rsid w:val="006D71B1"/>
    <w:rsid w:val="006E082D"/>
    <w:rsid w:val="006E39CD"/>
    <w:rsid w:val="006E46BF"/>
    <w:rsid w:val="006E604D"/>
    <w:rsid w:val="006E6A5E"/>
    <w:rsid w:val="006E7097"/>
    <w:rsid w:val="006F1495"/>
    <w:rsid w:val="006F19C1"/>
    <w:rsid w:val="006F2BA3"/>
    <w:rsid w:val="00713B4E"/>
    <w:rsid w:val="00720037"/>
    <w:rsid w:val="007223B2"/>
    <w:rsid w:val="00724DC5"/>
    <w:rsid w:val="007322D1"/>
    <w:rsid w:val="007378B9"/>
    <w:rsid w:val="00740A28"/>
    <w:rsid w:val="007433FA"/>
    <w:rsid w:val="00750D25"/>
    <w:rsid w:val="00752F4C"/>
    <w:rsid w:val="00755419"/>
    <w:rsid w:val="0076594A"/>
    <w:rsid w:val="007724FD"/>
    <w:rsid w:val="007759E3"/>
    <w:rsid w:val="00794708"/>
    <w:rsid w:val="00796EBD"/>
    <w:rsid w:val="007A03B6"/>
    <w:rsid w:val="007A04D8"/>
    <w:rsid w:val="007A2AFE"/>
    <w:rsid w:val="007A4FC5"/>
    <w:rsid w:val="007A7AC3"/>
    <w:rsid w:val="007C12B6"/>
    <w:rsid w:val="007C1583"/>
    <w:rsid w:val="007C2B2F"/>
    <w:rsid w:val="007D3D82"/>
    <w:rsid w:val="007D7CAE"/>
    <w:rsid w:val="007E2EA9"/>
    <w:rsid w:val="007F0B47"/>
    <w:rsid w:val="007F2B9B"/>
    <w:rsid w:val="007F50CC"/>
    <w:rsid w:val="007F7254"/>
    <w:rsid w:val="008012D0"/>
    <w:rsid w:val="00803710"/>
    <w:rsid w:val="008037DA"/>
    <w:rsid w:val="00810C56"/>
    <w:rsid w:val="00823404"/>
    <w:rsid w:val="00825C65"/>
    <w:rsid w:val="00826EB2"/>
    <w:rsid w:val="00830B6A"/>
    <w:rsid w:val="00834A08"/>
    <w:rsid w:val="00834F23"/>
    <w:rsid w:val="0083555B"/>
    <w:rsid w:val="00837C30"/>
    <w:rsid w:val="0084446D"/>
    <w:rsid w:val="00845DCE"/>
    <w:rsid w:val="008475AD"/>
    <w:rsid w:val="00852F85"/>
    <w:rsid w:val="00861EA4"/>
    <w:rsid w:val="0086294A"/>
    <w:rsid w:val="008722DA"/>
    <w:rsid w:val="00872A5C"/>
    <w:rsid w:val="00883AF6"/>
    <w:rsid w:val="00887B7D"/>
    <w:rsid w:val="0089048F"/>
    <w:rsid w:val="008932EA"/>
    <w:rsid w:val="008940D5"/>
    <w:rsid w:val="00894581"/>
    <w:rsid w:val="008948C5"/>
    <w:rsid w:val="00894C7D"/>
    <w:rsid w:val="008978B4"/>
    <w:rsid w:val="008A0CFF"/>
    <w:rsid w:val="008A4FE4"/>
    <w:rsid w:val="008B1F6C"/>
    <w:rsid w:val="008B45CD"/>
    <w:rsid w:val="008B615B"/>
    <w:rsid w:val="008C4117"/>
    <w:rsid w:val="008C68D3"/>
    <w:rsid w:val="008D32BB"/>
    <w:rsid w:val="008D4FD6"/>
    <w:rsid w:val="008D6472"/>
    <w:rsid w:val="008D7264"/>
    <w:rsid w:val="008E2B45"/>
    <w:rsid w:val="008E4732"/>
    <w:rsid w:val="008E4D15"/>
    <w:rsid w:val="008E5CE6"/>
    <w:rsid w:val="008F06BA"/>
    <w:rsid w:val="008F14B2"/>
    <w:rsid w:val="00904F08"/>
    <w:rsid w:val="00906359"/>
    <w:rsid w:val="00912DCD"/>
    <w:rsid w:val="009157A7"/>
    <w:rsid w:val="0091718F"/>
    <w:rsid w:val="0092310D"/>
    <w:rsid w:val="00925BFA"/>
    <w:rsid w:val="009277AC"/>
    <w:rsid w:val="009368E7"/>
    <w:rsid w:val="00936956"/>
    <w:rsid w:val="00936C36"/>
    <w:rsid w:val="00941271"/>
    <w:rsid w:val="00944AE4"/>
    <w:rsid w:val="00961358"/>
    <w:rsid w:val="00965671"/>
    <w:rsid w:val="00967B0B"/>
    <w:rsid w:val="00971159"/>
    <w:rsid w:val="009754B8"/>
    <w:rsid w:val="00975E21"/>
    <w:rsid w:val="00981366"/>
    <w:rsid w:val="00984838"/>
    <w:rsid w:val="00985D96"/>
    <w:rsid w:val="00996E9E"/>
    <w:rsid w:val="009A10B6"/>
    <w:rsid w:val="009A27A9"/>
    <w:rsid w:val="009A2C74"/>
    <w:rsid w:val="009A30C5"/>
    <w:rsid w:val="009A361D"/>
    <w:rsid w:val="009A492E"/>
    <w:rsid w:val="009A633C"/>
    <w:rsid w:val="009B5F13"/>
    <w:rsid w:val="009C1F47"/>
    <w:rsid w:val="009C3D11"/>
    <w:rsid w:val="009C4E6A"/>
    <w:rsid w:val="009C531F"/>
    <w:rsid w:val="009D660A"/>
    <w:rsid w:val="009E1204"/>
    <w:rsid w:val="009E5AD6"/>
    <w:rsid w:val="009E7574"/>
    <w:rsid w:val="009F3728"/>
    <w:rsid w:val="009F5E11"/>
    <w:rsid w:val="00A03D8E"/>
    <w:rsid w:val="00A0433F"/>
    <w:rsid w:val="00A137E0"/>
    <w:rsid w:val="00A26651"/>
    <w:rsid w:val="00A27884"/>
    <w:rsid w:val="00A336F1"/>
    <w:rsid w:val="00A45E04"/>
    <w:rsid w:val="00A45EA6"/>
    <w:rsid w:val="00A54E27"/>
    <w:rsid w:val="00A56CB0"/>
    <w:rsid w:val="00A620B5"/>
    <w:rsid w:val="00A64399"/>
    <w:rsid w:val="00A66BB8"/>
    <w:rsid w:val="00A81573"/>
    <w:rsid w:val="00A81C4F"/>
    <w:rsid w:val="00A827E7"/>
    <w:rsid w:val="00A87BBA"/>
    <w:rsid w:val="00A9070F"/>
    <w:rsid w:val="00A92100"/>
    <w:rsid w:val="00A949D5"/>
    <w:rsid w:val="00A95480"/>
    <w:rsid w:val="00A95592"/>
    <w:rsid w:val="00AA2BFE"/>
    <w:rsid w:val="00AA3D02"/>
    <w:rsid w:val="00AA3DF3"/>
    <w:rsid w:val="00AA7D7C"/>
    <w:rsid w:val="00AC079B"/>
    <w:rsid w:val="00AC1E70"/>
    <w:rsid w:val="00AC3FC1"/>
    <w:rsid w:val="00AC53AE"/>
    <w:rsid w:val="00AC6CFB"/>
    <w:rsid w:val="00AD0629"/>
    <w:rsid w:val="00AD1E18"/>
    <w:rsid w:val="00AD6713"/>
    <w:rsid w:val="00AE2B7E"/>
    <w:rsid w:val="00AF4789"/>
    <w:rsid w:val="00B037D6"/>
    <w:rsid w:val="00B072BB"/>
    <w:rsid w:val="00B07A78"/>
    <w:rsid w:val="00B1056C"/>
    <w:rsid w:val="00B15F92"/>
    <w:rsid w:val="00B164A8"/>
    <w:rsid w:val="00B2262F"/>
    <w:rsid w:val="00B264B3"/>
    <w:rsid w:val="00B270E3"/>
    <w:rsid w:val="00B3572D"/>
    <w:rsid w:val="00B4596D"/>
    <w:rsid w:val="00B47F3C"/>
    <w:rsid w:val="00B5301D"/>
    <w:rsid w:val="00B711BE"/>
    <w:rsid w:val="00B712A5"/>
    <w:rsid w:val="00B753D8"/>
    <w:rsid w:val="00B766A7"/>
    <w:rsid w:val="00B77832"/>
    <w:rsid w:val="00B83FBE"/>
    <w:rsid w:val="00B9094B"/>
    <w:rsid w:val="00B92D8D"/>
    <w:rsid w:val="00B94B38"/>
    <w:rsid w:val="00BA15B4"/>
    <w:rsid w:val="00BA248C"/>
    <w:rsid w:val="00BA744E"/>
    <w:rsid w:val="00BA7E72"/>
    <w:rsid w:val="00BB4E69"/>
    <w:rsid w:val="00BB60E9"/>
    <w:rsid w:val="00BC0504"/>
    <w:rsid w:val="00BC0A35"/>
    <w:rsid w:val="00BC38B7"/>
    <w:rsid w:val="00BC77EA"/>
    <w:rsid w:val="00BD08E1"/>
    <w:rsid w:val="00BE4E1D"/>
    <w:rsid w:val="00BE65F9"/>
    <w:rsid w:val="00BE788D"/>
    <w:rsid w:val="00BF0554"/>
    <w:rsid w:val="00BF790B"/>
    <w:rsid w:val="00C02948"/>
    <w:rsid w:val="00C0354C"/>
    <w:rsid w:val="00C0591E"/>
    <w:rsid w:val="00C05F58"/>
    <w:rsid w:val="00C07C4F"/>
    <w:rsid w:val="00C10428"/>
    <w:rsid w:val="00C11618"/>
    <w:rsid w:val="00C134B3"/>
    <w:rsid w:val="00C17FB2"/>
    <w:rsid w:val="00C30708"/>
    <w:rsid w:val="00C30D2B"/>
    <w:rsid w:val="00C40E33"/>
    <w:rsid w:val="00C42B85"/>
    <w:rsid w:val="00C47BDF"/>
    <w:rsid w:val="00C60F28"/>
    <w:rsid w:val="00C62C7C"/>
    <w:rsid w:val="00C66519"/>
    <w:rsid w:val="00C67E0D"/>
    <w:rsid w:val="00C75873"/>
    <w:rsid w:val="00C772F7"/>
    <w:rsid w:val="00C81135"/>
    <w:rsid w:val="00C86E39"/>
    <w:rsid w:val="00C9391B"/>
    <w:rsid w:val="00C95B07"/>
    <w:rsid w:val="00CA0533"/>
    <w:rsid w:val="00CA0AA9"/>
    <w:rsid w:val="00CA111C"/>
    <w:rsid w:val="00CA51AE"/>
    <w:rsid w:val="00CA6A75"/>
    <w:rsid w:val="00CB0CE8"/>
    <w:rsid w:val="00CB62F3"/>
    <w:rsid w:val="00CB65F8"/>
    <w:rsid w:val="00CC03FD"/>
    <w:rsid w:val="00CC08ED"/>
    <w:rsid w:val="00CC0F76"/>
    <w:rsid w:val="00CC6C94"/>
    <w:rsid w:val="00CD0478"/>
    <w:rsid w:val="00CD09BA"/>
    <w:rsid w:val="00CE18B0"/>
    <w:rsid w:val="00CE4696"/>
    <w:rsid w:val="00CE5852"/>
    <w:rsid w:val="00CF0C1C"/>
    <w:rsid w:val="00D131C9"/>
    <w:rsid w:val="00D14EA7"/>
    <w:rsid w:val="00D17F2C"/>
    <w:rsid w:val="00D309B7"/>
    <w:rsid w:val="00D337E1"/>
    <w:rsid w:val="00D35653"/>
    <w:rsid w:val="00D42471"/>
    <w:rsid w:val="00D4533E"/>
    <w:rsid w:val="00D45950"/>
    <w:rsid w:val="00D55DE2"/>
    <w:rsid w:val="00D575F9"/>
    <w:rsid w:val="00D62741"/>
    <w:rsid w:val="00D710B6"/>
    <w:rsid w:val="00D72BEB"/>
    <w:rsid w:val="00D739E2"/>
    <w:rsid w:val="00D81347"/>
    <w:rsid w:val="00D8203D"/>
    <w:rsid w:val="00D834D5"/>
    <w:rsid w:val="00D91E85"/>
    <w:rsid w:val="00D92E56"/>
    <w:rsid w:val="00D93BC2"/>
    <w:rsid w:val="00D943B5"/>
    <w:rsid w:val="00D946B2"/>
    <w:rsid w:val="00D955FD"/>
    <w:rsid w:val="00D97BEA"/>
    <w:rsid w:val="00DA0B6C"/>
    <w:rsid w:val="00DA27E2"/>
    <w:rsid w:val="00DA41F4"/>
    <w:rsid w:val="00DA4764"/>
    <w:rsid w:val="00DA5113"/>
    <w:rsid w:val="00DA69BC"/>
    <w:rsid w:val="00DB1D15"/>
    <w:rsid w:val="00DB700A"/>
    <w:rsid w:val="00DB71AB"/>
    <w:rsid w:val="00DB7BBE"/>
    <w:rsid w:val="00DC5416"/>
    <w:rsid w:val="00DC560F"/>
    <w:rsid w:val="00DD52F9"/>
    <w:rsid w:val="00DD5FDA"/>
    <w:rsid w:val="00DE468A"/>
    <w:rsid w:val="00DE5AE9"/>
    <w:rsid w:val="00DE63FF"/>
    <w:rsid w:val="00DF3448"/>
    <w:rsid w:val="00DF6444"/>
    <w:rsid w:val="00DF736D"/>
    <w:rsid w:val="00E03C77"/>
    <w:rsid w:val="00E05BC1"/>
    <w:rsid w:val="00E156D8"/>
    <w:rsid w:val="00E168B6"/>
    <w:rsid w:val="00E17726"/>
    <w:rsid w:val="00E20B2E"/>
    <w:rsid w:val="00E21B1B"/>
    <w:rsid w:val="00E37D95"/>
    <w:rsid w:val="00E518C2"/>
    <w:rsid w:val="00E52A5C"/>
    <w:rsid w:val="00E6169E"/>
    <w:rsid w:val="00E623C8"/>
    <w:rsid w:val="00E71085"/>
    <w:rsid w:val="00E747E3"/>
    <w:rsid w:val="00E75BFB"/>
    <w:rsid w:val="00E764B7"/>
    <w:rsid w:val="00E9610E"/>
    <w:rsid w:val="00E96A5A"/>
    <w:rsid w:val="00EA0D77"/>
    <w:rsid w:val="00EA1661"/>
    <w:rsid w:val="00EA34B3"/>
    <w:rsid w:val="00EA6252"/>
    <w:rsid w:val="00EB51D8"/>
    <w:rsid w:val="00EC00CA"/>
    <w:rsid w:val="00EC642E"/>
    <w:rsid w:val="00ED6AEB"/>
    <w:rsid w:val="00EE0205"/>
    <w:rsid w:val="00EE6052"/>
    <w:rsid w:val="00EF038B"/>
    <w:rsid w:val="00EF0AB9"/>
    <w:rsid w:val="00F02213"/>
    <w:rsid w:val="00F035C7"/>
    <w:rsid w:val="00F04BBA"/>
    <w:rsid w:val="00F108EE"/>
    <w:rsid w:val="00F134C9"/>
    <w:rsid w:val="00F17192"/>
    <w:rsid w:val="00F21982"/>
    <w:rsid w:val="00F31387"/>
    <w:rsid w:val="00F408AB"/>
    <w:rsid w:val="00F40916"/>
    <w:rsid w:val="00F50EFF"/>
    <w:rsid w:val="00F51516"/>
    <w:rsid w:val="00F54CD1"/>
    <w:rsid w:val="00F63120"/>
    <w:rsid w:val="00F640D1"/>
    <w:rsid w:val="00F6649B"/>
    <w:rsid w:val="00F7033B"/>
    <w:rsid w:val="00F8426C"/>
    <w:rsid w:val="00F8484D"/>
    <w:rsid w:val="00F94921"/>
    <w:rsid w:val="00F95DC1"/>
    <w:rsid w:val="00FB1176"/>
    <w:rsid w:val="00FB2950"/>
    <w:rsid w:val="00FB4028"/>
    <w:rsid w:val="00FB49CD"/>
    <w:rsid w:val="00FB5E5D"/>
    <w:rsid w:val="00FC35F8"/>
    <w:rsid w:val="00FD1CC2"/>
    <w:rsid w:val="00FD1F02"/>
    <w:rsid w:val="00FD4E5E"/>
    <w:rsid w:val="00FD51C0"/>
    <w:rsid w:val="00FF09DD"/>
    <w:rsid w:val="00FF0DFC"/>
    <w:rsid w:val="00FF2880"/>
    <w:rsid w:val="00FF4FA6"/>
    <w:rsid w:val="00FF5FC5"/>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semiHidden/>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E6169E"/>
    <w:pPr>
      <w:spacing w:after="0"/>
    </w:pPr>
  </w:style>
  <w:style w:type="paragraph" w:styleId="ListParagraph">
    <w:name w:val="List Paragraph"/>
    <w:basedOn w:val="Normal"/>
    <w:uiPriority w:val="34"/>
    <w:qFormat/>
    <w:rsid w:val="003C36E9"/>
    <w:pPr>
      <w:spacing w:after="0"/>
      <w:ind w:left="720"/>
    </w:pPr>
    <w:rPr>
      <w:rFonts w:ascii="Calibri" w:eastAsiaTheme="minorHAnsi" w:hAnsi="Calibri" w:cs="Calibri"/>
      <w:sz w:val="22"/>
      <w:lang w:val="nl-NL"/>
      <w14:ligatures w14:val="standardContextual"/>
    </w:rPr>
  </w:style>
  <w:style w:type="character" w:styleId="UnresolvedMention">
    <w:name w:val="Unresolved Mention"/>
    <w:basedOn w:val="DefaultParagraphFont"/>
    <w:uiPriority w:val="99"/>
    <w:semiHidden/>
    <w:unhideWhenUsed/>
    <w:rsid w:val="009A3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908052">
      <w:bodyDiv w:val="1"/>
      <w:marLeft w:val="0"/>
      <w:marRight w:val="0"/>
      <w:marTop w:val="0"/>
      <w:marBottom w:val="0"/>
      <w:divBdr>
        <w:top w:val="none" w:sz="0" w:space="0" w:color="auto"/>
        <w:left w:val="none" w:sz="0" w:space="0" w:color="auto"/>
        <w:bottom w:val="none" w:sz="0" w:space="0" w:color="auto"/>
        <w:right w:val="none" w:sz="0" w:space="0" w:color="auto"/>
      </w:divBdr>
    </w:div>
    <w:div w:id="580483784">
      <w:bodyDiv w:val="1"/>
      <w:marLeft w:val="0"/>
      <w:marRight w:val="0"/>
      <w:marTop w:val="0"/>
      <w:marBottom w:val="0"/>
      <w:divBdr>
        <w:top w:val="none" w:sz="0" w:space="0" w:color="auto"/>
        <w:left w:val="none" w:sz="0" w:space="0" w:color="auto"/>
        <w:bottom w:val="none" w:sz="0" w:space="0" w:color="auto"/>
        <w:right w:val="none" w:sz="0" w:space="0" w:color="auto"/>
      </w:divBdr>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635182627">
      <w:bodyDiv w:val="1"/>
      <w:marLeft w:val="0"/>
      <w:marRight w:val="0"/>
      <w:marTop w:val="0"/>
      <w:marBottom w:val="0"/>
      <w:divBdr>
        <w:top w:val="none" w:sz="0" w:space="0" w:color="auto"/>
        <w:left w:val="none" w:sz="0" w:space="0" w:color="auto"/>
        <w:bottom w:val="none" w:sz="0" w:space="0" w:color="auto"/>
        <w:right w:val="none" w:sz="0" w:space="0" w:color="auto"/>
      </w:divBdr>
    </w:div>
    <w:div w:id="1126195127">
      <w:bodyDiv w:val="1"/>
      <w:marLeft w:val="0"/>
      <w:marRight w:val="0"/>
      <w:marTop w:val="0"/>
      <w:marBottom w:val="0"/>
      <w:divBdr>
        <w:top w:val="none" w:sz="0" w:space="0" w:color="auto"/>
        <w:left w:val="none" w:sz="0" w:space="0" w:color="auto"/>
        <w:bottom w:val="none" w:sz="0" w:space="0" w:color="auto"/>
        <w:right w:val="none" w:sz="0" w:space="0" w:color="auto"/>
      </w:divBdr>
    </w:div>
    <w:div w:id="1264456328">
      <w:bodyDiv w:val="1"/>
      <w:marLeft w:val="0"/>
      <w:marRight w:val="0"/>
      <w:marTop w:val="0"/>
      <w:marBottom w:val="0"/>
      <w:divBdr>
        <w:top w:val="none" w:sz="0" w:space="0" w:color="auto"/>
        <w:left w:val="none" w:sz="0" w:space="0" w:color="auto"/>
        <w:bottom w:val="none" w:sz="0" w:space="0" w:color="auto"/>
        <w:right w:val="none" w:sz="0" w:space="0" w:color="auto"/>
      </w:divBdr>
    </w:div>
    <w:div w:id="1467048421">
      <w:bodyDiv w:val="1"/>
      <w:marLeft w:val="0"/>
      <w:marRight w:val="0"/>
      <w:marTop w:val="0"/>
      <w:marBottom w:val="0"/>
      <w:divBdr>
        <w:top w:val="none" w:sz="0" w:space="0" w:color="auto"/>
        <w:left w:val="none" w:sz="0" w:space="0" w:color="auto"/>
        <w:bottom w:val="none" w:sz="0" w:space="0" w:color="auto"/>
        <w:right w:val="none" w:sz="0" w:space="0" w:color="auto"/>
      </w:divBdr>
    </w:div>
    <w:div w:id="16007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sk/statement_24_5004" TargetMode="External"/><Relationship Id="rId2" Type="http://schemas.openxmlformats.org/officeDocument/2006/relationships/hyperlink" Target="https://www.consilium.europa.eu/en/press/press-releases/2024/10/15/fostering-jewish-life-and-combating-antisemitism-council-approves-declaration/" TargetMode="External"/><Relationship Id="rId1" Type="http://schemas.openxmlformats.org/officeDocument/2006/relationships/hyperlink" Target="https://commission.europa.eu/topics/strengthening-european-competitiveness/eu-competitiveness-looking-ahea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1227</ap:Words>
  <ap:Characters>6754</ap:Characters>
  <ap:DocSecurity>0</ap:DocSecurity>
  <ap:Lines>56</ap:Lines>
  <ap:Paragraphs>15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2024-10-18T08:58:00.0000000Z</lastPrinted>
  <dcterms:created xsi:type="dcterms:W3CDTF">2024-10-21T14:54:00.0000000Z</dcterms:created>
  <dcterms:modified xsi:type="dcterms:W3CDTF">2024-10-21T14:54:00.0000000Z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Land0">
    <vt:lpwstr/>
  </property>
  <property fmtid="{D5CDD505-2E9C-101B-9397-08002B2CF9AE}" pid="4" name="Forum">
    <vt:lpwstr/>
  </property>
  <property fmtid="{D5CDD505-2E9C-101B-9397-08002B2CF9AE}" pid="5" name="_dlc_DocIdItemGuid">
    <vt:lpwstr>d7255e86-ccc6-43b5-a2a8-52f8c2d69b1a</vt:lpwstr>
  </property>
  <property fmtid="{D5CDD505-2E9C-101B-9397-08002B2CF9AE}" pid="6" name="_docset_NoMedatataSyncRequired">
    <vt:lpwstr>False</vt:lpwstr>
  </property>
  <property fmtid="{D5CDD505-2E9C-101B-9397-08002B2CF9AE}" pid="7" name="BZ_Country">
    <vt:lpwstr>4;#The Netherlands|7f69a7bb-478c-499d-a6cf-5869916dfee4</vt:lpwstr>
  </property>
  <property fmtid="{D5CDD505-2E9C-101B-9397-08002B2CF9AE}" pid="8" name="BZ_Classification">
    <vt:lpwstr>9;#UNCLASSIFIED|d92c6340-bc14-4cb2-a9a6-6deda93c493b</vt:lpwstr>
  </property>
  <property fmtid="{D5CDD505-2E9C-101B-9397-08002B2CF9AE}" pid="9" name="BZ_Forum">
    <vt:lpwstr>3;#EU|4d8f9873-61b3-4ee5-b6f7-0bb00c6df5e8</vt:lpwstr>
  </property>
  <property fmtid="{D5CDD505-2E9C-101B-9397-08002B2CF9AE}" pid="10" name="BZ_Theme">
    <vt:lpwstr>1;#Organization|d3f777fe-abca-43dd-b11c-a7496ad32ea5;#2;#Visits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381;#Crises and evacuations|86ebb572-2151-4966-995e-8519c4d43d2f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ies>
</file>