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6599E" w:rsidTr="0056599E" w14:paraId="19E3C5DD" w14:textId="77777777">
        <w:bookmarkStart w:name="_GoBack" w:displacedByCustomXml="next" w:id="0"/>
        <w:bookmarkEnd w:displacedByCustomXml="next" w:id="0"/>
        <w:sdt>
          <w:sdtPr>
            <w:tag w:val="bmZaakNummerAdvies"/>
            <w:id w:val="499469030"/>
            <w:lock w:val="sdtLocked"/>
            <w:placeholder>
              <w:docPart w:val="DefaultPlaceholder_-1854013440"/>
            </w:placeholder>
          </w:sdtPr>
          <w:sdtEndPr/>
          <w:sdtContent>
            <w:tc>
              <w:tcPr>
                <w:tcW w:w="4251" w:type="dxa"/>
              </w:tcPr>
              <w:p w:rsidR="0056599E" w:rsidP="003D6991" w:rsidRDefault="0056599E" w14:paraId="4FFC8E88" w14:textId="35543135">
                <w:r>
                  <w:t>No. W16.24.00091/II</w:t>
                </w:r>
              </w:p>
            </w:tc>
          </w:sdtContent>
        </w:sdt>
        <w:sdt>
          <w:sdtPr>
            <w:tag w:val="bmDatumAdvies"/>
            <w:id w:val="1970700944"/>
            <w:lock w:val="sdtLocked"/>
            <w:placeholder>
              <w:docPart w:val="DefaultPlaceholder_-1854013440"/>
            </w:placeholder>
          </w:sdtPr>
          <w:sdtEndPr/>
          <w:sdtContent>
            <w:tc>
              <w:tcPr>
                <w:tcW w:w="4252" w:type="dxa"/>
              </w:tcPr>
              <w:p w:rsidR="0056599E" w:rsidP="003D6991" w:rsidRDefault="0056599E" w14:paraId="26F4D6DE" w14:textId="738F28EA">
                <w:r>
                  <w:t>'s-Gravenhage, 21 augustus 2024</w:t>
                </w:r>
              </w:p>
            </w:tc>
          </w:sdtContent>
        </w:sdt>
      </w:tr>
    </w:tbl>
    <w:p w:rsidR="0056599E" w:rsidP="003D6991" w:rsidRDefault="0056599E" w14:paraId="056D392F" w14:textId="77777777"/>
    <w:p w:rsidR="0056599E" w:rsidP="003D6991" w:rsidRDefault="0056599E" w14:paraId="4A47D1B1" w14:textId="77777777"/>
    <w:p w:rsidR="0088064C" w:rsidP="003D6991" w:rsidRDefault="004F5C7B" w14:paraId="54E544BD" w14:textId="1D628ADD">
      <w:pPr>
        <w:rPr>
          <w:bdr w:val="nil"/>
        </w:rPr>
      </w:pPr>
      <w:sdt>
        <w:sdtPr>
          <w:tag w:val="bmAanhef"/>
          <w:id w:val="-145444036"/>
          <w:lock w:val="sdtLocked"/>
          <w:placeholder>
            <w:docPart w:val="DefaultPlaceholder_-1854013440"/>
          </w:placeholder>
        </w:sdtPr>
        <w:sdtEndPr/>
        <w:sdtContent>
          <w:r w:rsidR="0056599E">
            <w:rPr>
              <w:color w:val="000000"/>
            </w:rPr>
            <w:t>Bij Kabinetsmissive van 9 april 2024, no.2024000904, heeft Uwe Majesteit, op voordracht van de Minister voor Rechtsbescherming</w:t>
          </w:r>
          <w:r w:rsidR="0097324F">
            <w:rPr>
              <w:rStyle w:val="Voetnootmarkering"/>
              <w:color w:val="000000"/>
            </w:rPr>
            <w:footnoteReference w:id="2"/>
          </w:r>
          <w:r w:rsidR="0056599E">
            <w:rPr>
              <w:color w:val="000000"/>
            </w:rPr>
            <w:t xml:space="preserve"> bij de Afdeling advisering van de Raad van State ter overweging aanhangig gemaakt het vaststelling van Boek 1, Hoofdstuk 10, en de Boeken 7 en 8 van het nieuwe Wetboek van Strafvordering (Tweede vaststellingswet Wetboek van Strafvordering), met memorie van toelichting.</w:t>
          </w:r>
        </w:sdtContent>
      </w:sdt>
    </w:p>
    <w:p w:rsidR="001978DD" w:rsidRDefault="001978DD" w14:paraId="54E544BE" w14:textId="77777777"/>
    <w:sdt>
      <w:sdtPr>
        <w:tag w:val="bmVrijeTekst1"/>
        <w:id w:val="327796995"/>
        <w:lock w:val="sdtLocked"/>
        <w:placeholder>
          <w:docPart w:val="EBB34998FEC84F1BB7F4F527499B6B5C"/>
        </w:placeholder>
      </w:sdtPr>
      <w:sdtEndPr/>
      <w:sdtContent>
        <w:p w:rsidR="00F21717" w:rsidP="000624DF" w:rsidRDefault="00D51AE5" w14:paraId="7A4156B5" w14:textId="77777777">
          <w:r>
            <w:t xml:space="preserve">Het wetsvoorstel </w:t>
          </w:r>
          <w:r w:rsidR="00F30CB3">
            <w:t>strekt ertoe de regels over de tenuitvoerlegging</w:t>
          </w:r>
          <w:r w:rsidR="00CA77B6">
            <w:t xml:space="preserve"> </w:t>
          </w:r>
          <w:r w:rsidR="00F30CB3">
            <w:t>en de internationale samenwerking in strafzaken</w:t>
          </w:r>
          <w:r w:rsidR="00CA77B6">
            <w:t xml:space="preserve"> uit het huidige Wetboek van Strafvordering</w:t>
          </w:r>
          <w:r w:rsidR="00F30CB3">
            <w:t xml:space="preserve"> om te zetten naar het nieuwe Wetboek van Strafvordering. </w:t>
          </w:r>
          <w:r w:rsidR="007B4445">
            <w:t>D</w:t>
          </w:r>
          <w:r w:rsidR="00BD6CA7">
            <w:t xml:space="preserve">ie </w:t>
          </w:r>
          <w:r w:rsidR="004F6C61">
            <w:t>regels</w:t>
          </w:r>
          <w:r w:rsidR="00CA77B6">
            <w:t xml:space="preserve"> zijn </w:t>
          </w:r>
          <w:r w:rsidR="004F6C61">
            <w:t>in 2018 en 2020 nog grondig herzien</w:t>
          </w:r>
          <w:r w:rsidR="00753B17">
            <w:t>. D</w:t>
          </w:r>
          <w:r w:rsidR="007B4445">
            <w:t>e</w:t>
          </w:r>
          <w:r w:rsidR="00CA77B6">
            <w:t xml:space="preserve"> wijzigingen </w:t>
          </w:r>
          <w:r w:rsidR="00753B17">
            <w:t>in dit wetsvoorstel</w:t>
          </w:r>
          <w:r w:rsidR="00CA77B6">
            <w:t xml:space="preserve"> zijn </w:t>
          </w:r>
          <w:r w:rsidR="004F6C61">
            <w:t>daarom</w:t>
          </w:r>
          <w:r w:rsidR="00CA77B6">
            <w:t xml:space="preserve"> </w:t>
          </w:r>
          <w:r w:rsidR="00F049CE">
            <w:t xml:space="preserve">voornamelijk technisch van aard. </w:t>
          </w:r>
          <w:r w:rsidR="00C66A45">
            <w:t xml:space="preserve">Op sommige punten </w:t>
          </w:r>
          <w:r w:rsidR="003F48BE">
            <w:t xml:space="preserve">wordt de wettekst verduidelijkt en </w:t>
          </w:r>
          <w:r w:rsidR="00C66A45">
            <w:t xml:space="preserve">er </w:t>
          </w:r>
          <w:r w:rsidR="003F48BE">
            <w:t>word</w:t>
          </w:r>
          <w:r w:rsidR="00141AC7">
            <w:t>en enkele inhoudelijke wijzigingen aangebracht op basis van praktijkervaring.</w:t>
          </w:r>
          <w:r w:rsidR="00A72D71">
            <w:t xml:space="preserve"> </w:t>
          </w:r>
        </w:p>
        <w:p w:rsidR="00F21717" w:rsidP="000624DF" w:rsidRDefault="00F21717" w14:paraId="5C168388" w14:textId="77777777"/>
        <w:p w:rsidR="00F049CE" w:rsidP="000624DF" w:rsidRDefault="003F48BE" w14:paraId="6089CD73" w14:textId="5E683D51">
          <w:r>
            <w:t>D</w:t>
          </w:r>
          <w:r w:rsidR="00F049CE">
            <w:t>e Afdeling</w:t>
          </w:r>
          <w:r w:rsidR="0044009B">
            <w:t xml:space="preserve"> advisering van de Raad van State</w:t>
          </w:r>
          <w:r w:rsidR="00F049CE">
            <w:t xml:space="preserve"> adviseert in het Algemeen deel van de toelichting een overzicht te geven van de belangrijkste inhoudelijke wijzigingen. </w:t>
          </w:r>
          <w:r w:rsidR="00141AC7">
            <w:t xml:space="preserve">Daarnaast maakt </w:t>
          </w:r>
          <w:r w:rsidR="00450EB7">
            <w:t xml:space="preserve">zij </w:t>
          </w:r>
          <w:r w:rsidR="006E554D">
            <w:t xml:space="preserve">een opmerking over de hoorplicht bij de terbeschikkingstelling en de </w:t>
          </w:r>
          <w:r w:rsidR="00502AB8">
            <w:t xml:space="preserve">strafonderbreking. </w:t>
          </w:r>
          <w:r w:rsidR="008B3D7D">
            <w:t xml:space="preserve">Tot slot maakt de Afdeling een opmerking over het gebruik van de term ‘werkdagen’. </w:t>
          </w:r>
          <w:r w:rsidR="00502AB8">
            <w:t xml:space="preserve">In verband met deze opmerkingen is aanpassing van de toelichting en zo nodig het wetsvoorstel wenselijk. </w:t>
          </w:r>
        </w:p>
        <w:p w:rsidR="00503551" w:rsidP="000624DF" w:rsidRDefault="00503551" w14:paraId="21B773CC" w14:textId="77777777"/>
        <w:p w:rsidR="004C7E32" w:rsidP="000624DF" w:rsidRDefault="000624DF" w14:paraId="76ED9FB4" w14:textId="381BC28A">
          <w:r>
            <w:t xml:space="preserve">1. </w:t>
          </w:r>
          <w:r>
            <w:tab/>
          </w:r>
          <w:r w:rsidRPr="004C7E32" w:rsidR="004C7E32">
            <w:rPr>
              <w:u w:val="single"/>
            </w:rPr>
            <w:t>Inleiding</w:t>
          </w:r>
        </w:p>
        <w:p w:rsidR="004C7E32" w:rsidP="000624DF" w:rsidRDefault="004C7E32" w14:paraId="38A30E50" w14:textId="77777777"/>
        <w:p w:rsidR="001744CD" w:rsidP="000624DF" w:rsidRDefault="004C7E32" w14:paraId="5BA653BC" w14:textId="332B63B8">
          <w:r>
            <w:t>Het wetsvoorstel is onderdeel van de modernisering</w:t>
          </w:r>
          <w:r w:rsidR="00F427D7">
            <w:t>soperatie</w:t>
          </w:r>
          <w:r>
            <w:t xml:space="preserve"> van het Wetboek van Strafvordering. </w:t>
          </w:r>
          <w:r w:rsidR="0035406D">
            <w:t xml:space="preserve">Op 21 maart 2023 </w:t>
          </w:r>
          <w:r w:rsidRPr="00B74CF6" w:rsidR="0035406D">
            <w:t xml:space="preserve">is </w:t>
          </w:r>
          <w:r w:rsidRPr="00B74CF6" w:rsidR="00B74CF6">
            <w:t xml:space="preserve">de </w:t>
          </w:r>
          <w:r w:rsidRPr="00B74CF6" w:rsidR="002E6098">
            <w:t xml:space="preserve">eerste </w:t>
          </w:r>
          <w:r w:rsidRPr="00B74CF6" w:rsidR="002047C2">
            <w:t>v</w:t>
          </w:r>
          <w:r w:rsidRPr="00B74CF6" w:rsidR="002E6098">
            <w:t xml:space="preserve">aststellingswet </w:t>
          </w:r>
          <w:r w:rsidRPr="00B74CF6" w:rsidR="00FB2646">
            <w:t>ingediend</w:t>
          </w:r>
          <w:r w:rsidR="00FB2646">
            <w:t xml:space="preserve"> bij de Tweede Kamer. In dat wetsvoorstel </w:t>
          </w:r>
          <w:r w:rsidR="009D6D22">
            <w:t>zijn Boek 1, Ho</w:t>
          </w:r>
          <w:r w:rsidR="000D553A">
            <w:t>ofdstuk 10</w:t>
          </w:r>
          <w:r w:rsidR="000C2736">
            <w:t xml:space="preserve">, </w:t>
          </w:r>
          <w:r w:rsidR="000D553A">
            <w:t>en de Boeken 7 en 8 gereserveerd.</w:t>
          </w:r>
          <w:r w:rsidR="00B74CF6">
            <w:rPr>
              <w:rStyle w:val="Voetnootmarkering"/>
            </w:rPr>
            <w:footnoteReference w:id="3"/>
          </w:r>
          <w:r w:rsidR="000D553A">
            <w:t xml:space="preserve"> </w:t>
          </w:r>
          <w:r w:rsidR="00465A7B">
            <w:t xml:space="preserve">Met </w:t>
          </w:r>
          <w:r w:rsidR="00B00A9B">
            <w:t xml:space="preserve">dit wetsvoorstel, </w:t>
          </w:r>
          <w:r w:rsidR="002047C2">
            <w:t>aangeduid</w:t>
          </w:r>
          <w:r w:rsidR="00B00A9B">
            <w:t xml:space="preserve"> </w:t>
          </w:r>
          <w:r w:rsidR="002047C2">
            <w:t xml:space="preserve">als </w:t>
          </w:r>
          <w:r w:rsidR="00B00A9B">
            <w:t xml:space="preserve">de tweede </w:t>
          </w:r>
          <w:r w:rsidR="002047C2">
            <w:t>v</w:t>
          </w:r>
          <w:r w:rsidR="00B00A9B">
            <w:t>aststellingswet,</w:t>
          </w:r>
          <w:r w:rsidR="00465A7B">
            <w:t xml:space="preserve"> worden deze onderdelen </w:t>
          </w:r>
          <w:r w:rsidR="00B83175">
            <w:t>ingevuld</w:t>
          </w:r>
          <w:r w:rsidR="00BE0D41">
            <w:t>.</w:t>
          </w:r>
          <w:r w:rsidR="00F94CD8">
            <w:t xml:space="preserve"> </w:t>
          </w:r>
          <w:r w:rsidR="00CE7CC8">
            <w:t xml:space="preserve">De regels over de tenuitvoerlegging van sancties </w:t>
          </w:r>
          <w:r w:rsidR="00350145">
            <w:t xml:space="preserve">in het </w:t>
          </w:r>
          <w:r w:rsidR="00CE7CC8">
            <w:t>huidig</w:t>
          </w:r>
          <w:r w:rsidR="00022C6C">
            <w:t>e</w:t>
          </w:r>
          <w:r w:rsidR="00CE7CC8">
            <w:t xml:space="preserve"> Boek 6 word</w:t>
          </w:r>
          <w:r w:rsidR="00350145">
            <w:t>en</w:t>
          </w:r>
          <w:r w:rsidR="00CE7CC8">
            <w:t xml:space="preserve"> ondergebracht in </w:t>
          </w:r>
          <w:r w:rsidR="00F94CD8">
            <w:t>Boek 1, Hoofdstuk 10, en Boek 7</w:t>
          </w:r>
          <w:r w:rsidR="00CE7CC8">
            <w:t xml:space="preserve"> van het nieuwe wetboek</w:t>
          </w:r>
          <w:r w:rsidR="00F94CD8">
            <w:t>.</w:t>
          </w:r>
          <w:r w:rsidR="00A8286E">
            <w:t xml:space="preserve"> De regels over internationale en Europese strafrechtelijke samenwerking </w:t>
          </w:r>
          <w:r w:rsidR="00350145">
            <w:t xml:space="preserve">in </w:t>
          </w:r>
          <w:r w:rsidR="00A8286E">
            <w:t xml:space="preserve">het huidige </w:t>
          </w:r>
          <w:r w:rsidR="00BD26E6">
            <w:t>V</w:t>
          </w:r>
          <w:r w:rsidR="00A8286E">
            <w:t xml:space="preserve">ijfde </w:t>
          </w:r>
          <w:r w:rsidR="00BD26E6">
            <w:t xml:space="preserve">boek </w:t>
          </w:r>
          <w:r w:rsidR="00777E92">
            <w:t xml:space="preserve">zullen </w:t>
          </w:r>
          <w:r w:rsidR="00A8286E">
            <w:t>in Boek 8</w:t>
          </w:r>
          <w:r w:rsidR="00350145">
            <w:t xml:space="preserve"> van het nieuwe wetboe</w:t>
          </w:r>
          <w:r w:rsidR="00777E92">
            <w:t xml:space="preserve">k worden opgenomen. </w:t>
          </w:r>
        </w:p>
        <w:p w:rsidR="001744CD" w:rsidP="000624DF" w:rsidRDefault="001744CD" w14:paraId="7909FE16" w14:textId="3C074707"/>
        <w:p w:rsidR="00107506" w:rsidP="000624DF" w:rsidRDefault="00870ACC" w14:paraId="39E18491" w14:textId="41C4C2ED">
          <w:r>
            <w:t>De omzetting van het Vijfde</w:t>
          </w:r>
          <w:r w:rsidR="00107506">
            <w:t xml:space="preserve"> boek en Boek 6 vindt plaats in een aparte vaststellingswet omdat deze boeken </w:t>
          </w:r>
          <w:r w:rsidR="00836934">
            <w:t>in 2018</w:t>
          </w:r>
          <w:r w:rsidR="001A1C76">
            <w:rPr>
              <w:rStyle w:val="Voetnootmarkering"/>
            </w:rPr>
            <w:footnoteReference w:id="4"/>
          </w:r>
          <w:r w:rsidR="00836934">
            <w:t xml:space="preserve"> respectievelijk 2020</w:t>
          </w:r>
          <w:r w:rsidR="001A1C76">
            <w:rPr>
              <w:rStyle w:val="Voetnootmarkering"/>
            </w:rPr>
            <w:footnoteReference w:id="5"/>
          </w:r>
          <w:r w:rsidR="00836934">
            <w:t xml:space="preserve"> </w:t>
          </w:r>
          <w:r w:rsidR="00107506">
            <w:t xml:space="preserve">nog </w:t>
          </w:r>
          <w:r w:rsidR="00FB4702">
            <w:t xml:space="preserve">grondig </w:t>
          </w:r>
          <w:r w:rsidR="00107506">
            <w:t xml:space="preserve">zijn herzien. </w:t>
          </w:r>
          <w:r w:rsidR="00836934">
            <w:t xml:space="preserve">Volgens de toelichting </w:t>
          </w:r>
          <w:r w:rsidR="00B278F5">
            <w:t xml:space="preserve">zijn de wijzigingen in de tweede vaststellingswet </w:t>
          </w:r>
          <w:r w:rsidR="00F67CCB">
            <w:t xml:space="preserve">daarom </w:t>
          </w:r>
          <w:r w:rsidR="00EC06BF">
            <w:t>in beginsel beperkt en technisch van aard.</w:t>
          </w:r>
          <w:r w:rsidR="009305FF">
            <w:t xml:space="preserve"> De aanpassingen </w:t>
          </w:r>
          <w:r w:rsidR="00D764C9">
            <w:t xml:space="preserve">zien </w:t>
          </w:r>
          <w:r w:rsidR="00240C5A">
            <w:t>vooral</w:t>
          </w:r>
          <w:r w:rsidR="00D764C9">
            <w:t xml:space="preserve"> op de afstemming </w:t>
          </w:r>
          <w:r w:rsidR="00B24A2D">
            <w:t>met</w:t>
          </w:r>
          <w:r w:rsidR="00D764C9">
            <w:t xml:space="preserve"> de Boeken 1 tot en met 6 die in de eerste vaststellingswet zijn ondergebracht en op het omnummeren van </w:t>
          </w:r>
          <w:r w:rsidR="00A31309">
            <w:t>de artikelen. Daarnaast</w:t>
          </w:r>
          <w:r w:rsidR="0040611D">
            <w:t xml:space="preserve"> </w:t>
          </w:r>
          <w:r w:rsidR="000B111E">
            <w:t xml:space="preserve">zijn </w:t>
          </w:r>
          <w:r w:rsidR="006E0259">
            <w:t xml:space="preserve">enkele wetsystematische verbeteringen </w:t>
          </w:r>
          <w:r w:rsidR="00C252D9">
            <w:t>doorgevoerd en</w:t>
          </w:r>
          <w:r w:rsidR="006E0259">
            <w:t xml:space="preserve"> ervaringen </w:t>
          </w:r>
          <w:r w:rsidR="00B15ADE">
            <w:t xml:space="preserve">uit de praktijk </w:t>
          </w:r>
          <w:r w:rsidR="00C252D9">
            <w:t>meegenomen.</w:t>
          </w:r>
          <w:r w:rsidR="00C252D9">
            <w:rPr>
              <w:rStyle w:val="Voetnootmarkering"/>
            </w:rPr>
            <w:footnoteReference w:id="6"/>
          </w:r>
          <w:r w:rsidR="009305FF">
            <w:t xml:space="preserve"> </w:t>
          </w:r>
          <w:r w:rsidR="00B73C3A">
            <w:t xml:space="preserve">Hierdoor draagt het </w:t>
          </w:r>
          <w:r w:rsidR="00B73C3A">
            <w:lastRenderedPageBreak/>
            <w:t xml:space="preserve">wetsvoorstel bij aan de doelstellingen van de modernisering van het </w:t>
          </w:r>
          <w:r w:rsidR="00D43E50">
            <w:t>W</w:t>
          </w:r>
          <w:r w:rsidR="00B73C3A">
            <w:t>etboek</w:t>
          </w:r>
          <w:r w:rsidR="00D43E50">
            <w:t xml:space="preserve"> van Strafvordering</w:t>
          </w:r>
          <w:r w:rsidR="00B73C3A">
            <w:t xml:space="preserve">, met name het </w:t>
          </w:r>
          <w:r w:rsidR="0036258F">
            <w:t>voorzien in een systematisch en inzichtelijk wetboek en het verduidelijken van de rolverdeling tussen de verschillende deelnemers in het strafproces.</w:t>
          </w:r>
          <w:r w:rsidR="00374A64">
            <w:rPr>
              <w:rStyle w:val="Voetnootmarkering"/>
            </w:rPr>
            <w:footnoteReference w:id="7"/>
          </w:r>
          <w:r w:rsidR="0036258F">
            <w:t xml:space="preserve"> </w:t>
          </w:r>
        </w:p>
        <w:p w:rsidR="00B73C3A" w:rsidP="000624DF" w:rsidRDefault="00B73C3A" w14:paraId="7D6A69D1" w14:textId="77777777"/>
        <w:p w:rsidR="004C7499" w:rsidP="004C7499" w:rsidRDefault="00503551" w14:paraId="5EA31716" w14:textId="6E2EE25C">
          <w:r>
            <w:t xml:space="preserve">2. </w:t>
          </w:r>
          <w:r>
            <w:tab/>
          </w:r>
          <w:r w:rsidRPr="00604B50">
            <w:rPr>
              <w:u w:val="single"/>
            </w:rPr>
            <w:t>Algemene opmerking</w:t>
          </w:r>
          <w:r w:rsidR="00CF29F4">
            <w:rPr>
              <w:u w:val="single"/>
            </w:rPr>
            <w:t xml:space="preserve"> over de toelichting</w:t>
          </w:r>
          <w:r>
            <w:tab/>
          </w:r>
        </w:p>
        <w:p w:rsidR="00280955" w:rsidP="004C7499" w:rsidRDefault="00280955" w14:paraId="77D3BCDA" w14:textId="77777777"/>
        <w:p w:rsidR="00A35983" w:rsidP="008923EF" w:rsidRDefault="006028E8" w14:paraId="414F3BBF" w14:textId="77777777">
          <w:r>
            <w:t xml:space="preserve">Het wetsvoorstel </w:t>
          </w:r>
          <w:r w:rsidR="001B4B57">
            <w:t xml:space="preserve">strekt primair tot de inpassing van het </w:t>
          </w:r>
          <w:r w:rsidR="00DD3904">
            <w:t>al herziene</w:t>
          </w:r>
          <w:r w:rsidR="001B4B57">
            <w:t xml:space="preserve"> Vijfde boek en </w:t>
          </w:r>
          <w:r w:rsidR="0085084D">
            <w:t>B</w:t>
          </w:r>
          <w:r w:rsidR="001B4B57">
            <w:t xml:space="preserve">oek </w:t>
          </w:r>
          <w:r w:rsidR="0085084D">
            <w:t>6</w:t>
          </w:r>
          <w:r w:rsidR="001B4B57">
            <w:t xml:space="preserve"> van het </w:t>
          </w:r>
          <w:r w:rsidR="00F05227">
            <w:t>Wetboek van Straf</w:t>
          </w:r>
          <w:r w:rsidR="005D46A1">
            <w:t xml:space="preserve">vordering in </w:t>
          </w:r>
          <w:r w:rsidR="003B0E6F">
            <w:t xml:space="preserve">het gemoderniseerde </w:t>
          </w:r>
          <w:r w:rsidR="005D46A1">
            <w:t>wetboek.</w:t>
          </w:r>
          <w:r w:rsidR="00611289">
            <w:t xml:space="preserve"> </w:t>
          </w:r>
          <w:r w:rsidR="002A5FFA">
            <w:t xml:space="preserve">Hoewel de meeste wijzigingen vooral technisch van aard zijn, </w:t>
          </w:r>
          <w:r w:rsidR="00E5150B">
            <w:t xml:space="preserve">hebben onder meer </w:t>
          </w:r>
          <w:r w:rsidR="00951032">
            <w:t xml:space="preserve">praktijkervaringen geleid tot een aantal </w:t>
          </w:r>
          <w:r w:rsidR="007F0DBB">
            <w:t xml:space="preserve">inhoudelijke </w:t>
          </w:r>
          <w:r w:rsidR="00951032">
            <w:t>wijzigingen.</w:t>
          </w:r>
          <w:r w:rsidR="004870BE">
            <w:rPr>
              <w:rStyle w:val="Voetnootmarkering"/>
            </w:rPr>
            <w:footnoteReference w:id="8"/>
          </w:r>
          <w:r w:rsidR="00951032">
            <w:t xml:space="preserve"> </w:t>
          </w:r>
          <w:r w:rsidR="00FB0799">
            <w:t>De Afdeling waardeert dat</w:t>
          </w:r>
          <w:r w:rsidR="00363E04">
            <w:t xml:space="preserve"> </w:t>
          </w:r>
          <w:r w:rsidR="00FB0799">
            <w:t>bij de</w:t>
          </w:r>
          <w:r w:rsidR="00951032">
            <w:t xml:space="preserve"> totstandkoming van de tweede vaststellingswet </w:t>
          </w:r>
          <w:r w:rsidR="004D6C77">
            <w:t>uitvoerig contact is gewees</w:t>
          </w:r>
          <w:r w:rsidR="00951032">
            <w:t xml:space="preserve">t met de </w:t>
          </w:r>
          <w:r w:rsidR="00EB211C">
            <w:t>ketenpartners.</w:t>
          </w:r>
          <w:r w:rsidR="00AB2C5B">
            <w:t xml:space="preserve"> Hieruit is gebleken dat bestaande regelingen </w:t>
          </w:r>
          <w:r w:rsidR="00552C22">
            <w:t xml:space="preserve">op sommige punten </w:t>
          </w:r>
          <w:r w:rsidR="00E738BD">
            <w:t>verduidelijking</w:t>
          </w:r>
          <w:r w:rsidR="00552C22">
            <w:t xml:space="preserve"> of aanpassing behoeven. Het is begrijpelijk dat de</w:t>
          </w:r>
          <w:r w:rsidR="008923EF">
            <w:t xml:space="preserve">rgelijke wijzigingen in dit wetstraject worden meegenomen. </w:t>
          </w:r>
        </w:p>
        <w:p w:rsidR="00A35983" w:rsidP="008923EF" w:rsidRDefault="00A35983" w14:paraId="5D2AB8BF" w14:textId="77777777"/>
        <w:p w:rsidR="0017758E" w:rsidP="008923EF" w:rsidRDefault="00267C43" w14:paraId="4A5DA45A" w14:textId="12C56698">
          <w:r>
            <w:t xml:space="preserve">Het ontbreekt in het Algemeen deel </w:t>
          </w:r>
          <w:r w:rsidR="00644265">
            <w:t xml:space="preserve">van de toelichting </w:t>
          </w:r>
          <w:r w:rsidR="00DA14A8">
            <w:t xml:space="preserve">echter </w:t>
          </w:r>
          <w:r>
            <w:t>aan een opsomming van de belangrijkste inhoudelijke wijzigingen</w:t>
          </w:r>
          <w:r w:rsidR="00A35983">
            <w:t>.</w:t>
          </w:r>
          <w:r w:rsidR="0017758E">
            <w:t xml:space="preserve"> </w:t>
          </w:r>
          <w:r w:rsidR="00A35983">
            <w:t>D</w:t>
          </w:r>
          <w:r w:rsidR="0017758E">
            <w:t xml:space="preserve">aardoor </w:t>
          </w:r>
          <w:r w:rsidR="003D200F">
            <w:t xml:space="preserve">is </w:t>
          </w:r>
          <w:r w:rsidR="0017758E">
            <w:t>de lezer aangewezen op de artikelsgewijze toelichting. Omwille van</w:t>
          </w:r>
          <w:r w:rsidR="0026570C">
            <w:t xml:space="preserve"> de kwaliteit</w:t>
          </w:r>
          <w:r w:rsidR="0017758E">
            <w:t xml:space="preserve"> van </w:t>
          </w:r>
          <w:r w:rsidR="00564A8C">
            <w:t>het wetgevingsproces</w:t>
          </w:r>
          <w:r w:rsidR="0017758E">
            <w:t xml:space="preserve"> is het wenselijk dat het Algemeen deel van de toelichting </w:t>
          </w:r>
          <w:r w:rsidR="0026570C">
            <w:t>een overzicht</w:t>
          </w:r>
          <w:r w:rsidR="00897716">
            <w:t xml:space="preserve"> </w:t>
          </w:r>
          <w:r w:rsidR="005723C1">
            <w:t>bevat van de</w:t>
          </w:r>
          <w:r w:rsidR="00E5150B">
            <w:t xml:space="preserve"> </w:t>
          </w:r>
          <w:r w:rsidR="004C17E1">
            <w:t>inhoudelijke</w:t>
          </w:r>
          <w:r w:rsidR="004D6C77">
            <w:t xml:space="preserve"> wijzigingen</w:t>
          </w:r>
          <w:r w:rsidR="00A41BCC">
            <w:t xml:space="preserve">. </w:t>
          </w:r>
        </w:p>
        <w:p w:rsidR="00A61D4E" w:rsidP="008923EF" w:rsidRDefault="00A61D4E" w14:paraId="14A2D541" w14:textId="7037FFEB">
          <w:r>
            <w:br/>
            <w:t xml:space="preserve">De Afdeling adviseert in het Algemeen deel van de toelichting </w:t>
          </w:r>
          <w:r w:rsidR="001835F0">
            <w:t xml:space="preserve">een overzicht te geven van de belangrijkste inhoudelijke wijzigingen. </w:t>
          </w:r>
        </w:p>
        <w:p w:rsidR="0017758E" w:rsidP="008923EF" w:rsidRDefault="0017758E" w14:paraId="52E0E6C7" w14:textId="77777777"/>
        <w:p w:rsidR="0017758E" w:rsidP="002B31EE" w:rsidRDefault="00503551" w14:paraId="39B104CB" w14:textId="6F14B856">
          <w:pPr>
            <w:rPr>
              <w:u w:val="single"/>
            </w:rPr>
          </w:pPr>
          <w:r>
            <w:t xml:space="preserve">3. </w:t>
          </w:r>
          <w:r>
            <w:tab/>
          </w:r>
          <w:r w:rsidRPr="00136AAB" w:rsidR="00514FFE">
            <w:rPr>
              <w:u w:val="single"/>
            </w:rPr>
            <w:t>Hoorplicht</w:t>
          </w:r>
          <w:r w:rsidRPr="00136AAB" w:rsidR="00874EA9">
            <w:rPr>
              <w:u w:val="single"/>
            </w:rPr>
            <w:t xml:space="preserve"> bij verlenging tbs en </w:t>
          </w:r>
          <w:r w:rsidRPr="00136AAB" w:rsidR="00A91C22">
            <w:rPr>
              <w:u w:val="single"/>
            </w:rPr>
            <w:t>PIJ</w:t>
          </w:r>
        </w:p>
        <w:p w:rsidRPr="00136AAB" w:rsidR="004776E9" w:rsidP="002B31EE" w:rsidRDefault="004776E9" w14:paraId="346AFEBB" w14:textId="77777777">
          <w:pPr>
            <w:rPr>
              <w:u w:val="single"/>
            </w:rPr>
          </w:pPr>
        </w:p>
        <w:p w:rsidR="00454E22" w:rsidP="002B31EE" w:rsidRDefault="00A91C22" w14:paraId="322BC050" w14:textId="4F57F08A">
          <w:r>
            <w:t xml:space="preserve">Het wetsvoorstel </w:t>
          </w:r>
          <w:r w:rsidR="000466F1">
            <w:t xml:space="preserve">leidt ertoe </w:t>
          </w:r>
          <w:r w:rsidR="00041478">
            <w:t xml:space="preserve">dat </w:t>
          </w:r>
          <w:r w:rsidR="00D50809">
            <w:t xml:space="preserve">de verplichting wordt geschrapt om de terbeschikkinggestelde te horen over </w:t>
          </w:r>
          <w:r w:rsidR="0043099E">
            <w:t xml:space="preserve">de </w:t>
          </w:r>
          <w:r w:rsidR="009877AB">
            <w:t xml:space="preserve">vordering tot </w:t>
          </w:r>
          <w:r w:rsidR="0043099E">
            <w:t xml:space="preserve">verlenging </w:t>
          </w:r>
          <w:r w:rsidR="00686A6B">
            <w:t xml:space="preserve">van de </w:t>
          </w:r>
          <w:r w:rsidR="000C1719">
            <w:t>terbeschikkingstelling</w:t>
          </w:r>
          <w:r w:rsidR="00D50809">
            <w:t>.</w:t>
          </w:r>
          <w:r w:rsidR="00D50809">
            <w:rPr>
              <w:rStyle w:val="Voetnootmarkering"/>
            </w:rPr>
            <w:footnoteReference w:id="9"/>
          </w:r>
          <w:r w:rsidR="00555B05">
            <w:t xml:space="preserve"> </w:t>
          </w:r>
          <w:r w:rsidR="007567F9">
            <w:t>De wet bepaalt nu dat de t</w:t>
          </w:r>
          <w:r w:rsidR="002644EC">
            <w:t>erbeschikking</w:t>
          </w:r>
          <w:r w:rsidR="007567F9">
            <w:t xml:space="preserve">gestelde </w:t>
          </w:r>
          <w:r w:rsidR="009877AB">
            <w:t xml:space="preserve">moet </w:t>
          </w:r>
          <w:r w:rsidR="007567F9">
            <w:t xml:space="preserve">worden gehoord door de rechter. Als hij niet in staat is om bij de rechtbank of het Hof te verschijnen, </w:t>
          </w:r>
          <w:r w:rsidR="00A4144B">
            <w:t xml:space="preserve">hoort de rechter hem </w:t>
          </w:r>
          <w:r w:rsidR="00BD32F1">
            <w:t>op zijn verblijfplaats.</w:t>
          </w:r>
          <w:r w:rsidR="004E30A7">
            <w:rPr>
              <w:rStyle w:val="Voetnootmarkering"/>
            </w:rPr>
            <w:footnoteReference w:id="10"/>
          </w:r>
          <w:r w:rsidR="00BD32F1">
            <w:t xml:space="preserve"> </w:t>
          </w:r>
          <w:r w:rsidR="002546AD">
            <w:t xml:space="preserve">Deze voorziening </w:t>
          </w:r>
          <w:r w:rsidR="004E30A7">
            <w:t xml:space="preserve">is getroffen voor </w:t>
          </w:r>
          <w:r w:rsidR="00966C14">
            <w:t>terbeschikking</w:t>
          </w:r>
          <w:r w:rsidR="005666D1">
            <w:t>gestelde</w:t>
          </w:r>
          <w:r w:rsidR="009877AB">
            <w:t>n die</w:t>
          </w:r>
          <w:r w:rsidR="005666D1">
            <w:t xml:space="preserve"> wegens </w:t>
          </w:r>
          <w:r w:rsidR="00041478">
            <w:t xml:space="preserve">(psychische) </w:t>
          </w:r>
          <w:r w:rsidR="005666D1">
            <w:t xml:space="preserve">ziekte </w:t>
          </w:r>
          <w:r w:rsidR="002C69EC">
            <w:t>of</w:t>
          </w:r>
          <w:r w:rsidR="00725F7D">
            <w:t xml:space="preserve"> </w:t>
          </w:r>
          <w:r w:rsidR="002C69EC">
            <w:t xml:space="preserve">aandoening niet </w:t>
          </w:r>
          <w:r w:rsidR="00B61073">
            <w:t xml:space="preserve">naar de rechtbank </w:t>
          </w:r>
          <w:r w:rsidR="006F2F8B">
            <w:t>k</w:t>
          </w:r>
          <w:r w:rsidR="00B05A6D">
            <w:t>unnen</w:t>
          </w:r>
          <w:r w:rsidR="006F2F8B">
            <w:t xml:space="preserve"> reizen.</w:t>
          </w:r>
        </w:p>
        <w:p w:rsidR="00454E22" w:rsidP="002B31EE" w:rsidRDefault="00454E22" w14:paraId="1BCCC6CB" w14:textId="77777777"/>
        <w:p w:rsidR="00E26B57" w:rsidP="002B31EE" w:rsidRDefault="002C69EC" w14:paraId="13478A26" w14:textId="75E5E481">
          <w:r>
            <w:t>De R</w:t>
          </w:r>
          <w:r w:rsidR="00CE4060">
            <w:t>aad voor de r</w:t>
          </w:r>
          <w:r>
            <w:t xml:space="preserve">echtspraak heeft </w:t>
          </w:r>
          <w:r w:rsidR="00A92D96">
            <w:t xml:space="preserve">in haar consultatiereactie opgemerkt dat </w:t>
          </w:r>
          <w:r w:rsidR="006B1FD1">
            <w:t>de</w:t>
          </w:r>
          <w:r w:rsidR="00E91172">
            <w:t xml:space="preserve"> procedures inzake de</w:t>
          </w:r>
          <w:r w:rsidR="006B1FD1">
            <w:t xml:space="preserve"> </w:t>
          </w:r>
          <w:r w:rsidR="00404EA8">
            <w:t>maatregel tot plaatsing in een inrichting voor jeugdigen</w:t>
          </w:r>
          <w:r w:rsidR="00846FD3">
            <w:t xml:space="preserve"> (PIJ-maatregel)</w:t>
          </w:r>
          <w:r w:rsidR="006B1FD1">
            <w:t xml:space="preserve"> een dergelijke voorziening niet </w:t>
          </w:r>
          <w:r w:rsidR="00E91172">
            <w:t>kennen</w:t>
          </w:r>
          <w:r w:rsidR="006B1FD1">
            <w:t>.</w:t>
          </w:r>
          <w:r w:rsidR="009D7590">
            <w:rPr>
              <w:rStyle w:val="Voetnootmarkering"/>
            </w:rPr>
            <w:footnoteReference w:id="11"/>
          </w:r>
          <w:r w:rsidR="006B1FD1">
            <w:t xml:space="preserve"> Zij adviseert deze keuze toe te lichten of de regeling voor de PIJ en terbeschikkingstelling</w:t>
          </w:r>
          <w:r w:rsidR="00DB7447">
            <w:t xml:space="preserve"> op dit punt </w:t>
          </w:r>
          <w:r w:rsidR="006B1FD1">
            <w:t xml:space="preserve">gelijk te trekken. </w:t>
          </w:r>
          <w:r w:rsidR="006F2F8B">
            <w:t>Over</w:t>
          </w:r>
          <w:r w:rsidR="006B1FD1">
            <w:t xml:space="preserve"> de formulering van de </w:t>
          </w:r>
          <w:r w:rsidR="00936474">
            <w:t xml:space="preserve">bepaling over de </w:t>
          </w:r>
          <w:r w:rsidR="006B1FD1">
            <w:t>hoorplicht heeft de R</w:t>
          </w:r>
          <w:r w:rsidR="00CE4060">
            <w:t>aad voor de r</w:t>
          </w:r>
          <w:r w:rsidR="006B1FD1">
            <w:t xml:space="preserve">echtspraak </w:t>
          </w:r>
          <w:r w:rsidR="00582571">
            <w:t xml:space="preserve">opgemerkt dat deze </w:t>
          </w:r>
          <w:r w:rsidR="002D5735">
            <w:t xml:space="preserve">‘te stellig’ is. Er zijn situaties waarin de </w:t>
          </w:r>
          <w:r w:rsidR="000C1719">
            <w:t>terbeschikkinggestelde wel</w:t>
          </w:r>
          <w:r w:rsidR="002D5735">
            <w:t xml:space="preserve"> gehoord kan worden, maar dit weigert</w:t>
          </w:r>
          <w:r w:rsidR="002644EC">
            <w:t xml:space="preserve">. Ook komt het voor dat de geestelijke gesteldheid van de terbeschikkinggestelde </w:t>
          </w:r>
          <w:r w:rsidR="00454E22">
            <w:t>het niet toelaat om te worden gehoord. De R</w:t>
          </w:r>
          <w:r w:rsidR="00CE4060">
            <w:t>aad voor de r</w:t>
          </w:r>
          <w:r w:rsidR="00454E22">
            <w:t xml:space="preserve">echtspraak heeft daarom in </w:t>
          </w:r>
          <w:r w:rsidR="00BA0D70">
            <w:t xml:space="preserve">overweging gegeven bij de formulering van </w:t>
          </w:r>
          <w:r w:rsidR="00936474">
            <w:t>de bepaling rekening te houden met deze situaties.</w:t>
          </w:r>
        </w:p>
        <w:p w:rsidR="00E26B57" w:rsidP="002B31EE" w:rsidRDefault="00E26B57" w14:paraId="11171B32" w14:textId="77777777"/>
        <w:p w:rsidR="009903E1" w:rsidP="00832E9E" w:rsidRDefault="00E26B57" w14:paraId="02D1F5E3" w14:textId="0C2FC5CC">
          <w:r>
            <w:t xml:space="preserve">Naar aanleiding van deze consultatiereactie </w:t>
          </w:r>
          <w:r w:rsidR="008F6BB7">
            <w:t xml:space="preserve">is de hoorplicht </w:t>
          </w:r>
          <w:r w:rsidR="005D23C1">
            <w:t xml:space="preserve">in zijn geheel </w:t>
          </w:r>
          <w:r w:rsidR="008F6BB7">
            <w:t>geschrapt.</w:t>
          </w:r>
          <w:r w:rsidR="00A11086">
            <w:rPr>
              <w:rStyle w:val="Voetnootmarkering"/>
            </w:rPr>
            <w:footnoteReference w:id="12"/>
          </w:r>
          <w:r w:rsidR="008F6BB7">
            <w:t xml:space="preserve"> </w:t>
          </w:r>
          <w:r w:rsidR="0041005C">
            <w:t>De hoofdregel</w:t>
          </w:r>
          <w:r w:rsidR="00622DC4">
            <w:t xml:space="preserve"> voor aanwezigheid van procespartijen bij raadkamerzaken </w:t>
          </w:r>
          <w:r w:rsidR="001E5281">
            <w:t xml:space="preserve">wordt daarmee van toepassing op </w:t>
          </w:r>
          <w:r w:rsidR="008F36CF">
            <w:t>verlenging van de terbeschikkingstelling</w:t>
          </w:r>
          <w:r w:rsidR="000C1719">
            <w:t xml:space="preserve">. </w:t>
          </w:r>
          <w:r w:rsidR="001E5281">
            <w:t>Die hoofdregel houdt in dat de b</w:t>
          </w:r>
          <w:r w:rsidR="001F1093">
            <w:t>etrokken procespartij, in dit geval de terbeschikkinggestelde, wordt gehoord</w:t>
          </w:r>
          <w:r w:rsidR="00B14F3C">
            <w:t xml:space="preserve">, althans hiertoe wordt </w:t>
          </w:r>
          <w:r w:rsidR="001F1093">
            <w:t>opgeroepen</w:t>
          </w:r>
          <w:r w:rsidR="00B14F3C">
            <w:t>.</w:t>
          </w:r>
          <w:r w:rsidR="0012560D">
            <w:rPr>
              <w:rStyle w:val="Voetnootmarkering"/>
            </w:rPr>
            <w:footnoteReference w:id="13"/>
          </w:r>
          <w:r w:rsidR="00B14F3C">
            <w:t xml:space="preserve"> </w:t>
          </w:r>
          <w:r w:rsidR="009903E1">
            <w:t xml:space="preserve">Met het schrappen van de hoorplicht </w:t>
          </w:r>
          <w:r w:rsidR="0017065C">
            <w:t xml:space="preserve">zijn de procedures voor de terbeschikkingstelling en </w:t>
          </w:r>
          <w:r w:rsidR="00404EA8">
            <w:t xml:space="preserve">de </w:t>
          </w:r>
          <w:r w:rsidR="00243E25">
            <w:t>PIJ-maatregel</w:t>
          </w:r>
          <w:r w:rsidR="00846FD3">
            <w:t xml:space="preserve"> </w:t>
          </w:r>
          <w:r w:rsidR="00514FFE">
            <w:t xml:space="preserve">op </w:t>
          </w:r>
          <w:r w:rsidR="00846FD3">
            <w:t>dit punt hetzelfde</w:t>
          </w:r>
          <w:r w:rsidR="005D23C1">
            <w:t xml:space="preserve">. </w:t>
          </w:r>
        </w:p>
        <w:p w:rsidR="009903E1" w:rsidP="00832E9E" w:rsidRDefault="009903E1" w14:paraId="77409382" w14:textId="77777777"/>
        <w:p w:rsidR="00832E9E" w:rsidP="00832E9E" w:rsidRDefault="00DD6EB7" w14:paraId="2EE1C18C" w14:textId="50067A6A">
          <w:r>
            <w:t>De hoofdregel biedt geen voorziening voor terbeschikkinggestelde</w:t>
          </w:r>
          <w:r w:rsidR="00520744">
            <w:t>n</w:t>
          </w:r>
          <w:r>
            <w:t xml:space="preserve"> die wél gehoord wi</w:t>
          </w:r>
          <w:r w:rsidR="00613ABD">
            <w:t>l</w:t>
          </w:r>
          <w:r w:rsidR="00520744">
            <w:t>len</w:t>
          </w:r>
          <w:r>
            <w:t xml:space="preserve"> worden, maar niet k</w:t>
          </w:r>
          <w:r w:rsidR="00520744">
            <w:t>unnen</w:t>
          </w:r>
          <w:r>
            <w:t xml:space="preserve"> </w:t>
          </w:r>
          <w:r w:rsidR="005B10C4">
            <w:t>reizen</w:t>
          </w:r>
          <w:r w:rsidR="00C86CF2">
            <w:t>.</w:t>
          </w:r>
          <w:r w:rsidR="008E2467">
            <w:t xml:space="preserve"> </w:t>
          </w:r>
          <w:r w:rsidR="00732437">
            <w:t xml:space="preserve">Daarmee </w:t>
          </w:r>
          <w:r w:rsidR="00BE43EC">
            <w:t xml:space="preserve">wordt het voor hen </w:t>
          </w:r>
          <w:r w:rsidR="00815C44">
            <w:t xml:space="preserve">moeilijker om </w:t>
          </w:r>
          <w:r w:rsidR="00681752">
            <w:t xml:space="preserve">hun eigen visie op de verlenging van de terbeschikkingstelling te geven. </w:t>
          </w:r>
          <w:r w:rsidR="002D46AA">
            <w:t xml:space="preserve">Het schrappen van de hoorplicht is ook een afwijking van de </w:t>
          </w:r>
          <w:r w:rsidR="00372E75">
            <w:t>procedures over</w:t>
          </w:r>
          <w:r w:rsidR="00DB086B">
            <w:t xml:space="preserve"> </w:t>
          </w:r>
          <w:r w:rsidR="000418AE">
            <w:t>niet-strafrechtelijke vormen van zorg onder dwang</w:t>
          </w:r>
          <w:r w:rsidR="002D46AA">
            <w:t>. Daarvoor</w:t>
          </w:r>
          <w:r w:rsidR="000418AE">
            <w:t xml:space="preserve"> </w:t>
          </w:r>
          <w:r w:rsidR="00C86CF2">
            <w:t xml:space="preserve">geldt </w:t>
          </w:r>
          <w:r w:rsidR="002D46AA">
            <w:t xml:space="preserve">namelijk wel een </w:t>
          </w:r>
          <w:r w:rsidR="000418AE">
            <w:t>hoorplicht</w:t>
          </w:r>
          <w:r w:rsidR="002D46AA">
            <w:t>, waar</w:t>
          </w:r>
          <w:r w:rsidR="00F51A25">
            <w:t xml:space="preserve">op </w:t>
          </w:r>
          <w:r w:rsidR="00C86CF2">
            <w:t>e</w:t>
          </w:r>
          <w:r w:rsidR="00BE7C35">
            <w:t>en uitzondering</w:t>
          </w:r>
          <w:r w:rsidR="00C86CF2">
            <w:t xml:space="preserve"> </w:t>
          </w:r>
          <w:r w:rsidR="002D46AA">
            <w:t xml:space="preserve">kan </w:t>
          </w:r>
          <w:r w:rsidR="00E4520C">
            <w:t>worden gemaakt</w:t>
          </w:r>
          <w:r w:rsidR="00BE7C35">
            <w:t xml:space="preserve"> </w:t>
          </w:r>
          <w:r w:rsidR="00F51A25">
            <w:t>wanneer</w:t>
          </w:r>
          <w:r w:rsidR="00BE7C35">
            <w:t xml:space="preserve"> de betrokkene niet kan of wil </w:t>
          </w:r>
          <w:r w:rsidR="00F51A25">
            <w:t xml:space="preserve">gehoord </w:t>
          </w:r>
          <w:r w:rsidR="00BE7C35">
            <w:t>worden</w:t>
          </w:r>
          <w:r w:rsidR="000418AE">
            <w:t>.</w:t>
          </w:r>
          <w:r w:rsidR="000418AE">
            <w:rPr>
              <w:rStyle w:val="Voetnootmarkering"/>
            </w:rPr>
            <w:footnoteReference w:id="14"/>
          </w:r>
          <w:r w:rsidR="003E7343">
            <w:t xml:space="preserve"> </w:t>
          </w:r>
          <w:r w:rsidR="004C3A4B">
            <w:t xml:space="preserve">Uit de toelichting blijkt niet waarom het schrappen van de hoorplicht de voorkeur verdient </w:t>
          </w:r>
          <w:r w:rsidR="004A35B8">
            <w:t>boven het nuanceren van de hoorplicht met het oog op d</w:t>
          </w:r>
          <w:r w:rsidR="00C86CF2">
            <w:t>ie</w:t>
          </w:r>
          <w:r w:rsidR="004A35B8">
            <w:t xml:space="preserve"> situaties.</w:t>
          </w:r>
        </w:p>
        <w:p w:rsidR="003E7343" w:rsidP="00832E9E" w:rsidRDefault="003E7343" w14:paraId="4D0539C9" w14:textId="77777777"/>
        <w:p w:rsidR="003E7343" w:rsidP="00832E9E" w:rsidRDefault="003E7343" w14:paraId="0D972BB1" w14:textId="7BB3CF1F">
          <w:r>
            <w:t xml:space="preserve">De Afdeling adviseert het schrappen van de hoorplicht </w:t>
          </w:r>
          <w:r w:rsidR="003C5197">
            <w:t xml:space="preserve">bij beslissingen inzake de tenuitvoerlegging </w:t>
          </w:r>
          <w:r>
            <w:t>dragend</w:t>
          </w:r>
          <w:r w:rsidR="003C5197">
            <w:t xml:space="preserve"> te motiveren</w:t>
          </w:r>
          <w:r w:rsidR="00C6273B">
            <w:t xml:space="preserve"> of </w:t>
          </w:r>
          <w:r w:rsidR="00BD55F0">
            <w:t>de</w:t>
          </w:r>
          <w:r w:rsidR="00DC3B91">
            <w:t xml:space="preserve"> hoorplicht</w:t>
          </w:r>
          <w:r w:rsidR="00BD55F0">
            <w:t xml:space="preserve"> in aangepaste vorm alsnog te handhaven. </w:t>
          </w:r>
          <w:r w:rsidR="003C5197">
            <w:t>In het laatste geval geeft zij in overweging de hoorplicht ook toe te passen bij beslissingen over de tenuitvoerlegging van de PIJ-maatregel.</w:t>
          </w:r>
        </w:p>
        <w:p w:rsidR="008C5664" w:rsidP="00832E9E" w:rsidRDefault="008C5664" w14:paraId="60B0BCBB" w14:textId="77777777"/>
        <w:p w:rsidR="006F18EC" w:rsidP="00832E9E" w:rsidRDefault="004776E9" w14:paraId="3FC15557" w14:textId="08F0B8AD">
          <w:pPr>
            <w:rPr>
              <w:u w:val="single"/>
            </w:rPr>
          </w:pPr>
          <w:r w:rsidRPr="00136AAB">
            <w:t>4</w:t>
          </w:r>
          <w:r w:rsidRPr="00136AAB" w:rsidR="008C5664">
            <w:t>.</w:t>
          </w:r>
          <w:r w:rsidRPr="00136AAB" w:rsidR="00084DDA">
            <w:tab/>
          </w:r>
          <w:r w:rsidRPr="00136AAB" w:rsidR="00084DDA">
            <w:rPr>
              <w:u w:val="single"/>
            </w:rPr>
            <w:t>Strafonderbreking</w:t>
          </w:r>
        </w:p>
        <w:p w:rsidRPr="00136AAB" w:rsidR="004776E9" w:rsidP="00832E9E" w:rsidRDefault="004776E9" w14:paraId="757C3C93" w14:textId="77777777"/>
        <w:p w:rsidR="00D00257" w:rsidP="00832E9E" w:rsidRDefault="00DF68A0" w14:paraId="01BEECF4" w14:textId="51F40899">
          <w:r>
            <w:t xml:space="preserve">Evenals in het huidige Wetboek van </w:t>
          </w:r>
          <w:r w:rsidR="00311EC9">
            <w:t>S</w:t>
          </w:r>
          <w:r>
            <w:t xml:space="preserve">trafvordering regelt het </w:t>
          </w:r>
          <w:r w:rsidR="00364B15">
            <w:t>wetsvoorstel</w:t>
          </w:r>
          <w:r>
            <w:t xml:space="preserve"> </w:t>
          </w:r>
          <w:r w:rsidR="00364B15">
            <w:t xml:space="preserve">dat de </w:t>
          </w:r>
          <w:r w:rsidR="002C158E">
            <w:t>m</w:t>
          </w:r>
          <w:r w:rsidR="00364B15">
            <w:t xml:space="preserve">inister </w:t>
          </w:r>
          <w:r w:rsidR="00EB74FB">
            <w:t>strafonderbreking kan verlenen.</w:t>
          </w:r>
          <w:r>
            <w:rPr>
              <w:rStyle w:val="Voetnootmarkering"/>
            </w:rPr>
            <w:footnoteReference w:id="15"/>
          </w:r>
          <w:r w:rsidR="00EB74FB">
            <w:t xml:space="preserve"> In een a</w:t>
          </w:r>
          <w:r w:rsidR="00F95098">
            <w:t xml:space="preserve">lgemene maatregel van </w:t>
          </w:r>
          <w:r w:rsidR="00EB74FB">
            <w:t>b</w:t>
          </w:r>
          <w:r w:rsidR="00F95098">
            <w:t>estuur</w:t>
          </w:r>
          <w:r w:rsidR="00EB74FB">
            <w:t xml:space="preserve"> kunnen </w:t>
          </w:r>
          <w:r w:rsidR="003E2613">
            <w:t xml:space="preserve">nadere regels worden vastgelegd </w:t>
          </w:r>
          <w:r w:rsidR="009C2EDE">
            <w:t>over de voorwaarden voor strafonderbreking, de bevoegdheid tot en de wijze van verlening van strafonderbreking en de voorwaarden die kunnen worden verbonden aan de strafonderbreking.</w:t>
          </w:r>
          <w:r w:rsidR="00813964">
            <w:rPr>
              <w:rStyle w:val="Voetnootmarkering"/>
            </w:rPr>
            <w:footnoteReference w:id="16"/>
          </w:r>
          <w:r w:rsidR="009C2EDE">
            <w:t xml:space="preserve"> </w:t>
          </w:r>
          <w:r w:rsidR="00AA62F9">
            <w:t xml:space="preserve">Uit deze bepaling kan worden afgeleid dat de </w:t>
          </w:r>
          <w:r w:rsidR="009A307D">
            <w:t>m</w:t>
          </w:r>
          <w:r w:rsidR="00AA62F9">
            <w:t>inister de bevoegdheid heeft om voorwaarden te stellen</w:t>
          </w:r>
          <w:r w:rsidR="00E32A30">
            <w:t xml:space="preserve"> aan de strafonderbreking</w:t>
          </w:r>
          <w:r w:rsidR="003C7514">
            <w:t>.</w:t>
          </w:r>
        </w:p>
        <w:p w:rsidR="00AA62F9" w:rsidP="00832E9E" w:rsidRDefault="00AA62F9" w14:paraId="5F356144" w14:textId="77777777"/>
        <w:p w:rsidR="00500BAF" w:rsidP="00B8538D" w:rsidRDefault="009C2EDE" w14:paraId="5144634B" w14:textId="2F1D0EE5">
          <w:r>
            <w:t xml:space="preserve">In </w:t>
          </w:r>
          <w:r w:rsidR="004C17E1">
            <w:t>het recente</w:t>
          </w:r>
          <w:r>
            <w:t xml:space="preserve"> advies over het </w:t>
          </w:r>
          <w:r w:rsidRPr="002B001B" w:rsidR="002B001B">
            <w:t>Besluit tenuitvoerlegging strafrechtelijke beslissingen in verband met het daarin onderbrengen van regels over strafonderbreking</w:t>
          </w:r>
          <w:r w:rsidR="002B001B">
            <w:t xml:space="preserve"> heeft de Afdeling </w:t>
          </w:r>
          <w:r w:rsidR="00727217">
            <w:t xml:space="preserve">vragen gesteld over </w:t>
          </w:r>
          <w:r w:rsidR="004A6B92">
            <w:t xml:space="preserve">het </w:t>
          </w:r>
          <w:r w:rsidR="002C158E">
            <w:t>verbinden</w:t>
          </w:r>
          <w:r w:rsidR="004A6B92">
            <w:t xml:space="preserve"> van voorwaarden aan de strafonderbreking.</w:t>
          </w:r>
          <w:r w:rsidR="00292806">
            <w:rPr>
              <w:rStyle w:val="Voetnootmarkering"/>
            </w:rPr>
            <w:footnoteReference w:id="17"/>
          </w:r>
          <w:r w:rsidR="004A6B92">
            <w:t xml:space="preserve"> </w:t>
          </w:r>
          <w:r w:rsidRPr="00867A56" w:rsidR="00867A56">
            <w:t>Doordat de tenuitvoerlegging van de vrijheidsstraf tijdens de strafonderbreking wordt opgeschort en de veroordeelde zich op dat moment voor een korte periode in vrijheid bevindt, is het de vraag hoe het stellen van voorwaarden aan de strafonderbreking zich daartoe verhoudt. De veroordeelde wordt tijdens de onderbreking immers niet onderworpen aan de aan hem opgelegde straf, maar de voorwaarden kunnen wel ingrijpen op diens grondrechten en vrijheden.</w:t>
          </w:r>
        </w:p>
        <w:p w:rsidR="00500BAF" w:rsidP="00B8538D" w:rsidRDefault="00500BAF" w14:paraId="1660EE3B" w14:textId="77777777"/>
        <w:p w:rsidR="00B46089" w:rsidP="00832E9E" w:rsidRDefault="00500BAF" w14:paraId="6D7D1D64" w14:textId="19FAA742">
          <w:r>
            <w:t>D</w:t>
          </w:r>
          <w:r w:rsidR="00571411">
            <w:t>e Afdeling me</w:t>
          </w:r>
          <w:r w:rsidR="00DE5066">
            <w:t>rk</w:t>
          </w:r>
          <w:r w:rsidR="00571411">
            <w:t xml:space="preserve">t </w:t>
          </w:r>
          <w:r w:rsidR="00DE5066">
            <w:t xml:space="preserve">op </w:t>
          </w:r>
          <w:r w:rsidR="00571411">
            <w:t>dat</w:t>
          </w:r>
          <w:r w:rsidR="0081143E">
            <w:t xml:space="preserve"> deze vragen eveneens </w:t>
          </w:r>
          <w:r w:rsidR="00292806">
            <w:t>relevant</w:t>
          </w:r>
          <w:r w:rsidR="0081143E">
            <w:t xml:space="preserve"> zijn </w:t>
          </w:r>
          <w:r w:rsidR="00292806">
            <w:t>voor</w:t>
          </w:r>
          <w:r w:rsidR="0081143E">
            <w:t xml:space="preserve"> dit wetsvoorstel. </w:t>
          </w:r>
          <w:r>
            <w:t>D</w:t>
          </w:r>
          <w:r w:rsidR="00867A56">
            <w:t>at de stra</w:t>
          </w:r>
          <w:r w:rsidR="00E93371">
            <w:t xml:space="preserve">fonderbreking een bijzondere figuur is, blijkt onder andere uit het feit dat het geen modaliteit is waarop het toezicht in de </w:t>
          </w:r>
          <w:r w:rsidR="00711B56">
            <w:t xml:space="preserve">zin van de tweede vaststellingswet </w:t>
          </w:r>
          <w:r w:rsidR="000753BC">
            <w:t>van toepassing is</w:t>
          </w:r>
          <w:r w:rsidR="00711B56">
            <w:t>.</w:t>
          </w:r>
          <w:r w:rsidR="006C44A0">
            <w:rPr>
              <w:rStyle w:val="Voetnootmarkering"/>
            </w:rPr>
            <w:footnoteReference w:id="18"/>
          </w:r>
          <w:r w:rsidR="006C44A0">
            <w:t xml:space="preserve"> Anderzijds</w:t>
          </w:r>
          <w:r w:rsidR="00711B56">
            <w:t xml:space="preserve"> is het ook geen vorm van verlof</w:t>
          </w:r>
          <w:r w:rsidR="00A45E83">
            <w:t>.</w:t>
          </w:r>
          <w:r w:rsidR="00A45E83">
            <w:rPr>
              <w:rStyle w:val="Voetnootmarkering"/>
            </w:rPr>
            <w:footnoteReference w:id="19"/>
          </w:r>
          <w:r w:rsidR="004928C6">
            <w:t xml:space="preserve"> </w:t>
          </w:r>
          <w:r w:rsidR="000B19E2">
            <w:t>Het is daarom wenselijk in de toelichting in te gaan op de rechtsfiguur van de strafonderbreking.</w:t>
          </w:r>
        </w:p>
        <w:p w:rsidR="00E93371" w:rsidP="00832E9E" w:rsidRDefault="00B46089" w14:paraId="1A60FD87" w14:textId="18BCC618">
          <w:r>
            <w:br/>
            <w:t xml:space="preserve">De Afdeling adviseert in de toelichting </w:t>
          </w:r>
          <w:r w:rsidR="000E1C30">
            <w:t xml:space="preserve">de hiervoor </w:t>
          </w:r>
          <w:r>
            <w:t>genoemde vragen</w:t>
          </w:r>
          <w:r w:rsidR="000B19E2">
            <w:t xml:space="preserve"> te adresseren</w:t>
          </w:r>
          <w:r>
            <w:t>.</w:t>
          </w:r>
        </w:p>
        <w:p w:rsidR="004B7ADC" w:rsidP="00832E9E" w:rsidRDefault="004B7ADC" w14:paraId="5EDE7CA5" w14:textId="77777777"/>
        <w:p w:rsidR="00781AAD" w:rsidRDefault="004776E9" w14:paraId="7734AB24" w14:textId="1083AD22">
          <w:pPr>
            <w:rPr>
              <w:u w:val="single"/>
            </w:rPr>
          </w:pPr>
          <w:r>
            <w:t>5</w:t>
          </w:r>
          <w:r w:rsidR="004B7ADC">
            <w:t>.</w:t>
          </w:r>
          <w:r w:rsidR="004B7ADC">
            <w:tab/>
          </w:r>
          <w:r w:rsidRPr="00136AAB" w:rsidR="00622AAD">
            <w:rPr>
              <w:u w:val="single"/>
            </w:rPr>
            <w:t>Werkdagen</w:t>
          </w:r>
        </w:p>
        <w:p w:rsidRPr="00136AAB" w:rsidR="004776E9" w:rsidP="004776E9" w:rsidRDefault="004776E9" w14:paraId="680B6AE6" w14:textId="77777777">
          <w:pPr>
            <w:rPr>
              <w:u w:val="single"/>
            </w:rPr>
          </w:pPr>
        </w:p>
        <w:p w:rsidR="007D309C" w:rsidRDefault="00570901" w14:paraId="2014D4B1" w14:textId="3FEF4201">
          <w:r>
            <w:rPr>
              <w:rStyle w:val="ui-provider"/>
            </w:rPr>
            <w:t>In het gemoderniseerde Wetboek van Strafvordering worden termijnen uitgedrukt in dagen, weken, maanden of jaren.</w:t>
          </w:r>
          <w:r w:rsidR="00FD15B5">
            <w:rPr>
              <w:rStyle w:val="Voetnootmarkering"/>
            </w:rPr>
            <w:footnoteReference w:id="20"/>
          </w:r>
          <w:r w:rsidR="0074330F">
            <w:rPr>
              <w:rStyle w:val="ui-provider"/>
            </w:rPr>
            <w:t xml:space="preserve"> </w:t>
          </w:r>
          <w:r>
            <w:t xml:space="preserve">In de voorgestelde artikelen 8.8.12 en 8.9.14 wordt hiervan afgeweken, omdat de termijn hierin wordt aangeduid in </w:t>
          </w:r>
          <w:r>
            <w:rPr>
              <w:i/>
              <w:iCs/>
            </w:rPr>
            <w:t>werk</w:t>
          </w:r>
          <w:r>
            <w:rPr>
              <w:iCs/>
            </w:rPr>
            <w:t>dagen. Uit de toelichting blijkt dat dit verband houdt met de implementatie van Europese regelgeving.</w:t>
          </w:r>
          <w:r w:rsidR="007900B3">
            <w:rPr>
              <w:rStyle w:val="Voetnootmarkering"/>
            </w:rPr>
            <w:footnoteReference w:id="21"/>
          </w:r>
          <w:r>
            <w:rPr>
              <w:iCs/>
            </w:rPr>
            <w:t xml:space="preserve"> In </w:t>
          </w:r>
          <w:r w:rsidR="004D3717">
            <w:rPr>
              <w:iCs/>
            </w:rPr>
            <w:t>het Kaderbesluit</w:t>
          </w:r>
          <w:r w:rsidR="00022806">
            <w:t xml:space="preserve"> </w:t>
          </w:r>
          <w:r w:rsidR="007900B3">
            <w:rPr>
              <w:iCs/>
            </w:rPr>
            <w:t>wordt</w:t>
          </w:r>
          <w:r w:rsidR="00022806">
            <w:t xml:space="preserve"> gesproken over </w:t>
          </w:r>
          <w:r w:rsidR="00824750">
            <w:t xml:space="preserve">een termijn van twintig </w:t>
          </w:r>
          <w:r w:rsidR="00022806">
            <w:t xml:space="preserve">werkdagen. </w:t>
          </w:r>
          <w:r w:rsidR="00FC41B9">
            <w:t xml:space="preserve">In het huidige wetboek </w:t>
          </w:r>
          <w:r w:rsidR="00022806">
            <w:t xml:space="preserve">is </w:t>
          </w:r>
          <w:r w:rsidR="00824750">
            <w:t xml:space="preserve">die termijn omgezet in </w:t>
          </w:r>
          <w:r w:rsidR="0085697C">
            <w:t>achtentwintig dagen</w:t>
          </w:r>
          <w:r w:rsidR="00824750">
            <w:t>, dat daarmee in tijd overeenkomt.</w:t>
          </w:r>
          <w:r w:rsidR="007B0CAE">
            <w:rPr>
              <w:rStyle w:val="Voetnootmarkering"/>
            </w:rPr>
            <w:footnoteReference w:id="22"/>
          </w:r>
          <w:r w:rsidR="00824750">
            <w:t xml:space="preserve"> In </w:t>
          </w:r>
          <w:r w:rsidR="00E93116">
            <w:t xml:space="preserve">dit wetsvoorstel </w:t>
          </w:r>
          <w:r w:rsidR="00171E9B">
            <w:t>is gekozen</w:t>
          </w:r>
          <w:r w:rsidR="00E93116">
            <w:t xml:space="preserve"> voor </w:t>
          </w:r>
          <w:r w:rsidR="00CB5D88">
            <w:t xml:space="preserve">een termijn </w:t>
          </w:r>
          <w:r w:rsidR="004C5F21">
            <w:t>van</w:t>
          </w:r>
          <w:r w:rsidR="00CB5D88">
            <w:t xml:space="preserve"> </w:t>
          </w:r>
          <w:r w:rsidR="001C2B88">
            <w:t>twintig werkdagen</w:t>
          </w:r>
          <w:r w:rsidR="00761FF2">
            <w:t xml:space="preserve"> om aan te sluiten </w:t>
          </w:r>
          <w:r w:rsidR="00171E9B">
            <w:t xml:space="preserve">bij de in de Europese regelgeving gehanteerde </w:t>
          </w:r>
          <w:r w:rsidR="00CB5D88">
            <w:t>formulering.</w:t>
          </w:r>
          <w:r w:rsidR="00132269">
            <w:rPr>
              <w:rStyle w:val="Voetnootmarkering"/>
            </w:rPr>
            <w:footnoteReference w:id="23"/>
          </w:r>
        </w:p>
        <w:p w:rsidR="007D309C" w:rsidRDefault="007D309C" w14:paraId="225AB631" w14:textId="77777777"/>
        <w:p w:rsidR="00EE3DA5" w:rsidRDefault="00EE3DA5" w14:paraId="2B92EF7B" w14:textId="57F9F886">
          <w:r>
            <w:t xml:space="preserve">De Afdeling advisering </w:t>
          </w:r>
          <w:r w:rsidR="007D309C">
            <w:t xml:space="preserve">wijst erop dat </w:t>
          </w:r>
          <w:r w:rsidR="00416226">
            <w:t>hierdoor onduidelijkheid kan ontstaan over de toepassing van deze termijnen. D</w:t>
          </w:r>
          <w:r w:rsidR="007D309C">
            <w:t>e term ‘werkdagen’</w:t>
          </w:r>
          <w:r w:rsidR="00416226">
            <w:t xml:space="preserve"> komt immers</w:t>
          </w:r>
          <w:r w:rsidR="00590FC2">
            <w:t xml:space="preserve"> verder </w:t>
          </w:r>
          <w:r w:rsidR="00416226">
            <w:t>niet voor</w:t>
          </w:r>
          <w:r w:rsidR="00590FC2">
            <w:t xml:space="preserve"> in de eerste of tweede vaststellingswet en</w:t>
          </w:r>
          <w:r w:rsidR="00416226">
            <w:t xml:space="preserve"> wordt</w:t>
          </w:r>
          <w:r w:rsidR="00590FC2">
            <w:t xml:space="preserve"> ook niet gedefinieerd. </w:t>
          </w:r>
          <w:r w:rsidR="001E6343">
            <w:t xml:space="preserve">Noch uit het Wetboek van Strafvordering, noch uit de Algemene termijnenwet kan </w:t>
          </w:r>
          <w:r w:rsidR="00B04F83">
            <w:t>dus</w:t>
          </w:r>
          <w:r w:rsidR="001E6343">
            <w:t xml:space="preserve"> worden afgeleid wat als werkdag wordt aangemerkt. </w:t>
          </w:r>
          <w:r w:rsidR="000071B2">
            <w:t>Gelet op de rechtszekerheid is d</w:t>
          </w:r>
          <w:r w:rsidR="00416226">
            <w:t>eze onduidelijkheid</w:t>
          </w:r>
          <w:r w:rsidR="000071B2">
            <w:t xml:space="preserve"> onwenselijk. </w:t>
          </w:r>
        </w:p>
        <w:p w:rsidR="000071B2" w:rsidRDefault="000071B2" w14:paraId="0EA6FD71" w14:textId="77777777"/>
        <w:p w:rsidRPr="00B7139D" w:rsidR="00762385" w:rsidP="00CE4060" w:rsidRDefault="000071B2" w14:paraId="2A36AE29" w14:textId="728AF372">
          <w:r>
            <w:t xml:space="preserve">De Afdeling adviseert </w:t>
          </w:r>
          <w:r w:rsidR="00FD15B5">
            <w:t>d</w:t>
          </w:r>
          <w:r w:rsidR="003F4F76">
            <w:t>aarom</w:t>
          </w:r>
          <w:r w:rsidR="00F501F1">
            <w:t xml:space="preserve"> de</w:t>
          </w:r>
          <w:r w:rsidR="005552AA">
            <w:t xml:space="preserve"> </w:t>
          </w:r>
          <w:r w:rsidR="00E9537C">
            <w:t xml:space="preserve">termijn </w:t>
          </w:r>
          <w:r w:rsidR="00882570">
            <w:t>in</w:t>
          </w:r>
          <w:r w:rsidR="00E9537C">
            <w:t xml:space="preserve"> de </w:t>
          </w:r>
          <w:r w:rsidR="005552AA">
            <w:t xml:space="preserve">artikelen 8.8.12 en 8.9.14 </w:t>
          </w:r>
          <w:r w:rsidR="0015676A">
            <w:t xml:space="preserve">aan te </w:t>
          </w:r>
          <w:r w:rsidR="00882570">
            <w:t>duiden in dagen of weken</w:t>
          </w:r>
          <w:r w:rsidR="00F501F1">
            <w:t>.</w:t>
          </w:r>
        </w:p>
      </w:sdtContent>
    </w:sdt>
    <w:p w:rsidR="00903CB7" w:rsidP="007E1675" w:rsidRDefault="00903CB7" w14:paraId="5E889333" w14:textId="77777777">
      <w:pPr>
        <w:rPr>
          <w:u w:val="single"/>
        </w:rPr>
      </w:pPr>
    </w:p>
    <w:sdt>
      <w:sdtPr>
        <w:rPr>
          <w:u w:val="single"/>
        </w:rPr>
        <w:tag w:val="bmDictum"/>
        <w:id w:val="-1104648997"/>
        <w:lock w:val="sdtLocked"/>
        <w:placeholder>
          <w:docPart w:val="DefaultPlaceholder_-1854013440"/>
        </w:placeholder>
      </w:sdtPr>
      <w:sdtEndPr/>
      <w:sdtContent>
        <w:p w:rsidRPr="007E1A77" w:rsidR="008D54B3" w:rsidP="007E1675" w:rsidRDefault="009600B8" w14:paraId="2873CB50" w14:textId="35B792D4">
          <w:pPr>
            <w:rPr>
              <w:u w:val="single"/>
            </w:rPr>
          </w:pPr>
          <w:r w:rsidRPr="00F52BCF">
            <w:t xml:space="preserve">De Afdeling advisering van de Raad van State heeft een aantal opmerkingen bij het voorstel en adviseert daarmee rekening te houden voordat het voorstel bij de Tweede Kamer der Staten-Generaal wordt ingediend. </w:t>
          </w:r>
          <w:r w:rsidRPr="00F52BCF">
            <w:br/>
          </w:r>
          <w:r>
            <w:rPr>
              <w:u w:val="single"/>
            </w:rPr>
            <w:br/>
          </w:r>
          <w:r>
            <w:rPr>
              <w:u w:val="single"/>
            </w:rPr>
            <w:br/>
          </w:r>
          <w:r w:rsidRPr="007E1675">
            <w:t>De vice-president van de Raad van State,</w:t>
          </w:r>
        </w:p>
      </w:sdtContent>
    </w:sdt>
    <w:p w:rsidR="00FB4A75" w:rsidP="00FB4A75" w:rsidRDefault="00FB4A75" w14:paraId="746D517D" w14:textId="77777777"/>
    <w:p w:rsidR="00F253BC" w:rsidP="00A160D2" w:rsidRDefault="00F253BC" w14:paraId="77516EB0" w14:textId="12C44C71"/>
    <w:sectPr w:rsidR="00F253BC" w:rsidSect="0056599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93B1" w14:textId="77777777" w:rsidR="00C83254" w:rsidRDefault="00C83254">
      <w:r>
        <w:separator/>
      </w:r>
    </w:p>
  </w:endnote>
  <w:endnote w:type="continuationSeparator" w:id="0">
    <w:p w14:paraId="03B22038" w14:textId="77777777" w:rsidR="00C83254" w:rsidRDefault="00C83254">
      <w:r>
        <w:continuationSeparator/>
      </w:r>
    </w:p>
  </w:endnote>
  <w:endnote w:type="continuationNotice" w:id="1">
    <w:p w14:paraId="5AFFED5E" w14:textId="77777777" w:rsidR="00C83254" w:rsidRDefault="00C8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3EB7" w14:textId="77777777" w:rsidR="009600B8" w:rsidRDefault="009600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8064C" w14:paraId="54E544C7" w14:textId="77777777" w:rsidTr="00D90098">
      <w:tc>
        <w:tcPr>
          <w:tcW w:w="4815" w:type="dxa"/>
        </w:tcPr>
        <w:p w14:paraId="54E544C5" w14:textId="77777777" w:rsidR="00D90098" w:rsidRDefault="00D90098" w:rsidP="00D90098">
          <w:pPr>
            <w:pStyle w:val="Voettekst"/>
          </w:pPr>
        </w:p>
      </w:tc>
      <w:tc>
        <w:tcPr>
          <w:tcW w:w="4247" w:type="dxa"/>
        </w:tcPr>
        <w:p w14:paraId="54E544C6" w14:textId="77777777" w:rsidR="00D90098" w:rsidRDefault="00D90098" w:rsidP="00D90098">
          <w:pPr>
            <w:pStyle w:val="Voettekst"/>
            <w:jc w:val="right"/>
          </w:pPr>
        </w:p>
      </w:tc>
    </w:tr>
  </w:tbl>
  <w:p w14:paraId="54E544C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DDA4" w14:textId="6323F11B" w:rsidR="0056599E" w:rsidRPr="0056599E" w:rsidRDefault="0056599E">
    <w:pPr>
      <w:pStyle w:val="Voettekst"/>
      <w:rPr>
        <w:rFonts w:ascii="Bembo" w:hAnsi="Bembo"/>
        <w:sz w:val="32"/>
      </w:rPr>
    </w:pPr>
    <w:r w:rsidRPr="0056599E">
      <w:rPr>
        <w:rFonts w:ascii="Bembo" w:hAnsi="Bembo"/>
        <w:sz w:val="32"/>
      </w:rPr>
      <w:t>AAN DE KONING</w:t>
    </w:r>
  </w:p>
  <w:p w14:paraId="721EC1A6" w14:textId="77777777" w:rsidR="0056599E" w:rsidRDefault="00565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6C47A" w14:textId="77777777" w:rsidR="00C83254" w:rsidRDefault="00C83254">
      <w:r>
        <w:separator/>
      </w:r>
    </w:p>
  </w:footnote>
  <w:footnote w:type="continuationSeparator" w:id="0">
    <w:p w14:paraId="6454A45C" w14:textId="77777777" w:rsidR="00C83254" w:rsidRDefault="00C83254">
      <w:r>
        <w:continuationSeparator/>
      </w:r>
    </w:p>
  </w:footnote>
  <w:footnote w:type="continuationNotice" w:id="1">
    <w:p w14:paraId="0908A54C" w14:textId="77777777" w:rsidR="00C83254" w:rsidRDefault="00C83254"/>
  </w:footnote>
  <w:footnote w:id="2">
    <w:p w14:paraId="0CBEF938" w14:textId="64AE02F0" w:rsidR="0097324F" w:rsidRDefault="0097324F">
      <w:pPr>
        <w:pStyle w:val="Voetnoottekst"/>
      </w:pPr>
      <w:r>
        <w:rPr>
          <w:rStyle w:val="Voetnootmarkering"/>
        </w:rPr>
        <w:footnoteRef/>
      </w:r>
      <w:r>
        <w:t xml:space="preserve"> </w:t>
      </w:r>
      <w:r w:rsidR="00B54603">
        <w:t>In verband met</w:t>
      </w:r>
      <w:r>
        <w:t xml:space="preserve"> de kabinetswisseling wordt het advies verstuurd naar </w:t>
      </w:r>
      <w:r w:rsidR="009C4C31">
        <w:t>de Minister van Justitie en Veiligheid.</w:t>
      </w:r>
    </w:p>
  </w:footnote>
  <w:footnote w:id="3">
    <w:p w14:paraId="3A781750" w14:textId="77777777" w:rsidR="00B74CF6" w:rsidRDefault="00B74CF6" w:rsidP="00B74CF6">
      <w:pPr>
        <w:pStyle w:val="Voetnoottekst"/>
      </w:pPr>
      <w:r>
        <w:rPr>
          <w:rStyle w:val="Voetnootmarkering"/>
        </w:rPr>
        <w:footnoteRef/>
      </w:r>
      <w:r>
        <w:t xml:space="preserve"> Kamerstukken II 2022/23, 36327, nr. 1 en 2. </w:t>
      </w:r>
    </w:p>
  </w:footnote>
  <w:footnote w:id="4">
    <w:p w14:paraId="341BE674" w14:textId="7E73A649" w:rsidR="001A1C76" w:rsidRDefault="001A1C76">
      <w:pPr>
        <w:pStyle w:val="Voetnoottekst"/>
      </w:pPr>
      <w:r>
        <w:rPr>
          <w:rStyle w:val="Voetnootmarkering"/>
        </w:rPr>
        <w:footnoteRef/>
      </w:r>
      <w:r>
        <w:t xml:space="preserve"> </w:t>
      </w:r>
      <w:r w:rsidR="00725C02">
        <w:t xml:space="preserve">Wet herziening regeling internationale samenwerking in strafzaken, Stb. 2017, 246. </w:t>
      </w:r>
    </w:p>
  </w:footnote>
  <w:footnote w:id="5">
    <w:p w14:paraId="19FC91DD" w14:textId="3E88AA8D" w:rsidR="001A1C76" w:rsidRDefault="001A1C76">
      <w:pPr>
        <w:pStyle w:val="Voetnoottekst"/>
      </w:pPr>
      <w:r>
        <w:rPr>
          <w:rStyle w:val="Voetnootmarkering"/>
        </w:rPr>
        <w:footnoteRef/>
      </w:r>
      <w:r>
        <w:t xml:space="preserve"> </w:t>
      </w:r>
      <w:r w:rsidR="004B2C2B">
        <w:t xml:space="preserve">Wet herziening tenuitvoerlegging strafrechtelijke beslissingen, Stb. 2017, 82. </w:t>
      </w:r>
    </w:p>
  </w:footnote>
  <w:footnote w:id="6">
    <w:p w14:paraId="7094463A" w14:textId="6618AD04" w:rsidR="00C252D9" w:rsidRDefault="00C252D9">
      <w:pPr>
        <w:pStyle w:val="Voetnoottekst"/>
      </w:pPr>
      <w:r>
        <w:rPr>
          <w:rStyle w:val="Voetnootmarkering"/>
        </w:rPr>
        <w:footnoteRef/>
      </w:r>
      <w:r>
        <w:t xml:space="preserve"> Memorie van toelichting, Algemeen deel, paragraaf 3. Plaats in het nieuwe wetboek en aard van de omzetting. </w:t>
      </w:r>
    </w:p>
  </w:footnote>
  <w:footnote w:id="7">
    <w:p w14:paraId="047797A9" w14:textId="3165B644" w:rsidR="00374A64" w:rsidRDefault="00374A64">
      <w:pPr>
        <w:pStyle w:val="Voetnoottekst"/>
      </w:pPr>
      <w:r>
        <w:rPr>
          <w:rStyle w:val="Voetnootmarkering"/>
        </w:rPr>
        <w:footnoteRef/>
      </w:r>
      <w:r>
        <w:t xml:space="preserve"> Memorie van toelichting, Algemeen deel, paragraaf 4. Doelstellingen. </w:t>
      </w:r>
    </w:p>
  </w:footnote>
  <w:footnote w:id="8">
    <w:p w14:paraId="07D20362" w14:textId="168826AD" w:rsidR="004870BE" w:rsidRDefault="004870BE">
      <w:pPr>
        <w:pStyle w:val="Voetnoottekst"/>
      </w:pPr>
      <w:r>
        <w:rPr>
          <w:rStyle w:val="Voetnootmarkering"/>
        </w:rPr>
        <w:footnoteRef/>
      </w:r>
      <w:r>
        <w:t xml:space="preserve"> </w:t>
      </w:r>
      <w:r w:rsidR="00384270">
        <w:t xml:space="preserve">Memorie van toelichting, Algemeen deel, paragraaf 4. Doelstellingen. </w:t>
      </w:r>
    </w:p>
  </w:footnote>
  <w:footnote w:id="9">
    <w:p w14:paraId="67F77569" w14:textId="06688AB3" w:rsidR="00D50809" w:rsidRDefault="00D50809">
      <w:pPr>
        <w:pStyle w:val="Voetnoottekst"/>
      </w:pPr>
      <w:r>
        <w:rPr>
          <w:rStyle w:val="Voetnootmarkering"/>
        </w:rPr>
        <w:footnoteRef/>
      </w:r>
      <w:r>
        <w:t xml:space="preserve"> </w:t>
      </w:r>
      <w:r w:rsidR="005367BF">
        <w:t xml:space="preserve">Memorie van toelichting, </w:t>
      </w:r>
      <w:r w:rsidR="0062307B">
        <w:t xml:space="preserve">Artikelsgewijze </w:t>
      </w:r>
      <w:r w:rsidR="00133104">
        <w:t>toelichtin</w:t>
      </w:r>
      <w:r w:rsidR="005367BF">
        <w:t xml:space="preserve">g op artikel 7.4.9, onder het kopje ‘vervallen </w:t>
      </w:r>
      <w:r w:rsidR="003F217C">
        <w:t xml:space="preserve">onderdelen 6:6:12’. </w:t>
      </w:r>
    </w:p>
  </w:footnote>
  <w:footnote w:id="10">
    <w:p w14:paraId="02783AC0" w14:textId="5E4A2819" w:rsidR="004E30A7" w:rsidRDefault="004E30A7">
      <w:pPr>
        <w:pStyle w:val="Voetnoottekst"/>
      </w:pPr>
      <w:r>
        <w:rPr>
          <w:rStyle w:val="Voetnootmarkering"/>
        </w:rPr>
        <w:footnoteRef/>
      </w:r>
      <w:r>
        <w:t xml:space="preserve"> Artikel 6:6:13, derde lid, Sv. </w:t>
      </w:r>
    </w:p>
  </w:footnote>
  <w:footnote w:id="11">
    <w:p w14:paraId="54424B2E" w14:textId="0D32BB30" w:rsidR="009D7590" w:rsidRDefault="009D7590">
      <w:pPr>
        <w:pStyle w:val="Voetnoottekst"/>
      </w:pPr>
      <w:r>
        <w:rPr>
          <w:rStyle w:val="Voetnootmarkering"/>
        </w:rPr>
        <w:footnoteRef/>
      </w:r>
      <w:r>
        <w:t xml:space="preserve"> Advies van de Raad voor de rechtspraak van 26 juli 2023 over </w:t>
      </w:r>
      <w:r w:rsidR="00776CE0">
        <w:t>de tweede vaststellingswet</w:t>
      </w:r>
      <w:r w:rsidR="006F2F8B">
        <w:t xml:space="preserve">, p. 18. </w:t>
      </w:r>
    </w:p>
  </w:footnote>
  <w:footnote w:id="12">
    <w:p w14:paraId="79318457" w14:textId="353045CB" w:rsidR="00A11086" w:rsidRDefault="00A11086">
      <w:pPr>
        <w:pStyle w:val="Voetnoottekst"/>
      </w:pPr>
      <w:r>
        <w:rPr>
          <w:rStyle w:val="Voetnootmarkering"/>
        </w:rPr>
        <w:footnoteRef/>
      </w:r>
      <w:r>
        <w:t xml:space="preserve"> Memorie van toelichting, Artikelsgewijze toelichting op artikel 7.4.9, onder het kopje ‘vervallen onderdelen 6:6:12’. </w:t>
      </w:r>
    </w:p>
  </w:footnote>
  <w:footnote w:id="13">
    <w:p w14:paraId="3D665B82" w14:textId="23C43515" w:rsidR="0012560D" w:rsidRPr="007E1A77" w:rsidRDefault="0012560D">
      <w:pPr>
        <w:pStyle w:val="Voetnoottekst"/>
      </w:pPr>
      <w:r w:rsidRPr="007E1A77">
        <w:rPr>
          <w:rStyle w:val="Voetnootmarkering"/>
        </w:rPr>
        <w:footnoteRef/>
      </w:r>
      <w:r w:rsidRPr="007E1A77">
        <w:t xml:space="preserve"> </w:t>
      </w:r>
      <w:r w:rsidR="00FB48BF" w:rsidRPr="007E1A77">
        <w:t>Voorgesteld a</w:t>
      </w:r>
      <w:r w:rsidRPr="007E1A77">
        <w:t xml:space="preserve">rtikel </w:t>
      </w:r>
      <w:r w:rsidR="00247D9E" w:rsidRPr="007E1A77">
        <w:t>2.18</w:t>
      </w:r>
      <w:r w:rsidR="00FB48BF" w:rsidRPr="007E1A77">
        <w:t xml:space="preserve">, tweede lid, </w:t>
      </w:r>
      <w:r w:rsidR="005D2C95" w:rsidRPr="007E1A77">
        <w:t>in Vaststelling van het nieuwe Wetboek van Strafvordering (Wetboek van Strafvordering), Kamerstukken 2022/23, 36327, nr. 2.</w:t>
      </w:r>
    </w:p>
  </w:footnote>
  <w:footnote w:id="14">
    <w:p w14:paraId="5B411424" w14:textId="349FD730" w:rsidR="000418AE" w:rsidRDefault="000418AE">
      <w:pPr>
        <w:pStyle w:val="Voetnoottekst"/>
      </w:pPr>
      <w:r w:rsidRPr="007E1A77">
        <w:rPr>
          <w:rStyle w:val="Voetnootmarkering"/>
        </w:rPr>
        <w:footnoteRef/>
      </w:r>
      <w:r w:rsidRPr="007E1A77">
        <w:t xml:space="preserve"> Zie artikel 38 </w:t>
      </w:r>
      <w:r w:rsidR="001D02FB" w:rsidRPr="007E1A77">
        <w:t>van de Wet zorg en dwang psychogeriatrische en verstandelijk</w:t>
      </w:r>
      <w:r w:rsidR="001D02FB">
        <w:t xml:space="preserve"> gehandicapte cliënten</w:t>
      </w:r>
      <w:r w:rsidR="007301CF">
        <w:t xml:space="preserve"> </w:t>
      </w:r>
      <w:r w:rsidR="00213C92">
        <w:t xml:space="preserve">(Stb. 2018, 37) </w:t>
      </w:r>
      <w:r w:rsidR="007301CF">
        <w:t xml:space="preserve">en artikel 6:1 van de Wet verplichte geestelijke gezondheidszorg (Stb. </w:t>
      </w:r>
      <w:r w:rsidR="00213C92">
        <w:t>2018, 37).</w:t>
      </w:r>
    </w:p>
  </w:footnote>
  <w:footnote w:id="15">
    <w:p w14:paraId="26711F95" w14:textId="3F0CD1DC" w:rsidR="00DF68A0" w:rsidRDefault="00DF68A0">
      <w:pPr>
        <w:pStyle w:val="Voetnoottekst"/>
      </w:pPr>
      <w:r>
        <w:rPr>
          <w:rStyle w:val="Voetnootmarkering"/>
        </w:rPr>
        <w:footnoteRef/>
      </w:r>
      <w:r w:rsidR="00047AB7">
        <w:t xml:space="preserve"> </w:t>
      </w:r>
      <w:r w:rsidR="00F71682">
        <w:t xml:space="preserve">Artikel </w:t>
      </w:r>
      <w:r w:rsidR="00047AB7">
        <w:t>6:2:4</w:t>
      </w:r>
      <w:r w:rsidR="00E449A0">
        <w:t xml:space="preserve"> </w:t>
      </w:r>
      <w:r w:rsidR="00F71682">
        <w:t>Sv en v</w:t>
      </w:r>
      <w:r w:rsidR="00E449A0">
        <w:t>oorgesteld</w:t>
      </w:r>
      <w:r w:rsidR="00813964">
        <w:t>e artikelen</w:t>
      </w:r>
      <w:r>
        <w:t xml:space="preserve"> </w:t>
      </w:r>
      <w:r w:rsidR="0028250F">
        <w:t>7.3.4 (volwassenen) en 7.7.8 (jeugdigen).</w:t>
      </w:r>
    </w:p>
  </w:footnote>
  <w:footnote w:id="16">
    <w:p w14:paraId="25BF8166" w14:textId="17E6E80E" w:rsidR="00813964" w:rsidRDefault="00813964">
      <w:pPr>
        <w:pStyle w:val="Voetnoottekst"/>
      </w:pPr>
      <w:r>
        <w:rPr>
          <w:rStyle w:val="Voetnootmarkering"/>
        </w:rPr>
        <w:footnoteRef/>
      </w:r>
      <w:r>
        <w:t xml:space="preserve"> </w:t>
      </w:r>
      <w:r w:rsidR="00F71682">
        <w:t>Artikel 6:2:9 Sv en v</w:t>
      </w:r>
      <w:r>
        <w:t xml:space="preserve">oorgesteld artikel 7.3.6. </w:t>
      </w:r>
    </w:p>
  </w:footnote>
  <w:footnote w:id="17">
    <w:p w14:paraId="54181864" w14:textId="77777777" w:rsidR="00292806" w:rsidRDefault="00292806" w:rsidP="00292806">
      <w:pPr>
        <w:pStyle w:val="Voetnoottekst"/>
      </w:pPr>
      <w:r>
        <w:rPr>
          <w:rStyle w:val="Voetnootmarkering"/>
        </w:rPr>
        <w:footnoteRef/>
      </w:r>
      <w:r>
        <w:t xml:space="preserve"> Advies van de Afdeling advisering van 24 april 2024 over het </w:t>
      </w:r>
      <w:r w:rsidRPr="002B001B">
        <w:t>Besluit tenuitvoerlegging strafrechtelijke beslissingen</w:t>
      </w:r>
      <w:r>
        <w:t xml:space="preserve">, te vinden op de website van de Raad van State. </w:t>
      </w:r>
    </w:p>
  </w:footnote>
  <w:footnote w:id="18">
    <w:p w14:paraId="404FA40D" w14:textId="77777777" w:rsidR="006C44A0" w:rsidRDefault="006C44A0" w:rsidP="006C44A0">
      <w:pPr>
        <w:pStyle w:val="Voetnoottekst"/>
      </w:pPr>
      <w:r>
        <w:rPr>
          <w:rStyle w:val="Voetnootmarkering"/>
        </w:rPr>
        <w:footnoteRef/>
      </w:r>
      <w:r>
        <w:t xml:space="preserve"> Voorgesteld artikel 7.2.1.</w:t>
      </w:r>
    </w:p>
  </w:footnote>
  <w:footnote w:id="19">
    <w:p w14:paraId="0D1CE876" w14:textId="78E843D8" w:rsidR="00A45E83" w:rsidRDefault="00A45E83">
      <w:pPr>
        <w:pStyle w:val="Voetnoottekst"/>
      </w:pPr>
      <w:r>
        <w:rPr>
          <w:rStyle w:val="Voetnootmarkering"/>
        </w:rPr>
        <w:footnoteRef/>
      </w:r>
      <w:r>
        <w:t xml:space="preserve"> Nota van toelichting bij </w:t>
      </w:r>
      <w:r w:rsidR="005A6855">
        <w:t xml:space="preserve">de Wijziging van het Besluit tenuitvoerlegging strafrechtelijke beslissingen </w:t>
      </w:r>
      <w:r w:rsidR="005A6855" w:rsidRPr="005A6855">
        <w:t>in verband met het daarin onderbrengen van regels over strafonderbreking</w:t>
      </w:r>
      <w:r w:rsidR="009C69DE">
        <w:t>, p. 8</w:t>
      </w:r>
      <w:r w:rsidR="005A6855">
        <w:t>.</w:t>
      </w:r>
    </w:p>
  </w:footnote>
  <w:footnote w:id="20">
    <w:p w14:paraId="430182BE" w14:textId="1EE30171" w:rsidR="00FD15B5" w:rsidRDefault="00FD15B5" w:rsidP="00C7199B">
      <w:pPr>
        <w:pStyle w:val="Voetnoottekst"/>
        <w:tabs>
          <w:tab w:val="left" w:pos="740"/>
        </w:tabs>
      </w:pPr>
      <w:r>
        <w:rPr>
          <w:rStyle w:val="Voetnootmarkering"/>
        </w:rPr>
        <w:footnoteRef/>
      </w:r>
      <w:r>
        <w:t xml:space="preserve"> </w:t>
      </w:r>
      <w:r w:rsidR="00991E1A">
        <w:rPr>
          <w:rStyle w:val="ui-provider"/>
        </w:rPr>
        <w:t>Artikel 1.1.13</w:t>
      </w:r>
      <w:r w:rsidR="007523A3">
        <w:rPr>
          <w:rStyle w:val="ui-provider"/>
        </w:rPr>
        <w:t xml:space="preserve"> </w:t>
      </w:r>
      <w:r w:rsidR="007523A3" w:rsidRPr="007E1A77">
        <w:t>in Vaststelling van het nieuwe Wetboek van Strafvordering (Wetboek van Strafvordering), Kamerstukken 2022/23, 36327, nr. 2.</w:t>
      </w:r>
    </w:p>
  </w:footnote>
  <w:footnote w:id="21">
    <w:p w14:paraId="489DEA2E" w14:textId="77777777" w:rsidR="007900B3" w:rsidRDefault="007900B3" w:rsidP="007900B3">
      <w:pPr>
        <w:pStyle w:val="Voetnoottekst"/>
      </w:pPr>
      <w:r>
        <w:rPr>
          <w:rStyle w:val="Voetnootmarkering"/>
        </w:rPr>
        <w:footnoteRef/>
      </w:r>
      <w:r>
        <w:t xml:space="preserve"> Kaderbesluit </w:t>
      </w:r>
      <w:r w:rsidRPr="003204E9">
        <w:t>2009/829/JBZ inzake de toepassing, tussen de lidstaten van de Europese Unie, van het beginsel van wederzijdse erkenning op beslissingen inzake toezichtmaatregelen als alternatief voor voorlopige hechtenis</w:t>
      </w:r>
      <w:r>
        <w:t xml:space="preserve"> en </w:t>
      </w:r>
      <w:r w:rsidRPr="00F330FD">
        <w:t>Richtlijn 2011/99/EU betreffende het Europees beschermingsbevel</w:t>
      </w:r>
      <w:r>
        <w:t xml:space="preserve">. </w:t>
      </w:r>
    </w:p>
  </w:footnote>
  <w:footnote w:id="22">
    <w:p w14:paraId="514CA133" w14:textId="4ED5A897" w:rsidR="007B0CAE" w:rsidRDefault="007B0CAE">
      <w:pPr>
        <w:pStyle w:val="Voetnoottekst"/>
      </w:pPr>
      <w:r>
        <w:rPr>
          <w:rStyle w:val="Voetnootmarkering"/>
        </w:rPr>
        <w:footnoteRef/>
      </w:r>
      <w:r>
        <w:t xml:space="preserve"> Zie artikel </w:t>
      </w:r>
      <w:r w:rsidR="00382C93" w:rsidRPr="00382C93">
        <w:t>5.7.8, eerste lid</w:t>
      </w:r>
      <w:r w:rsidR="00382C93">
        <w:t xml:space="preserve">, en artikel </w:t>
      </w:r>
      <w:r w:rsidR="00710B5C" w:rsidRPr="00710B5C">
        <w:t>5.8.4, tweede en derde lid</w:t>
      </w:r>
      <w:r w:rsidR="00710B5C">
        <w:t xml:space="preserve">, Sv. </w:t>
      </w:r>
    </w:p>
  </w:footnote>
  <w:footnote w:id="23">
    <w:p w14:paraId="12C40EC6" w14:textId="79FCB31F" w:rsidR="00132269" w:rsidRDefault="00132269">
      <w:pPr>
        <w:pStyle w:val="Voetnoottekst"/>
      </w:pPr>
      <w:r>
        <w:rPr>
          <w:rStyle w:val="Voetnootmarkering"/>
        </w:rPr>
        <w:footnoteRef/>
      </w:r>
      <w:r>
        <w:t xml:space="preserve"> Memorie van toelichting, artikelsgewijze toelichting op artikel 8.8.12, derde lid.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651D" w14:textId="77777777" w:rsidR="009600B8" w:rsidRDefault="009600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44C3" w14:textId="77777777" w:rsidR="00FA7BCD" w:rsidRDefault="00036BD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44C9" w14:textId="77777777" w:rsidR="00DA0CDA" w:rsidRDefault="00036BD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4E544CA" w14:textId="77777777" w:rsidR="00993C75" w:rsidRDefault="00036BDB">
    <w:pPr>
      <w:pStyle w:val="Koptekst"/>
    </w:pPr>
    <w:r>
      <w:rPr>
        <w:noProof/>
      </w:rPr>
      <w:drawing>
        <wp:anchor distT="0" distB="0" distL="114300" distR="114300" simplePos="0" relativeHeight="251658240" behindDoc="1" locked="0" layoutInCell="1" allowOverlap="1" wp14:anchorId="54E544D5" wp14:editId="54E544D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A40CB"/>
    <w:multiLevelType w:val="hybridMultilevel"/>
    <w:tmpl w:val="03924D6A"/>
    <w:lvl w:ilvl="0" w:tplc="8CECB06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E117C9"/>
    <w:multiLevelType w:val="hybridMultilevel"/>
    <w:tmpl w:val="39525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4C"/>
    <w:rsid w:val="000046C4"/>
    <w:rsid w:val="000071B2"/>
    <w:rsid w:val="000078B0"/>
    <w:rsid w:val="0001546A"/>
    <w:rsid w:val="00015B00"/>
    <w:rsid w:val="00017C54"/>
    <w:rsid w:val="00020255"/>
    <w:rsid w:val="00020F6B"/>
    <w:rsid w:val="00022806"/>
    <w:rsid w:val="00022C6C"/>
    <w:rsid w:val="00027693"/>
    <w:rsid w:val="00032BA8"/>
    <w:rsid w:val="00032E01"/>
    <w:rsid w:val="00035174"/>
    <w:rsid w:val="00036BDB"/>
    <w:rsid w:val="00041478"/>
    <w:rsid w:val="000418AE"/>
    <w:rsid w:val="0004257B"/>
    <w:rsid w:val="0004261C"/>
    <w:rsid w:val="00046098"/>
    <w:rsid w:val="000466F1"/>
    <w:rsid w:val="00047AB7"/>
    <w:rsid w:val="00050AFF"/>
    <w:rsid w:val="000535D0"/>
    <w:rsid w:val="000557A1"/>
    <w:rsid w:val="00056E18"/>
    <w:rsid w:val="000624DF"/>
    <w:rsid w:val="0006427A"/>
    <w:rsid w:val="00073618"/>
    <w:rsid w:val="00073D11"/>
    <w:rsid w:val="000753BC"/>
    <w:rsid w:val="000766A9"/>
    <w:rsid w:val="00083818"/>
    <w:rsid w:val="00084DDA"/>
    <w:rsid w:val="00086F7C"/>
    <w:rsid w:val="000963A1"/>
    <w:rsid w:val="000A6514"/>
    <w:rsid w:val="000A6F7E"/>
    <w:rsid w:val="000B111E"/>
    <w:rsid w:val="000B19E2"/>
    <w:rsid w:val="000B306B"/>
    <w:rsid w:val="000B4B10"/>
    <w:rsid w:val="000B53B4"/>
    <w:rsid w:val="000C1719"/>
    <w:rsid w:val="000C2341"/>
    <w:rsid w:val="000C2736"/>
    <w:rsid w:val="000C42C8"/>
    <w:rsid w:val="000C54EC"/>
    <w:rsid w:val="000C6088"/>
    <w:rsid w:val="000D496C"/>
    <w:rsid w:val="000D553A"/>
    <w:rsid w:val="000D7D65"/>
    <w:rsid w:val="000E0B26"/>
    <w:rsid w:val="000E1C30"/>
    <w:rsid w:val="000E2E0E"/>
    <w:rsid w:val="000F1B3C"/>
    <w:rsid w:val="000F4F42"/>
    <w:rsid w:val="000F560A"/>
    <w:rsid w:val="00105B4C"/>
    <w:rsid w:val="00105FB9"/>
    <w:rsid w:val="00106DD8"/>
    <w:rsid w:val="00107215"/>
    <w:rsid w:val="00107297"/>
    <w:rsid w:val="00107506"/>
    <w:rsid w:val="001078FF"/>
    <w:rsid w:val="0011203E"/>
    <w:rsid w:val="001254B4"/>
    <w:rsid w:val="0012560D"/>
    <w:rsid w:val="00130DD0"/>
    <w:rsid w:val="00131313"/>
    <w:rsid w:val="00132269"/>
    <w:rsid w:val="00133104"/>
    <w:rsid w:val="00136AAB"/>
    <w:rsid w:val="001372BD"/>
    <w:rsid w:val="00137BBD"/>
    <w:rsid w:val="001407C4"/>
    <w:rsid w:val="00141AC7"/>
    <w:rsid w:val="00141D4B"/>
    <w:rsid w:val="0014263C"/>
    <w:rsid w:val="001434C0"/>
    <w:rsid w:val="00144013"/>
    <w:rsid w:val="001443A0"/>
    <w:rsid w:val="00147BF9"/>
    <w:rsid w:val="001512B2"/>
    <w:rsid w:val="001548FB"/>
    <w:rsid w:val="0015676A"/>
    <w:rsid w:val="001579C8"/>
    <w:rsid w:val="0016015A"/>
    <w:rsid w:val="0017065C"/>
    <w:rsid w:val="00171E9B"/>
    <w:rsid w:val="001744CD"/>
    <w:rsid w:val="001759A1"/>
    <w:rsid w:val="001764DD"/>
    <w:rsid w:val="001770B6"/>
    <w:rsid w:val="0017758E"/>
    <w:rsid w:val="00177C5B"/>
    <w:rsid w:val="00180547"/>
    <w:rsid w:val="00181365"/>
    <w:rsid w:val="00182A2C"/>
    <w:rsid w:val="00182AA1"/>
    <w:rsid w:val="00182DF6"/>
    <w:rsid w:val="001835F0"/>
    <w:rsid w:val="001846C9"/>
    <w:rsid w:val="00186243"/>
    <w:rsid w:val="001865DD"/>
    <w:rsid w:val="00187508"/>
    <w:rsid w:val="00187D74"/>
    <w:rsid w:val="00191FB0"/>
    <w:rsid w:val="0019353B"/>
    <w:rsid w:val="0019392D"/>
    <w:rsid w:val="00196A7F"/>
    <w:rsid w:val="001978DD"/>
    <w:rsid w:val="001A1C76"/>
    <w:rsid w:val="001A6BB5"/>
    <w:rsid w:val="001A7108"/>
    <w:rsid w:val="001B178C"/>
    <w:rsid w:val="001B3474"/>
    <w:rsid w:val="001B4B57"/>
    <w:rsid w:val="001B7724"/>
    <w:rsid w:val="001C0B55"/>
    <w:rsid w:val="001C0F50"/>
    <w:rsid w:val="001C0FEA"/>
    <w:rsid w:val="001C2B88"/>
    <w:rsid w:val="001D02FB"/>
    <w:rsid w:val="001D3B3B"/>
    <w:rsid w:val="001D745A"/>
    <w:rsid w:val="001E00D2"/>
    <w:rsid w:val="001E294E"/>
    <w:rsid w:val="001E5281"/>
    <w:rsid w:val="001E6343"/>
    <w:rsid w:val="001F1093"/>
    <w:rsid w:val="001F532F"/>
    <w:rsid w:val="001F59AC"/>
    <w:rsid w:val="001F5DD8"/>
    <w:rsid w:val="0020061A"/>
    <w:rsid w:val="002047C2"/>
    <w:rsid w:val="00205EF9"/>
    <w:rsid w:val="002062B7"/>
    <w:rsid w:val="00213C92"/>
    <w:rsid w:val="002155D6"/>
    <w:rsid w:val="00215FCC"/>
    <w:rsid w:val="00216D89"/>
    <w:rsid w:val="0023014F"/>
    <w:rsid w:val="002314DC"/>
    <w:rsid w:val="00240C5A"/>
    <w:rsid w:val="00241064"/>
    <w:rsid w:val="00242BF4"/>
    <w:rsid w:val="00243E25"/>
    <w:rsid w:val="00244B31"/>
    <w:rsid w:val="00247D9E"/>
    <w:rsid w:val="002512A7"/>
    <w:rsid w:val="00252FE5"/>
    <w:rsid w:val="002546AD"/>
    <w:rsid w:val="00262592"/>
    <w:rsid w:val="002644EC"/>
    <w:rsid w:val="0026468C"/>
    <w:rsid w:val="0026570C"/>
    <w:rsid w:val="002674EE"/>
    <w:rsid w:val="00267778"/>
    <w:rsid w:val="00267C43"/>
    <w:rsid w:val="00271BB6"/>
    <w:rsid w:val="00273F4D"/>
    <w:rsid w:val="0027749A"/>
    <w:rsid w:val="002779F5"/>
    <w:rsid w:val="00280192"/>
    <w:rsid w:val="00280955"/>
    <w:rsid w:val="0028250F"/>
    <w:rsid w:val="002826F8"/>
    <w:rsid w:val="002843E2"/>
    <w:rsid w:val="002911A3"/>
    <w:rsid w:val="00292806"/>
    <w:rsid w:val="002A2A09"/>
    <w:rsid w:val="002A5166"/>
    <w:rsid w:val="002A5FFA"/>
    <w:rsid w:val="002A6C9D"/>
    <w:rsid w:val="002B001B"/>
    <w:rsid w:val="002B1B05"/>
    <w:rsid w:val="002B31EE"/>
    <w:rsid w:val="002C0240"/>
    <w:rsid w:val="002C158E"/>
    <w:rsid w:val="002C69EC"/>
    <w:rsid w:val="002C6C6C"/>
    <w:rsid w:val="002C6D50"/>
    <w:rsid w:val="002D46AA"/>
    <w:rsid w:val="002D5735"/>
    <w:rsid w:val="002E085D"/>
    <w:rsid w:val="002E2775"/>
    <w:rsid w:val="002E34F5"/>
    <w:rsid w:val="002E6098"/>
    <w:rsid w:val="002F0E75"/>
    <w:rsid w:val="002F1A5B"/>
    <w:rsid w:val="002F3A3E"/>
    <w:rsid w:val="002F3DBF"/>
    <w:rsid w:val="002F5792"/>
    <w:rsid w:val="00303C0F"/>
    <w:rsid w:val="003071E7"/>
    <w:rsid w:val="00310A1A"/>
    <w:rsid w:val="00311EC9"/>
    <w:rsid w:val="00313377"/>
    <w:rsid w:val="00313B87"/>
    <w:rsid w:val="0031461F"/>
    <w:rsid w:val="00314672"/>
    <w:rsid w:val="003204E9"/>
    <w:rsid w:val="00327573"/>
    <w:rsid w:val="003420D4"/>
    <w:rsid w:val="00343C9B"/>
    <w:rsid w:val="00347CBA"/>
    <w:rsid w:val="00350145"/>
    <w:rsid w:val="00352B94"/>
    <w:rsid w:val="0035406D"/>
    <w:rsid w:val="00356800"/>
    <w:rsid w:val="003572BE"/>
    <w:rsid w:val="0036063E"/>
    <w:rsid w:val="0036258F"/>
    <w:rsid w:val="00363B6D"/>
    <w:rsid w:val="00363E04"/>
    <w:rsid w:val="00364B15"/>
    <w:rsid w:val="00365EDA"/>
    <w:rsid w:val="00367320"/>
    <w:rsid w:val="00367DCA"/>
    <w:rsid w:val="00370E5A"/>
    <w:rsid w:val="00372E75"/>
    <w:rsid w:val="00373C30"/>
    <w:rsid w:val="00373D72"/>
    <w:rsid w:val="00374A64"/>
    <w:rsid w:val="00382C93"/>
    <w:rsid w:val="003832E3"/>
    <w:rsid w:val="00383A74"/>
    <w:rsid w:val="00384270"/>
    <w:rsid w:val="00384F91"/>
    <w:rsid w:val="0038684C"/>
    <w:rsid w:val="00390F1A"/>
    <w:rsid w:val="0039167E"/>
    <w:rsid w:val="00397FD5"/>
    <w:rsid w:val="003A10BC"/>
    <w:rsid w:val="003A5D3D"/>
    <w:rsid w:val="003B0E6F"/>
    <w:rsid w:val="003B2681"/>
    <w:rsid w:val="003C3D45"/>
    <w:rsid w:val="003C5197"/>
    <w:rsid w:val="003C6BA6"/>
    <w:rsid w:val="003C6EB2"/>
    <w:rsid w:val="003C7514"/>
    <w:rsid w:val="003D1002"/>
    <w:rsid w:val="003D200F"/>
    <w:rsid w:val="003D6991"/>
    <w:rsid w:val="003E2613"/>
    <w:rsid w:val="003E268C"/>
    <w:rsid w:val="003E2E07"/>
    <w:rsid w:val="003E2E7C"/>
    <w:rsid w:val="003E7343"/>
    <w:rsid w:val="003E7D8C"/>
    <w:rsid w:val="003F02B6"/>
    <w:rsid w:val="003F217C"/>
    <w:rsid w:val="003F2D00"/>
    <w:rsid w:val="003F2FE0"/>
    <w:rsid w:val="003F45FF"/>
    <w:rsid w:val="003F48BE"/>
    <w:rsid w:val="003F4F76"/>
    <w:rsid w:val="003F57B3"/>
    <w:rsid w:val="003F680C"/>
    <w:rsid w:val="003F75EE"/>
    <w:rsid w:val="00400A74"/>
    <w:rsid w:val="00400D57"/>
    <w:rsid w:val="00404EA8"/>
    <w:rsid w:val="0040611D"/>
    <w:rsid w:val="00407F39"/>
    <w:rsid w:val="0041005C"/>
    <w:rsid w:val="004120EB"/>
    <w:rsid w:val="004159C6"/>
    <w:rsid w:val="00416226"/>
    <w:rsid w:val="00416DAF"/>
    <w:rsid w:val="004218F2"/>
    <w:rsid w:val="0042216D"/>
    <w:rsid w:val="004232B5"/>
    <w:rsid w:val="004246F4"/>
    <w:rsid w:val="0043099E"/>
    <w:rsid w:val="00430DBA"/>
    <w:rsid w:val="00431658"/>
    <w:rsid w:val="00434691"/>
    <w:rsid w:val="0044009B"/>
    <w:rsid w:val="00441865"/>
    <w:rsid w:val="00442603"/>
    <w:rsid w:val="00447172"/>
    <w:rsid w:val="0045061B"/>
    <w:rsid w:val="00450EB7"/>
    <w:rsid w:val="00454B2F"/>
    <w:rsid w:val="00454E22"/>
    <w:rsid w:val="00455658"/>
    <w:rsid w:val="0045571A"/>
    <w:rsid w:val="00461371"/>
    <w:rsid w:val="00465A7B"/>
    <w:rsid w:val="00475CAB"/>
    <w:rsid w:val="004776E9"/>
    <w:rsid w:val="00483E25"/>
    <w:rsid w:val="00486545"/>
    <w:rsid w:val="004870BE"/>
    <w:rsid w:val="004928C6"/>
    <w:rsid w:val="004932B1"/>
    <w:rsid w:val="00494C20"/>
    <w:rsid w:val="00494C28"/>
    <w:rsid w:val="0049663E"/>
    <w:rsid w:val="004A0024"/>
    <w:rsid w:val="004A0765"/>
    <w:rsid w:val="004A14AB"/>
    <w:rsid w:val="004A25B2"/>
    <w:rsid w:val="004A2FC6"/>
    <w:rsid w:val="004A35B8"/>
    <w:rsid w:val="004A3B6F"/>
    <w:rsid w:val="004A4A47"/>
    <w:rsid w:val="004A6B92"/>
    <w:rsid w:val="004B0359"/>
    <w:rsid w:val="004B0585"/>
    <w:rsid w:val="004B126D"/>
    <w:rsid w:val="004B2C2B"/>
    <w:rsid w:val="004B4A13"/>
    <w:rsid w:val="004B7ADC"/>
    <w:rsid w:val="004C17E1"/>
    <w:rsid w:val="004C27D5"/>
    <w:rsid w:val="004C305D"/>
    <w:rsid w:val="004C3A4B"/>
    <w:rsid w:val="004C3ADC"/>
    <w:rsid w:val="004C5F21"/>
    <w:rsid w:val="004C5FCD"/>
    <w:rsid w:val="004C7499"/>
    <w:rsid w:val="004C7928"/>
    <w:rsid w:val="004C7E32"/>
    <w:rsid w:val="004D188F"/>
    <w:rsid w:val="004D3717"/>
    <w:rsid w:val="004D4266"/>
    <w:rsid w:val="004D46FE"/>
    <w:rsid w:val="004D5030"/>
    <w:rsid w:val="004D6C77"/>
    <w:rsid w:val="004E00FB"/>
    <w:rsid w:val="004E20C5"/>
    <w:rsid w:val="004E2EEF"/>
    <w:rsid w:val="004E30A7"/>
    <w:rsid w:val="004E43C0"/>
    <w:rsid w:val="004E5995"/>
    <w:rsid w:val="004E5B3F"/>
    <w:rsid w:val="004E62EC"/>
    <w:rsid w:val="004F1590"/>
    <w:rsid w:val="004F1B8D"/>
    <w:rsid w:val="004F299C"/>
    <w:rsid w:val="004F5C7B"/>
    <w:rsid w:val="004F5FC8"/>
    <w:rsid w:val="004F6C61"/>
    <w:rsid w:val="00500BAF"/>
    <w:rsid w:val="00501845"/>
    <w:rsid w:val="0050209B"/>
    <w:rsid w:val="00502AB8"/>
    <w:rsid w:val="00503551"/>
    <w:rsid w:val="005059AC"/>
    <w:rsid w:val="00506BED"/>
    <w:rsid w:val="0050739A"/>
    <w:rsid w:val="00507437"/>
    <w:rsid w:val="0050746C"/>
    <w:rsid w:val="00507E80"/>
    <w:rsid w:val="00510CBD"/>
    <w:rsid w:val="005134F5"/>
    <w:rsid w:val="00514DE0"/>
    <w:rsid w:val="00514FFE"/>
    <w:rsid w:val="00515CA0"/>
    <w:rsid w:val="00520744"/>
    <w:rsid w:val="00521F31"/>
    <w:rsid w:val="005260B6"/>
    <w:rsid w:val="005267F0"/>
    <w:rsid w:val="00532127"/>
    <w:rsid w:val="0053421C"/>
    <w:rsid w:val="00535668"/>
    <w:rsid w:val="005367BF"/>
    <w:rsid w:val="005412BF"/>
    <w:rsid w:val="005440E3"/>
    <w:rsid w:val="005441CD"/>
    <w:rsid w:val="005457D3"/>
    <w:rsid w:val="005479EF"/>
    <w:rsid w:val="00547FB5"/>
    <w:rsid w:val="00552947"/>
    <w:rsid w:val="00552C22"/>
    <w:rsid w:val="005552AA"/>
    <w:rsid w:val="0055536E"/>
    <w:rsid w:val="00555B05"/>
    <w:rsid w:val="0056089C"/>
    <w:rsid w:val="00560A8E"/>
    <w:rsid w:val="00561ED4"/>
    <w:rsid w:val="0056214E"/>
    <w:rsid w:val="00563464"/>
    <w:rsid w:val="0056442B"/>
    <w:rsid w:val="005649A4"/>
    <w:rsid w:val="00564A8C"/>
    <w:rsid w:val="0056599E"/>
    <w:rsid w:val="005661C9"/>
    <w:rsid w:val="005666D1"/>
    <w:rsid w:val="00567109"/>
    <w:rsid w:val="00570901"/>
    <w:rsid w:val="00571411"/>
    <w:rsid w:val="005723C1"/>
    <w:rsid w:val="0057721C"/>
    <w:rsid w:val="00582571"/>
    <w:rsid w:val="00583604"/>
    <w:rsid w:val="005841F5"/>
    <w:rsid w:val="00584833"/>
    <w:rsid w:val="00590FC2"/>
    <w:rsid w:val="00591FC4"/>
    <w:rsid w:val="00597E1B"/>
    <w:rsid w:val="005A1717"/>
    <w:rsid w:val="005A21E1"/>
    <w:rsid w:val="005A6855"/>
    <w:rsid w:val="005A6AC8"/>
    <w:rsid w:val="005B10C4"/>
    <w:rsid w:val="005B13B5"/>
    <w:rsid w:val="005B2863"/>
    <w:rsid w:val="005B3904"/>
    <w:rsid w:val="005B4A8D"/>
    <w:rsid w:val="005B4B98"/>
    <w:rsid w:val="005C1E5C"/>
    <w:rsid w:val="005C7E4D"/>
    <w:rsid w:val="005D023C"/>
    <w:rsid w:val="005D23C1"/>
    <w:rsid w:val="005D2C95"/>
    <w:rsid w:val="005D46A1"/>
    <w:rsid w:val="005E1206"/>
    <w:rsid w:val="005E4881"/>
    <w:rsid w:val="005E4955"/>
    <w:rsid w:val="005E634B"/>
    <w:rsid w:val="005F0A52"/>
    <w:rsid w:val="005F217D"/>
    <w:rsid w:val="005F3853"/>
    <w:rsid w:val="005F46E0"/>
    <w:rsid w:val="005F4E4B"/>
    <w:rsid w:val="00601B09"/>
    <w:rsid w:val="006028E8"/>
    <w:rsid w:val="00603AB8"/>
    <w:rsid w:val="0060429B"/>
    <w:rsid w:val="006043D9"/>
    <w:rsid w:val="00604B50"/>
    <w:rsid w:val="00610633"/>
    <w:rsid w:val="006110A4"/>
    <w:rsid w:val="00611289"/>
    <w:rsid w:val="00613ABD"/>
    <w:rsid w:val="0061477F"/>
    <w:rsid w:val="00621181"/>
    <w:rsid w:val="0062173F"/>
    <w:rsid w:val="00622101"/>
    <w:rsid w:val="00622A34"/>
    <w:rsid w:val="00622AAD"/>
    <w:rsid w:val="00622DC4"/>
    <w:rsid w:val="0062307B"/>
    <w:rsid w:val="006235EE"/>
    <w:rsid w:val="00623FBF"/>
    <w:rsid w:val="0062555F"/>
    <w:rsid w:val="00630A6E"/>
    <w:rsid w:val="00631058"/>
    <w:rsid w:val="00631ADE"/>
    <w:rsid w:val="0063565F"/>
    <w:rsid w:val="00644265"/>
    <w:rsid w:val="00652415"/>
    <w:rsid w:val="0065561C"/>
    <w:rsid w:val="00656034"/>
    <w:rsid w:val="00657C9B"/>
    <w:rsid w:val="00660280"/>
    <w:rsid w:val="00663143"/>
    <w:rsid w:val="00665F99"/>
    <w:rsid w:val="006673F1"/>
    <w:rsid w:val="006709F6"/>
    <w:rsid w:val="00670D1E"/>
    <w:rsid w:val="00671CFC"/>
    <w:rsid w:val="00681752"/>
    <w:rsid w:val="006819B8"/>
    <w:rsid w:val="00683CB1"/>
    <w:rsid w:val="006854FB"/>
    <w:rsid w:val="00686271"/>
    <w:rsid w:val="00686A6B"/>
    <w:rsid w:val="0068728A"/>
    <w:rsid w:val="006904DC"/>
    <w:rsid w:val="00692525"/>
    <w:rsid w:val="0069282A"/>
    <w:rsid w:val="00692BD0"/>
    <w:rsid w:val="00692FDC"/>
    <w:rsid w:val="006A1D95"/>
    <w:rsid w:val="006A6DF5"/>
    <w:rsid w:val="006B17B3"/>
    <w:rsid w:val="006B18E0"/>
    <w:rsid w:val="006B1FD1"/>
    <w:rsid w:val="006B25CF"/>
    <w:rsid w:val="006B5A76"/>
    <w:rsid w:val="006B5B8A"/>
    <w:rsid w:val="006B6EEE"/>
    <w:rsid w:val="006B717E"/>
    <w:rsid w:val="006C1381"/>
    <w:rsid w:val="006C33E1"/>
    <w:rsid w:val="006C3F83"/>
    <w:rsid w:val="006C44A0"/>
    <w:rsid w:val="006C5F5B"/>
    <w:rsid w:val="006C627B"/>
    <w:rsid w:val="006C6A1C"/>
    <w:rsid w:val="006D3318"/>
    <w:rsid w:val="006D3DC7"/>
    <w:rsid w:val="006D41C6"/>
    <w:rsid w:val="006E0259"/>
    <w:rsid w:val="006E0EAD"/>
    <w:rsid w:val="006E32F0"/>
    <w:rsid w:val="006E554D"/>
    <w:rsid w:val="006F021D"/>
    <w:rsid w:val="006F18EC"/>
    <w:rsid w:val="006F2F8B"/>
    <w:rsid w:val="006F46E7"/>
    <w:rsid w:val="006F6B18"/>
    <w:rsid w:val="006F7918"/>
    <w:rsid w:val="00700B97"/>
    <w:rsid w:val="00706D73"/>
    <w:rsid w:val="00710B5C"/>
    <w:rsid w:val="00711B56"/>
    <w:rsid w:val="00711E09"/>
    <w:rsid w:val="00712086"/>
    <w:rsid w:val="00712502"/>
    <w:rsid w:val="007154DF"/>
    <w:rsid w:val="00720EE6"/>
    <w:rsid w:val="00722FD3"/>
    <w:rsid w:val="007238FF"/>
    <w:rsid w:val="00725C02"/>
    <w:rsid w:val="00725E70"/>
    <w:rsid w:val="00725F7D"/>
    <w:rsid w:val="00726287"/>
    <w:rsid w:val="00727217"/>
    <w:rsid w:val="007279AD"/>
    <w:rsid w:val="007301CF"/>
    <w:rsid w:val="0073151D"/>
    <w:rsid w:val="00732437"/>
    <w:rsid w:val="00732CF6"/>
    <w:rsid w:val="00733C6E"/>
    <w:rsid w:val="00737A62"/>
    <w:rsid w:val="00737A65"/>
    <w:rsid w:val="00742014"/>
    <w:rsid w:val="0074330F"/>
    <w:rsid w:val="00743EF7"/>
    <w:rsid w:val="00745FB1"/>
    <w:rsid w:val="00746DCF"/>
    <w:rsid w:val="00746E11"/>
    <w:rsid w:val="00747F1F"/>
    <w:rsid w:val="00751C3D"/>
    <w:rsid w:val="007523A3"/>
    <w:rsid w:val="00752C02"/>
    <w:rsid w:val="00753249"/>
    <w:rsid w:val="00753B17"/>
    <w:rsid w:val="007567F9"/>
    <w:rsid w:val="00761C7C"/>
    <w:rsid w:val="00761FF2"/>
    <w:rsid w:val="00762385"/>
    <w:rsid w:val="00762A44"/>
    <w:rsid w:val="00764AC9"/>
    <w:rsid w:val="00765EE9"/>
    <w:rsid w:val="00770058"/>
    <w:rsid w:val="007723E6"/>
    <w:rsid w:val="00775A5D"/>
    <w:rsid w:val="00776644"/>
    <w:rsid w:val="00776CE0"/>
    <w:rsid w:val="00777321"/>
    <w:rsid w:val="00777E92"/>
    <w:rsid w:val="00781019"/>
    <w:rsid w:val="00781AAD"/>
    <w:rsid w:val="007846DA"/>
    <w:rsid w:val="007873DD"/>
    <w:rsid w:val="007900B3"/>
    <w:rsid w:val="0079128E"/>
    <w:rsid w:val="00794A4C"/>
    <w:rsid w:val="00796013"/>
    <w:rsid w:val="007A2615"/>
    <w:rsid w:val="007A29C9"/>
    <w:rsid w:val="007A402E"/>
    <w:rsid w:val="007A403D"/>
    <w:rsid w:val="007A4948"/>
    <w:rsid w:val="007B0984"/>
    <w:rsid w:val="007B0993"/>
    <w:rsid w:val="007B0CAE"/>
    <w:rsid w:val="007B3988"/>
    <w:rsid w:val="007B4445"/>
    <w:rsid w:val="007B6C76"/>
    <w:rsid w:val="007C54CF"/>
    <w:rsid w:val="007C642F"/>
    <w:rsid w:val="007C674C"/>
    <w:rsid w:val="007D1462"/>
    <w:rsid w:val="007D1C25"/>
    <w:rsid w:val="007D2CA0"/>
    <w:rsid w:val="007D309C"/>
    <w:rsid w:val="007E14EB"/>
    <w:rsid w:val="007E1675"/>
    <w:rsid w:val="007E1A77"/>
    <w:rsid w:val="007F0446"/>
    <w:rsid w:val="007F0B56"/>
    <w:rsid w:val="007F0DBB"/>
    <w:rsid w:val="007F4033"/>
    <w:rsid w:val="007F6A91"/>
    <w:rsid w:val="008003C0"/>
    <w:rsid w:val="008008EA"/>
    <w:rsid w:val="00802A7B"/>
    <w:rsid w:val="008060F5"/>
    <w:rsid w:val="00806513"/>
    <w:rsid w:val="00806B42"/>
    <w:rsid w:val="0080752C"/>
    <w:rsid w:val="0081143E"/>
    <w:rsid w:val="00813964"/>
    <w:rsid w:val="00814E78"/>
    <w:rsid w:val="00815C44"/>
    <w:rsid w:val="00824750"/>
    <w:rsid w:val="00825E57"/>
    <w:rsid w:val="00832E9E"/>
    <w:rsid w:val="00836934"/>
    <w:rsid w:val="00836B00"/>
    <w:rsid w:val="00836E26"/>
    <w:rsid w:val="00840498"/>
    <w:rsid w:val="008405B0"/>
    <w:rsid w:val="00841A30"/>
    <w:rsid w:val="00842553"/>
    <w:rsid w:val="00846FD3"/>
    <w:rsid w:val="0085084D"/>
    <w:rsid w:val="0085697C"/>
    <w:rsid w:val="008652F0"/>
    <w:rsid w:val="00865619"/>
    <w:rsid w:val="00866D9C"/>
    <w:rsid w:val="00867A56"/>
    <w:rsid w:val="00867AE3"/>
    <w:rsid w:val="00870ACC"/>
    <w:rsid w:val="008736B8"/>
    <w:rsid w:val="00874246"/>
    <w:rsid w:val="00874C0E"/>
    <w:rsid w:val="00874EA9"/>
    <w:rsid w:val="00877CA4"/>
    <w:rsid w:val="00877DF6"/>
    <w:rsid w:val="0088064C"/>
    <w:rsid w:val="00882570"/>
    <w:rsid w:val="008843CD"/>
    <w:rsid w:val="008923EF"/>
    <w:rsid w:val="00897716"/>
    <w:rsid w:val="008A05E5"/>
    <w:rsid w:val="008A0F67"/>
    <w:rsid w:val="008A548F"/>
    <w:rsid w:val="008A6A3F"/>
    <w:rsid w:val="008A72A7"/>
    <w:rsid w:val="008B1CA1"/>
    <w:rsid w:val="008B2D12"/>
    <w:rsid w:val="008B2EC9"/>
    <w:rsid w:val="008B3D7D"/>
    <w:rsid w:val="008B4C09"/>
    <w:rsid w:val="008B7F17"/>
    <w:rsid w:val="008C1280"/>
    <w:rsid w:val="008C3196"/>
    <w:rsid w:val="008C5664"/>
    <w:rsid w:val="008C5C7A"/>
    <w:rsid w:val="008C7289"/>
    <w:rsid w:val="008C7444"/>
    <w:rsid w:val="008D3664"/>
    <w:rsid w:val="008D54B3"/>
    <w:rsid w:val="008D57EC"/>
    <w:rsid w:val="008D7E63"/>
    <w:rsid w:val="008E2467"/>
    <w:rsid w:val="008E55EE"/>
    <w:rsid w:val="008E5B13"/>
    <w:rsid w:val="008E617D"/>
    <w:rsid w:val="008E6AD9"/>
    <w:rsid w:val="008F1371"/>
    <w:rsid w:val="008F36CF"/>
    <w:rsid w:val="008F3E56"/>
    <w:rsid w:val="008F4D8E"/>
    <w:rsid w:val="008F5DEA"/>
    <w:rsid w:val="008F5F99"/>
    <w:rsid w:val="008F6BB7"/>
    <w:rsid w:val="008F77C0"/>
    <w:rsid w:val="00900B8E"/>
    <w:rsid w:val="00902416"/>
    <w:rsid w:val="00902D94"/>
    <w:rsid w:val="00903CB7"/>
    <w:rsid w:val="0090714E"/>
    <w:rsid w:val="00914B77"/>
    <w:rsid w:val="00917EAE"/>
    <w:rsid w:val="009230DB"/>
    <w:rsid w:val="00925E9A"/>
    <w:rsid w:val="009305FF"/>
    <w:rsid w:val="00932C7F"/>
    <w:rsid w:val="00935412"/>
    <w:rsid w:val="00935EB3"/>
    <w:rsid w:val="00936474"/>
    <w:rsid w:val="00940DCD"/>
    <w:rsid w:val="009453F4"/>
    <w:rsid w:val="009454D3"/>
    <w:rsid w:val="00945C7B"/>
    <w:rsid w:val="00951032"/>
    <w:rsid w:val="00956B30"/>
    <w:rsid w:val="00957307"/>
    <w:rsid w:val="009600B8"/>
    <w:rsid w:val="00960256"/>
    <w:rsid w:val="009604BD"/>
    <w:rsid w:val="00963821"/>
    <w:rsid w:val="00965D94"/>
    <w:rsid w:val="00966C14"/>
    <w:rsid w:val="00967232"/>
    <w:rsid w:val="0096733B"/>
    <w:rsid w:val="009676D8"/>
    <w:rsid w:val="00967D33"/>
    <w:rsid w:val="00967DD9"/>
    <w:rsid w:val="009713F4"/>
    <w:rsid w:val="009719BC"/>
    <w:rsid w:val="0097324F"/>
    <w:rsid w:val="00981A3A"/>
    <w:rsid w:val="009834C3"/>
    <w:rsid w:val="009877AB"/>
    <w:rsid w:val="009903E1"/>
    <w:rsid w:val="00991E1A"/>
    <w:rsid w:val="00993C75"/>
    <w:rsid w:val="0099562B"/>
    <w:rsid w:val="0099694D"/>
    <w:rsid w:val="00997341"/>
    <w:rsid w:val="009A307D"/>
    <w:rsid w:val="009A34EB"/>
    <w:rsid w:val="009A483B"/>
    <w:rsid w:val="009A48B4"/>
    <w:rsid w:val="009A5FF2"/>
    <w:rsid w:val="009B0D2B"/>
    <w:rsid w:val="009B1A90"/>
    <w:rsid w:val="009B28F0"/>
    <w:rsid w:val="009B3024"/>
    <w:rsid w:val="009B44F8"/>
    <w:rsid w:val="009B5C23"/>
    <w:rsid w:val="009B639F"/>
    <w:rsid w:val="009C171A"/>
    <w:rsid w:val="009C2EDE"/>
    <w:rsid w:val="009C4C31"/>
    <w:rsid w:val="009C50BD"/>
    <w:rsid w:val="009C5769"/>
    <w:rsid w:val="009C69DE"/>
    <w:rsid w:val="009C74B2"/>
    <w:rsid w:val="009D020B"/>
    <w:rsid w:val="009D6D22"/>
    <w:rsid w:val="009D7590"/>
    <w:rsid w:val="009E1529"/>
    <w:rsid w:val="009E67D4"/>
    <w:rsid w:val="009E7CEF"/>
    <w:rsid w:val="009F6CAA"/>
    <w:rsid w:val="00A06AC4"/>
    <w:rsid w:val="00A06D13"/>
    <w:rsid w:val="00A06F66"/>
    <w:rsid w:val="00A071D6"/>
    <w:rsid w:val="00A11086"/>
    <w:rsid w:val="00A14068"/>
    <w:rsid w:val="00A160D2"/>
    <w:rsid w:val="00A20083"/>
    <w:rsid w:val="00A20752"/>
    <w:rsid w:val="00A20CCA"/>
    <w:rsid w:val="00A23952"/>
    <w:rsid w:val="00A24B29"/>
    <w:rsid w:val="00A26C53"/>
    <w:rsid w:val="00A31309"/>
    <w:rsid w:val="00A324D0"/>
    <w:rsid w:val="00A35489"/>
    <w:rsid w:val="00A35983"/>
    <w:rsid w:val="00A35EF4"/>
    <w:rsid w:val="00A3651B"/>
    <w:rsid w:val="00A4144B"/>
    <w:rsid w:val="00A41BCC"/>
    <w:rsid w:val="00A45E83"/>
    <w:rsid w:val="00A46D9E"/>
    <w:rsid w:val="00A504A5"/>
    <w:rsid w:val="00A53C26"/>
    <w:rsid w:val="00A54080"/>
    <w:rsid w:val="00A61D4E"/>
    <w:rsid w:val="00A63DBE"/>
    <w:rsid w:val="00A6673C"/>
    <w:rsid w:val="00A67477"/>
    <w:rsid w:val="00A72D71"/>
    <w:rsid w:val="00A77D96"/>
    <w:rsid w:val="00A81C71"/>
    <w:rsid w:val="00A820F3"/>
    <w:rsid w:val="00A8286E"/>
    <w:rsid w:val="00A86E96"/>
    <w:rsid w:val="00A903F6"/>
    <w:rsid w:val="00A90450"/>
    <w:rsid w:val="00A91476"/>
    <w:rsid w:val="00A91C22"/>
    <w:rsid w:val="00A92D96"/>
    <w:rsid w:val="00A948B3"/>
    <w:rsid w:val="00A96FBE"/>
    <w:rsid w:val="00AA146C"/>
    <w:rsid w:val="00AA1A3E"/>
    <w:rsid w:val="00AA3B89"/>
    <w:rsid w:val="00AA4FA9"/>
    <w:rsid w:val="00AA62F9"/>
    <w:rsid w:val="00AB150D"/>
    <w:rsid w:val="00AB2C5B"/>
    <w:rsid w:val="00AB3864"/>
    <w:rsid w:val="00AB6981"/>
    <w:rsid w:val="00AC0A16"/>
    <w:rsid w:val="00AC5C53"/>
    <w:rsid w:val="00AD0902"/>
    <w:rsid w:val="00AD33F5"/>
    <w:rsid w:val="00AD37A7"/>
    <w:rsid w:val="00AD4698"/>
    <w:rsid w:val="00AD5472"/>
    <w:rsid w:val="00AD6127"/>
    <w:rsid w:val="00AE0F9C"/>
    <w:rsid w:val="00AE19E5"/>
    <w:rsid w:val="00AE21E6"/>
    <w:rsid w:val="00AF4552"/>
    <w:rsid w:val="00AF5AD8"/>
    <w:rsid w:val="00AF72FE"/>
    <w:rsid w:val="00AF7C71"/>
    <w:rsid w:val="00B00A9B"/>
    <w:rsid w:val="00B0265B"/>
    <w:rsid w:val="00B0277C"/>
    <w:rsid w:val="00B04F83"/>
    <w:rsid w:val="00B05A6D"/>
    <w:rsid w:val="00B06F27"/>
    <w:rsid w:val="00B07EB2"/>
    <w:rsid w:val="00B115BF"/>
    <w:rsid w:val="00B11644"/>
    <w:rsid w:val="00B11A75"/>
    <w:rsid w:val="00B11A97"/>
    <w:rsid w:val="00B14F3C"/>
    <w:rsid w:val="00B15ADE"/>
    <w:rsid w:val="00B236C2"/>
    <w:rsid w:val="00B23BA8"/>
    <w:rsid w:val="00B24A2D"/>
    <w:rsid w:val="00B278F5"/>
    <w:rsid w:val="00B304C5"/>
    <w:rsid w:val="00B338D5"/>
    <w:rsid w:val="00B40018"/>
    <w:rsid w:val="00B409BD"/>
    <w:rsid w:val="00B42410"/>
    <w:rsid w:val="00B43D55"/>
    <w:rsid w:val="00B46089"/>
    <w:rsid w:val="00B46A7D"/>
    <w:rsid w:val="00B51C04"/>
    <w:rsid w:val="00B53AB0"/>
    <w:rsid w:val="00B53EAC"/>
    <w:rsid w:val="00B54603"/>
    <w:rsid w:val="00B55464"/>
    <w:rsid w:val="00B56111"/>
    <w:rsid w:val="00B61073"/>
    <w:rsid w:val="00B6446D"/>
    <w:rsid w:val="00B655D7"/>
    <w:rsid w:val="00B65AE1"/>
    <w:rsid w:val="00B70F8C"/>
    <w:rsid w:val="00B7139D"/>
    <w:rsid w:val="00B73C3A"/>
    <w:rsid w:val="00B73EFE"/>
    <w:rsid w:val="00B74CF6"/>
    <w:rsid w:val="00B83175"/>
    <w:rsid w:val="00B83301"/>
    <w:rsid w:val="00B8538D"/>
    <w:rsid w:val="00B85C5C"/>
    <w:rsid w:val="00B90D3F"/>
    <w:rsid w:val="00B91AE8"/>
    <w:rsid w:val="00B94336"/>
    <w:rsid w:val="00B94D6C"/>
    <w:rsid w:val="00B95CA5"/>
    <w:rsid w:val="00BA0709"/>
    <w:rsid w:val="00BA0D70"/>
    <w:rsid w:val="00BA4BE2"/>
    <w:rsid w:val="00BA543B"/>
    <w:rsid w:val="00BA5C8D"/>
    <w:rsid w:val="00BA6D0F"/>
    <w:rsid w:val="00BA756D"/>
    <w:rsid w:val="00BA77CE"/>
    <w:rsid w:val="00BB0D31"/>
    <w:rsid w:val="00BB1270"/>
    <w:rsid w:val="00BB678C"/>
    <w:rsid w:val="00BB6C04"/>
    <w:rsid w:val="00BB7C69"/>
    <w:rsid w:val="00BC3410"/>
    <w:rsid w:val="00BC39AB"/>
    <w:rsid w:val="00BC61E2"/>
    <w:rsid w:val="00BD26E6"/>
    <w:rsid w:val="00BD32F1"/>
    <w:rsid w:val="00BD55F0"/>
    <w:rsid w:val="00BD644E"/>
    <w:rsid w:val="00BD6576"/>
    <w:rsid w:val="00BD6CA7"/>
    <w:rsid w:val="00BD7306"/>
    <w:rsid w:val="00BD7F4A"/>
    <w:rsid w:val="00BE0D41"/>
    <w:rsid w:val="00BE3949"/>
    <w:rsid w:val="00BE39CD"/>
    <w:rsid w:val="00BE3AB1"/>
    <w:rsid w:val="00BE43EC"/>
    <w:rsid w:val="00BE7765"/>
    <w:rsid w:val="00BE7C35"/>
    <w:rsid w:val="00BF017A"/>
    <w:rsid w:val="00BF0923"/>
    <w:rsid w:val="00BF3D8E"/>
    <w:rsid w:val="00BF475F"/>
    <w:rsid w:val="00C023CB"/>
    <w:rsid w:val="00C051FE"/>
    <w:rsid w:val="00C13713"/>
    <w:rsid w:val="00C1378E"/>
    <w:rsid w:val="00C139E0"/>
    <w:rsid w:val="00C13DD5"/>
    <w:rsid w:val="00C1516C"/>
    <w:rsid w:val="00C24289"/>
    <w:rsid w:val="00C2511A"/>
    <w:rsid w:val="00C252D9"/>
    <w:rsid w:val="00C27150"/>
    <w:rsid w:val="00C32E5C"/>
    <w:rsid w:val="00C35722"/>
    <w:rsid w:val="00C3681C"/>
    <w:rsid w:val="00C4133F"/>
    <w:rsid w:val="00C4181F"/>
    <w:rsid w:val="00C44403"/>
    <w:rsid w:val="00C45BB0"/>
    <w:rsid w:val="00C460D9"/>
    <w:rsid w:val="00C54FEA"/>
    <w:rsid w:val="00C6196D"/>
    <w:rsid w:val="00C6273B"/>
    <w:rsid w:val="00C66A45"/>
    <w:rsid w:val="00C7199B"/>
    <w:rsid w:val="00C800C0"/>
    <w:rsid w:val="00C8199D"/>
    <w:rsid w:val="00C83254"/>
    <w:rsid w:val="00C86CF2"/>
    <w:rsid w:val="00C956E2"/>
    <w:rsid w:val="00C97E9E"/>
    <w:rsid w:val="00CA4122"/>
    <w:rsid w:val="00CA77B6"/>
    <w:rsid w:val="00CB01F8"/>
    <w:rsid w:val="00CB0EBD"/>
    <w:rsid w:val="00CB5D88"/>
    <w:rsid w:val="00CC3AD8"/>
    <w:rsid w:val="00CC552D"/>
    <w:rsid w:val="00CC56CE"/>
    <w:rsid w:val="00CD0111"/>
    <w:rsid w:val="00CD0507"/>
    <w:rsid w:val="00CD55F5"/>
    <w:rsid w:val="00CD6C76"/>
    <w:rsid w:val="00CE28B5"/>
    <w:rsid w:val="00CE4060"/>
    <w:rsid w:val="00CE7CC8"/>
    <w:rsid w:val="00CF29F4"/>
    <w:rsid w:val="00CF3DD4"/>
    <w:rsid w:val="00CF5BAF"/>
    <w:rsid w:val="00CF67C0"/>
    <w:rsid w:val="00CF71B0"/>
    <w:rsid w:val="00D00257"/>
    <w:rsid w:val="00D00A3C"/>
    <w:rsid w:val="00D02244"/>
    <w:rsid w:val="00D04DC0"/>
    <w:rsid w:val="00D11AD7"/>
    <w:rsid w:val="00D13975"/>
    <w:rsid w:val="00D14176"/>
    <w:rsid w:val="00D21145"/>
    <w:rsid w:val="00D2670A"/>
    <w:rsid w:val="00D3478F"/>
    <w:rsid w:val="00D3624E"/>
    <w:rsid w:val="00D43E50"/>
    <w:rsid w:val="00D44F35"/>
    <w:rsid w:val="00D50809"/>
    <w:rsid w:val="00D51726"/>
    <w:rsid w:val="00D51AE5"/>
    <w:rsid w:val="00D553F0"/>
    <w:rsid w:val="00D56CB0"/>
    <w:rsid w:val="00D6541B"/>
    <w:rsid w:val="00D70949"/>
    <w:rsid w:val="00D71574"/>
    <w:rsid w:val="00D71C89"/>
    <w:rsid w:val="00D7584D"/>
    <w:rsid w:val="00D75E1E"/>
    <w:rsid w:val="00D764C9"/>
    <w:rsid w:val="00D85563"/>
    <w:rsid w:val="00D85997"/>
    <w:rsid w:val="00D86D4D"/>
    <w:rsid w:val="00D90098"/>
    <w:rsid w:val="00D9252F"/>
    <w:rsid w:val="00D96D77"/>
    <w:rsid w:val="00DA0CDA"/>
    <w:rsid w:val="00DA14A8"/>
    <w:rsid w:val="00DA3BE4"/>
    <w:rsid w:val="00DA67AA"/>
    <w:rsid w:val="00DA7CC3"/>
    <w:rsid w:val="00DB00DA"/>
    <w:rsid w:val="00DB086B"/>
    <w:rsid w:val="00DB2472"/>
    <w:rsid w:val="00DB37BC"/>
    <w:rsid w:val="00DB7447"/>
    <w:rsid w:val="00DC3B91"/>
    <w:rsid w:val="00DC4E63"/>
    <w:rsid w:val="00DC5C5D"/>
    <w:rsid w:val="00DC67F3"/>
    <w:rsid w:val="00DD05AB"/>
    <w:rsid w:val="00DD1D3D"/>
    <w:rsid w:val="00DD3904"/>
    <w:rsid w:val="00DD6EB7"/>
    <w:rsid w:val="00DE0F88"/>
    <w:rsid w:val="00DE172A"/>
    <w:rsid w:val="00DE19EC"/>
    <w:rsid w:val="00DE5066"/>
    <w:rsid w:val="00DE5ACB"/>
    <w:rsid w:val="00DE638B"/>
    <w:rsid w:val="00DE739D"/>
    <w:rsid w:val="00DF10BE"/>
    <w:rsid w:val="00DF3F57"/>
    <w:rsid w:val="00DF4BBC"/>
    <w:rsid w:val="00DF67BF"/>
    <w:rsid w:val="00DF68A0"/>
    <w:rsid w:val="00DF68C7"/>
    <w:rsid w:val="00E01947"/>
    <w:rsid w:val="00E02F61"/>
    <w:rsid w:val="00E05276"/>
    <w:rsid w:val="00E06474"/>
    <w:rsid w:val="00E11892"/>
    <w:rsid w:val="00E133A4"/>
    <w:rsid w:val="00E17269"/>
    <w:rsid w:val="00E17ADE"/>
    <w:rsid w:val="00E20969"/>
    <w:rsid w:val="00E20E3C"/>
    <w:rsid w:val="00E23446"/>
    <w:rsid w:val="00E26B57"/>
    <w:rsid w:val="00E30BDB"/>
    <w:rsid w:val="00E32A30"/>
    <w:rsid w:val="00E33F49"/>
    <w:rsid w:val="00E43518"/>
    <w:rsid w:val="00E449A0"/>
    <w:rsid w:val="00E44CD4"/>
    <w:rsid w:val="00E4520C"/>
    <w:rsid w:val="00E465B4"/>
    <w:rsid w:val="00E470A8"/>
    <w:rsid w:val="00E5150B"/>
    <w:rsid w:val="00E53A20"/>
    <w:rsid w:val="00E553B9"/>
    <w:rsid w:val="00E56606"/>
    <w:rsid w:val="00E57331"/>
    <w:rsid w:val="00E642F2"/>
    <w:rsid w:val="00E7117A"/>
    <w:rsid w:val="00E7215D"/>
    <w:rsid w:val="00E7354D"/>
    <w:rsid w:val="00E738BD"/>
    <w:rsid w:val="00E739A0"/>
    <w:rsid w:val="00E823C1"/>
    <w:rsid w:val="00E83438"/>
    <w:rsid w:val="00E83BA9"/>
    <w:rsid w:val="00E91172"/>
    <w:rsid w:val="00E91FD5"/>
    <w:rsid w:val="00E93116"/>
    <w:rsid w:val="00E93371"/>
    <w:rsid w:val="00E9537C"/>
    <w:rsid w:val="00E96D5A"/>
    <w:rsid w:val="00E97AFE"/>
    <w:rsid w:val="00E97FD1"/>
    <w:rsid w:val="00EA7EA5"/>
    <w:rsid w:val="00EB036B"/>
    <w:rsid w:val="00EB211C"/>
    <w:rsid w:val="00EB5FC0"/>
    <w:rsid w:val="00EB6A97"/>
    <w:rsid w:val="00EB73F9"/>
    <w:rsid w:val="00EB74FB"/>
    <w:rsid w:val="00EC06BF"/>
    <w:rsid w:val="00EC20BC"/>
    <w:rsid w:val="00EC3240"/>
    <w:rsid w:val="00EC56B8"/>
    <w:rsid w:val="00ED3D06"/>
    <w:rsid w:val="00ED4494"/>
    <w:rsid w:val="00ED6A5D"/>
    <w:rsid w:val="00ED6F57"/>
    <w:rsid w:val="00EE2192"/>
    <w:rsid w:val="00EE3DA5"/>
    <w:rsid w:val="00EE6B29"/>
    <w:rsid w:val="00EE7AED"/>
    <w:rsid w:val="00EF23A9"/>
    <w:rsid w:val="00F01303"/>
    <w:rsid w:val="00F022A4"/>
    <w:rsid w:val="00F02AA3"/>
    <w:rsid w:val="00F049CE"/>
    <w:rsid w:val="00F050A2"/>
    <w:rsid w:val="00F05227"/>
    <w:rsid w:val="00F126AB"/>
    <w:rsid w:val="00F135C6"/>
    <w:rsid w:val="00F136B2"/>
    <w:rsid w:val="00F13BF8"/>
    <w:rsid w:val="00F15A36"/>
    <w:rsid w:val="00F20C01"/>
    <w:rsid w:val="00F21717"/>
    <w:rsid w:val="00F22FEB"/>
    <w:rsid w:val="00F231AD"/>
    <w:rsid w:val="00F23E8F"/>
    <w:rsid w:val="00F25060"/>
    <w:rsid w:val="00F253BC"/>
    <w:rsid w:val="00F3081E"/>
    <w:rsid w:val="00F30CB3"/>
    <w:rsid w:val="00F31B2D"/>
    <w:rsid w:val="00F330FD"/>
    <w:rsid w:val="00F427D7"/>
    <w:rsid w:val="00F44393"/>
    <w:rsid w:val="00F4440F"/>
    <w:rsid w:val="00F4619E"/>
    <w:rsid w:val="00F46582"/>
    <w:rsid w:val="00F46977"/>
    <w:rsid w:val="00F47756"/>
    <w:rsid w:val="00F501F1"/>
    <w:rsid w:val="00F51A25"/>
    <w:rsid w:val="00F51C44"/>
    <w:rsid w:val="00F52BCF"/>
    <w:rsid w:val="00F54B6F"/>
    <w:rsid w:val="00F54EFD"/>
    <w:rsid w:val="00F55200"/>
    <w:rsid w:val="00F577E9"/>
    <w:rsid w:val="00F64CB3"/>
    <w:rsid w:val="00F6536E"/>
    <w:rsid w:val="00F67CCB"/>
    <w:rsid w:val="00F71682"/>
    <w:rsid w:val="00F72107"/>
    <w:rsid w:val="00F72FEF"/>
    <w:rsid w:val="00F733E1"/>
    <w:rsid w:val="00F76283"/>
    <w:rsid w:val="00F76D09"/>
    <w:rsid w:val="00F77359"/>
    <w:rsid w:val="00F77FC7"/>
    <w:rsid w:val="00F82ADB"/>
    <w:rsid w:val="00F85F05"/>
    <w:rsid w:val="00F87F24"/>
    <w:rsid w:val="00F9197F"/>
    <w:rsid w:val="00F94CD8"/>
    <w:rsid w:val="00F95098"/>
    <w:rsid w:val="00F97172"/>
    <w:rsid w:val="00FA0B27"/>
    <w:rsid w:val="00FA334C"/>
    <w:rsid w:val="00FA3C01"/>
    <w:rsid w:val="00FA7BCD"/>
    <w:rsid w:val="00FB0799"/>
    <w:rsid w:val="00FB0A89"/>
    <w:rsid w:val="00FB2646"/>
    <w:rsid w:val="00FB30A4"/>
    <w:rsid w:val="00FB4702"/>
    <w:rsid w:val="00FB48BF"/>
    <w:rsid w:val="00FB4A75"/>
    <w:rsid w:val="00FC1F9E"/>
    <w:rsid w:val="00FC342C"/>
    <w:rsid w:val="00FC3F20"/>
    <w:rsid w:val="00FC40E5"/>
    <w:rsid w:val="00FC41B9"/>
    <w:rsid w:val="00FC62B9"/>
    <w:rsid w:val="00FC654F"/>
    <w:rsid w:val="00FC6E84"/>
    <w:rsid w:val="00FD084B"/>
    <w:rsid w:val="00FD15B5"/>
    <w:rsid w:val="00FD1BC5"/>
    <w:rsid w:val="00FD48EB"/>
    <w:rsid w:val="00FF12D0"/>
    <w:rsid w:val="00FF2952"/>
    <w:rsid w:val="00FF59AE"/>
    <w:rsid w:val="00FF5ABF"/>
    <w:rsid w:val="00FF6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5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85563"/>
    <w:rPr>
      <w:color w:val="808080"/>
    </w:rPr>
  </w:style>
  <w:style w:type="paragraph" w:styleId="Revisie">
    <w:name w:val="Revision"/>
    <w:hidden/>
    <w:uiPriority w:val="99"/>
    <w:semiHidden/>
    <w:rsid w:val="00FB4A75"/>
    <w:rPr>
      <w:rFonts w:ascii="Univers" w:hAnsi="Univers"/>
      <w:sz w:val="22"/>
      <w:szCs w:val="24"/>
    </w:rPr>
  </w:style>
  <w:style w:type="paragraph" w:styleId="Lijstalinea">
    <w:name w:val="List Paragraph"/>
    <w:basedOn w:val="Standaard"/>
    <w:uiPriority w:val="34"/>
    <w:qFormat/>
    <w:rsid w:val="00FB4A75"/>
    <w:pPr>
      <w:ind w:left="720"/>
      <w:contextualSpacing/>
    </w:pPr>
  </w:style>
  <w:style w:type="character" w:styleId="Verwijzingopmerking">
    <w:name w:val="annotation reference"/>
    <w:basedOn w:val="Standaardalinea-lettertype"/>
    <w:uiPriority w:val="99"/>
    <w:semiHidden/>
    <w:unhideWhenUsed/>
    <w:rsid w:val="00AD6127"/>
    <w:rPr>
      <w:sz w:val="16"/>
      <w:szCs w:val="16"/>
    </w:rPr>
  </w:style>
  <w:style w:type="paragraph" w:styleId="Tekstopmerking">
    <w:name w:val="annotation text"/>
    <w:basedOn w:val="Standaard"/>
    <w:link w:val="TekstopmerkingChar"/>
    <w:uiPriority w:val="99"/>
    <w:unhideWhenUsed/>
    <w:rsid w:val="00AD6127"/>
    <w:rPr>
      <w:sz w:val="20"/>
      <w:szCs w:val="20"/>
    </w:rPr>
  </w:style>
  <w:style w:type="character" w:customStyle="1" w:styleId="TekstopmerkingChar">
    <w:name w:val="Tekst opmerking Char"/>
    <w:basedOn w:val="Standaardalinea-lettertype"/>
    <w:link w:val="Tekstopmerking"/>
    <w:uiPriority w:val="99"/>
    <w:rsid w:val="00AD612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D6127"/>
    <w:rPr>
      <w:b/>
      <w:bCs/>
    </w:rPr>
  </w:style>
  <w:style w:type="character" w:customStyle="1" w:styleId="OnderwerpvanopmerkingChar">
    <w:name w:val="Onderwerp van opmerking Char"/>
    <w:basedOn w:val="TekstopmerkingChar"/>
    <w:link w:val="Onderwerpvanopmerking"/>
    <w:uiPriority w:val="99"/>
    <w:semiHidden/>
    <w:rsid w:val="00AD6127"/>
    <w:rPr>
      <w:rFonts w:ascii="Univers" w:hAnsi="Univers"/>
      <w:b/>
      <w:bCs/>
    </w:rPr>
  </w:style>
  <w:style w:type="paragraph" w:styleId="Voetnoottekst">
    <w:name w:val="footnote text"/>
    <w:basedOn w:val="Standaard"/>
    <w:link w:val="VoetnoottekstChar"/>
    <w:uiPriority w:val="99"/>
    <w:semiHidden/>
    <w:unhideWhenUsed/>
    <w:rsid w:val="00B74CF6"/>
    <w:rPr>
      <w:sz w:val="20"/>
      <w:szCs w:val="20"/>
    </w:rPr>
  </w:style>
  <w:style w:type="character" w:customStyle="1" w:styleId="VoetnoottekstChar">
    <w:name w:val="Voetnoottekst Char"/>
    <w:basedOn w:val="Standaardalinea-lettertype"/>
    <w:link w:val="Voetnoottekst"/>
    <w:uiPriority w:val="99"/>
    <w:semiHidden/>
    <w:rsid w:val="00B74CF6"/>
    <w:rPr>
      <w:rFonts w:ascii="Univers" w:hAnsi="Univers"/>
    </w:rPr>
  </w:style>
  <w:style w:type="character" w:styleId="Voetnootmarkering">
    <w:name w:val="footnote reference"/>
    <w:basedOn w:val="Standaardalinea-lettertype"/>
    <w:uiPriority w:val="99"/>
    <w:semiHidden/>
    <w:unhideWhenUsed/>
    <w:rsid w:val="00B74CF6"/>
    <w:rPr>
      <w:vertAlign w:val="superscript"/>
    </w:rPr>
  </w:style>
  <w:style w:type="character" w:customStyle="1" w:styleId="ui-provider">
    <w:name w:val="ui-provider"/>
    <w:basedOn w:val="Standaardalinea-lettertype"/>
    <w:rsid w:val="003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4080">
      <w:bodyDiv w:val="1"/>
      <w:marLeft w:val="0"/>
      <w:marRight w:val="0"/>
      <w:marTop w:val="0"/>
      <w:marBottom w:val="0"/>
      <w:divBdr>
        <w:top w:val="none" w:sz="0" w:space="0" w:color="auto"/>
        <w:left w:val="none" w:sz="0" w:space="0" w:color="auto"/>
        <w:bottom w:val="none" w:sz="0" w:space="0" w:color="auto"/>
        <w:right w:val="none" w:sz="0" w:space="0" w:color="auto"/>
      </w:divBdr>
    </w:div>
    <w:div w:id="15552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E9208BD3-ABF9-4218-9DC5-4DCED5D47C28}"/>
      </w:docPartPr>
      <w:docPartBody>
        <w:p w:rsidR="006B3253" w:rsidRDefault="006B3253">
          <w:r w:rsidRPr="00B441BA">
            <w:rPr>
              <w:rStyle w:val="Tekstvantijdelijkeaanduiding"/>
            </w:rPr>
            <w:t>Klik of tik om tekst in te voeren.</w:t>
          </w:r>
        </w:p>
      </w:docPartBody>
    </w:docPart>
    <w:docPart>
      <w:docPartPr>
        <w:name w:val="EBB34998FEC84F1BB7F4F527499B6B5C"/>
        <w:category>
          <w:name w:val="Algemeen"/>
          <w:gallery w:val="placeholder"/>
        </w:category>
        <w:types>
          <w:type w:val="bbPlcHdr"/>
        </w:types>
        <w:behaviors>
          <w:behavior w:val="content"/>
        </w:behaviors>
        <w:guid w:val="{4C336D3F-8276-4CF0-90BF-BFCC0B9F065A}"/>
      </w:docPartPr>
      <w:docPartBody>
        <w:p w:rsidR="000E727C" w:rsidRDefault="006B3253">
          <w:pPr>
            <w:pStyle w:val="EBB34998FEC84F1BB7F4F527499B6B5C"/>
          </w:pPr>
          <w:r w:rsidRPr="00B441B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53"/>
    <w:rsid w:val="000E727C"/>
    <w:rsid w:val="003418F2"/>
    <w:rsid w:val="006535B6"/>
    <w:rsid w:val="006B3253"/>
    <w:rsid w:val="008931AA"/>
    <w:rsid w:val="008A3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3253"/>
    <w:rPr>
      <w:color w:val="808080"/>
    </w:rPr>
  </w:style>
  <w:style w:type="paragraph" w:customStyle="1" w:styleId="EBB34998FEC84F1BB7F4F527499B6B5C">
    <w:name w:val="EBB34998FEC84F1BB7F4F527499B6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1565</ap:Words>
  <ap:Characters>8611</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2024-08-06T09:09:00.0000000Z</lastPrinted>
  <dcterms:created xsi:type="dcterms:W3CDTF">2024-10-17T14:12:00.0000000Z</dcterms:created>
  <dcterms:modified xsi:type="dcterms:W3CDTF">2024-10-17T14:12:00.0000000Z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W16.24.00091/II</vt:lpwstr>
  </property>
  <property fmtid="{D5CDD505-2E9C-101B-9397-08002B2CF9AE}" pid="5" name="zaaktype">
    <vt:lpwstr>WET</vt:lpwstr>
  </property>
  <property fmtid="{D5CDD505-2E9C-101B-9397-08002B2CF9AE}" pid="6" name="ContentTypeId">
    <vt:lpwstr>0x010100FA5A77795FEADA4EA51227303613444600FBF38C326302AE459DC9FB09AD91D527</vt:lpwstr>
  </property>
  <property fmtid="{D5CDD505-2E9C-101B-9397-08002B2CF9AE}" pid="7" name="Bestemming">
    <vt:lpwstr>2;#Corsa|a7721b99-8166-4953-a37e-7c8574fb4b8b</vt:lpwstr>
  </property>
  <property fmtid="{D5CDD505-2E9C-101B-9397-08002B2CF9AE}" pid="8" name="_dlc_DocIdItemGuid">
    <vt:lpwstr>33072fb7-bea0-42bb-ab74-333fa9c097d2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