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D19AC" w:rsidTr="009D19AC" w14:paraId="2E49DCC5" w14:textId="77777777">
        <w:sdt>
          <w:sdtPr>
            <w:tag w:val="bmZaakNummerAdvies"/>
            <w:id w:val="-97711570"/>
            <w:lock w:val="sdtLocked"/>
            <w:placeholder>
              <w:docPart w:val="DefaultPlaceholder_-1854013440"/>
            </w:placeholder>
          </w:sdtPr>
          <w:sdtEndPr/>
          <w:sdtContent>
            <w:tc>
              <w:tcPr>
                <w:tcW w:w="4251" w:type="dxa"/>
              </w:tcPr>
              <w:p w:rsidR="009D19AC" w:rsidRDefault="009D19AC" w14:paraId="64E9F9B6" w14:textId="4368F687">
                <w:r>
                  <w:t>No. W11.24.00166/IV</w:t>
                </w:r>
              </w:p>
            </w:tc>
          </w:sdtContent>
        </w:sdt>
        <w:sdt>
          <w:sdtPr>
            <w:tag w:val="bmDatumAdvies"/>
            <w:id w:val="-1344242952"/>
            <w:lock w:val="sdtLocked"/>
            <w:placeholder>
              <w:docPart w:val="DefaultPlaceholder_-1854013440"/>
            </w:placeholder>
          </w:sdtPr>
          <w:sdtEndPr/>
          <w:sdtContent>
            <w:tc>
              <w:tcPr>
                <w:tcW w:w="4252" w:type="dxa"/>
              </w:tcPr>
              <w:p w:rsidR="009D19AC" w:rsidRDefault="009D19AC" w14:paraId="7F1D9E2B" w14:textId="790B4575">
                <w:r>
                  <w:t>'s-Gravenhage, 14 augustus 2024</w:t>
                </w:r>
              </w:p>
            </w:tc>
          </w:sdtContent>
        </w:sdt>
      </w:tr>
    </w:tbl>
    <w:p w:rsidR="009D19AC" w:rsidRDefault="009D19AC" w14:paraId="58A91592" w14:textId="77777777"/>
    <w:p w:rsidR="009D19AC" w:rsidRDefault="009D19AC" w14:paraId="3C99022B" w14:textId="77777777"/>
    <w:p w:rsidR="001978DD" w:rsidRDefault="003B443A" w14:paraId="26F110CF" w14:textId="7370E49F">
      <w:sdt>
        <w:sdtPr>
          <w:tag w:val="bmAanhef"/>
          <w:id w:val="1213696289"/>
          <w:lock w:val="sdtLocked"/>
          <w:placeholder>
            <w:docPart w:val="DefaultPlaceholder_-1854013440"/>
          </w:placeholder>
        </w:sdtPr>
        <w:sdtEndPr/>
        <w:sdtContent>
          <w:r w:rsidR="009D19AC">
            <w:rPr>
              <w:color w:val="000000"/>
            </w:rPr>
            <w:t>Bij Kabinetsmissive van 3 juli 2024, no.2024001589, heeft Uwe Majesteit, op voordracht van de Minister van Landbouw, Natuur en Voedselkwaliteit</w:t>
          </w:r>
          <w:r w:rsidR="0020115C">
            <w:rPr>
              <w:rStyle w:val="Voetnootmarkering"/>
              <w:color w:val="000000"/>
            </w:rPr>
            <w:footnoteReference w:id="2"/>
          </w:r>
          <w:r w:rsidR="009D19AC">
            <w:rPr>
              <w:color w:val="000000"/>
            </w:rPr>
            <w:t>, bij de Afdeling advisering van de Raad van State ter overweging aanhangig gemaakt het voorstel van wet tot wijziging van de Meststoffenwet in verband met de voorwaarden over de maximale mestproductie in de derogatiebeschikking 2022</w:t>
          </w:r>
          <w:r w:rsidR="009D19AC">
            <w:rPr>
              <w:color w:val="000000"/>
            </w:rPr>
            <w:noBreakHyphen/>
            <w:t>2025 (Wet wijziging Meststoffenwet in verband met de maximale mestproductie), met memorie van toelichting.</w:t>
          </w:r>
        </w:sdtContent>
      </w:sdt>
    </w:p>
    <w:p w:rsidR="001978DD" w:rsidRDefault="001978DD" w14:paraId="26F110D0" w14:textId="77777777"/>
    <w:sdt>
      <w:sdtPr>
        <w:tag w:val="bmVrijeTekst1"/>
        <w:id w:val="-749186319"/>
        <w:lock w:val="sdtLocked"/>
        <w:placeholder>
          <w:docPart w:val="DefaultPlaceholder_-1854013440"/>
        </w:placeholder>
      </w:sdtPr>
      <w:sdtEndPr/>
      <w:sdtContent>
        <w:p w:rsidR="005A0198" w:rsidRDefault="00E54ED6" w14:paraId="7D0D33DC" w14:textId="31C18A05">
          <w:r>
            <w:t>Het wetsvoorstel v</w:t>
          </w:r>
          <w:r w:rsidR="00D76D56">
            <w:t xml:space="preserve">oorziet in </w:t>
          </w:r>
          <w:r w:rsidR="00E9231D">
            <w:t xml:space="preserve">een aantal </w:t>
          </w:r>
          <w:r w:rsidR="00D76D56">
            <w:t>wijzigingen in de Meststoffenwet</w:t>
          </w:r>
          <w:r w:rsidR="002E5CAC">
            <w:t xml:space="preserve"> in verband met de implementatie van </w:t>
          </w:r>
          <w:r w:rsidR="000C41EC">
            <w:t>het Uitvoeringsbesluit (EU) 2022/2069 van de Commissie van 30 september 2022 tot verlening van een door Nederland gevraagde derogatie op grond van Richtlijn 91/676/EEG (</w:t>
          </w:r>
          <w:r w:rsidR="00CC289C">
            <w:t>de zogenoemde derogatiebeschikking</w:t>
          </w:r>
          <w:r w:rsidR="00506295">
            <w:t>)</w:t>
          </w:r>
          <w:r w:rsidR="00D76D56">
            <w:t>.</w:t>
          </w:r>
          <w:r w:rsidR="00506295">
            <w:rPr>
              <w:rStyle w:val="Voetnootmarkering"/>
            </w:rPr>
            <w:footnoteReference w:id="3"/>
          </w:r>
          <w:r w:rsidR="00D76D56">
            <w:t xml:space="preserve"> </w:t>
          </w:r>
        </w:p>
        <w:p w:rsidR="00A76B53" w:rsidRDefault="00A76B53" w14:paraId="669425DA" w14:textId="77777777"/>
        <w:p w:rsidR="00A76B53" w:rsidRDefault="006A2009" w14:paraId="796A1A4E" w14:textId="2938CE93">
          <w:r>
            <w:t>In het wetsvoorstel</w:t>
          </w:r>
          <w:r w:rsidR="00A76B53">
            <w:t xml:space="preserve"> word</w:t>
          </w:r>
          <w:r w:rsidR="00382698">
            <w:t xml:space="preserve">en de </w:t>
          </w:r>
          <w:r w:rsidR="00E152AF">
            <w:t xml:space="preserve">nationale en sectorale mestplafonds </w:t>
          </w:r>
          <w:r w:rsidR="00DB5246">
            <w:t>verlaagd</w:t>
          </w:r>
          <w:r>
            <w:t xml:space="preserve"> vastgesteld. Voorts word</w:t>
          </w:r>
          <w:r w:rsidR="0015732F">
            <w:t xml:space="preserve">t een regeling getroffen voor afroming </w:t>
          </w:r>
          <w:r w:rsidR="002A7314">
            <w:t xml:space="preserve">bij overdracht </w:t>
          </w:r>
          <w:r w:rsidR="0015732F">
            <w:t xml:space="preserve">van </w:t>
          </w:r>
          <w:r w:rsidR="002A7314">
            <w:t xml:space="preserve">varkens- en pluimveerechten </w:t>
          </w:r>
          <w:r w:rsidR="00013212">
            <w:t xml:space="preserve">met </w:t>
          </w:r>
          <w:r w:rsidR="006119BB">
            <w:t xml:space="preserve">30% en wordt de bestaande afroming van fosfaatrechten bij melkvee verhoogd van 10% naar 30%. </w:t>
          </w:r>
        </w:p>
        <w:p w:rsidR="00B651D5" w:rsidRDefault="00B651D5" w14:paraId="5909FC30" w14:textId="77777777"/>
        <w:p w:rsidR="00460C39" w:rsidP="00460C39" w:rsidRDefault="00B651D5" w14:paraId="6F5ABB61" w14:textId="73307453">
          <w:r>
            <w:t xml:space="preserve">De Afdeling </w:t>
          </w:r>
          <w:r w:rsidR="00CB23DA">
            <w:t>advisering van de Raad van State</w:t>
          </w:r>
          <w:r>
            <w:t xml:space="preserve"> merkt op dat </w:t>
          </w:r>
          <w:r w:rsidR="000E3FA9">
            <w:t>op dit moment onvoldoende zeker</w:t>
          </w:r>
          <w:r w:rsidR="00BE299E">
            <w:t xml:space="preserve"> is of de voorgestelde afromingsmaatregelen </w:t>
          </w:r>
          <w:r w:rsidR="00A639B8">
            <w:t xml:space="preserve">op zich </w:t>
          </w:r>
          <w:r w:rsidR="00BE299E">
            <w:t xml:space="preserve">toereikend zijn om </w:t>
          </w:r>
          <w:r w:rsidR="001008B5">
            <w:t xml:space="preserve">de mestproductie in 2025 </w:t>
          </w:r>
          <w:r w:rsidR="00BE299E">
            <w:t xml:space="preserve">te kunnen </w:t>
          </w:r>
          <w:r w:rsidR="001008B5">
            <w:t>reduceren tot onder</w:t>
          </w:r>
          <w:r w:rsidR="00BE299E">
            <w:t xml:space="preserve"> het door de </w:t>
          </w:r>
          <w:r w:rsidR="001008B5">
            <w:t>C</w:t>
          </w:r>
          <w:r w:rsidR="00BE299E">
            <w:t>ommissie</w:t>
          </w:r>
          <w:r w:rsidR="001008B5">
            <w:t xml:space="preserve"> in de derogatiebeschikking</w:t>
          </w:r>
          <w:r w:rsidR="00BE299E">
            <w:t xml:space="preserve"> gestelde mestplafond.</w:t>
          </w:r>
          <w:r w:rsidR="00460C39">
            <w:t xml:space="preserve"> De Afdeling adviseert </w:t>
          </w:r>
          <w:r w:rsidR="00A2653F">
            <w:t>daar</w:t>
          </w:r>
          <w:r w:rsidR="00460C39">
            <w:t xml:space="preserve">om dragend te motiveren dat de voorgestelde afromingsmaatregelen toereikend zijn om de noodzakelijke vermindering van stikstof- en fosfaatexcretie in 2025 te realiseren, bijvoorbeeld door inzichtelijk te maken welke andere </w:t>
          </w:r>
          <w:r w:rsidR="00C25A76">
            <w:t xml:space="preserve">bestaande </w:t>
          </w:r>
          <w:r w:rsidR="00460C39">
            <w:t xml:space="preserve">maatregelen bijdragen aan de vereiste vermindering. Indien die motivering niet kan worden gegeven, adviseert de Afdeling om inzichtelijk te maken welke </w:t>
          </w:r>
          <w:r w:rsidR="00C25A76">
            <w:t xml:space="preserve">aanvullende </w:t>
          </w:r>
          <w:r w:rsidR="00460C39">
            <w:t xml:space="preserve">maatregelen genomen worden om de mestproductie </w:t>
          </w:r>
          <w:r w:rsidR="00BD02F7">
            <w:t xml:space="preserve">ultimo 2025 </w:t>
          </w:r>
          <w:r w:rsidR="00460C39">
            <w:t>tot onder het mestplafond te laten zakken.</w:t>
          </w:r>
        </w:p>
        <w:p w:rsidR="00B651D5" w:rsidRDefault="00B651D5" w14:paraId="21D5E97A" w14:textId="06D3651D"/>
        <w:p w:rsidR="009C442E" w:rsidP="007A3E07" w:rsidRDefault="00F25196" w14:paraId="215C5C64" w14:textId="7DCC6B9C">
          <w:r>
            <w:t>V</w:t>
          </w:r>
          <w:r w:rsidR="006D1B87">
            <w:t>e</w:t>
          </w:r>
          <w:r>
            <w:t>r</w:t>
          </w:r>
          <w:r w:rsidR="006D1B87">
            <w:t>der</w:t>
          </w:r>
          <w:r>
            <w:t xml:space="preserve"> merkt de Afdeling op dat tussen de sectoren melkvee, varkens en pluimvee aanzienlijke verschillen bestaan in de hoeveelheden waarmee de mestproductie de voorgestelde sectorale waarden voor de mestplafonds in 2025 overschrijdt. Hoewel de mestplafonds voor alle drie de sectoren met eenzelfde </w:t>
          </w:r>
          <w:r>
            <w:lastRenderedPageBreak/>
            <w:t xml:space="preserve">percentage worden verlaagd, zijn de verschillen in de reductieopgaven tussen de sectoren zowel in absolute als in relatieve zin aanzienlijk. </w:t>
          </w:r>
        </w:p>
        <w:p w:rsidR="009C442E" w:rsidP="007A3E07" w:rsidRDefault="009C442E" w14:paraId="34A68B99" w14:textId="77777777"/>
        <w:p w:rsidR="007A3E07" w:rsidP="007A3E07" w:rsidRDefault="007A3E07" w14:paraId="58681F6B" w14:textId="698FDBB6">
          <w:r>
            <w:t xml:space="preserve">Uit de toelichting blijkt echter niet dat de hoogte van het voorgestelde afromingspercentage is afgestemd op de te bereiken reductie in mestproductie per sector. </w:t>
          </w:r>
          <w:r w:rsidR="00DA03EA">
            <w:t xml:space="preserve">In het licht van de inmenging </w:t>
          </w:r>
          <w:r w:rsidR="00CA0898">
            <w:t>in</w:t>
          </w:r>
          <w:r w:rsidR="007F1B4E">
            <w:t xml:space="preserve"> het eigendomsrecht is v</w:t>
          </w:r>
          <w:r>
            <w:t>oor een beoordeling van de proportionaliteit van de maatregel voor de verschillende sectoren dat inzicht wel nodig</w:t>
          </w:r>
          <w:r w:rsidR="007F1B4E">
            <w:t>.</w:t>
          </w:r>
          <w:r w:rsidR="00B42A51">
            <w:t xml:space="preserve"> </w:t>
          </w:r>
          <w:r>
            <w:t xml:space="preserve">De Afdeling adviseert </w:t>
          </w:r>
          <w:r w:rsidR="00DA03EA">
            <w:t xml:space="preserve">dit in de </w:t>
          </w:r>
          <w:r>
            <w:t xml:space="preserve">toelichting </w:t>
          </w:r>
          <w:r w:rsidR="00DA03EA">
            <w:t>dragend te motiveren.</w:t>
          </w:r>
        </w:p>
        <w:p w:rsidR="00F25196" w:rsidP="00F25196" w:rsidRDefault="00F25196" w14:paraId="23F70AD2" w14:textId="4716FF29"/>
        <w:p w:rsidR="00F25196" w:rsidP="00F25196" w:rsidRDefault="002F285E" w14:paraId="55D1A2A7" w14:textId="556D0EA2">
          <w:r w:rsidRPr="002F285E">
            <w:t xml:space="preserve">In </w:t>
          </w:r>
          <w:r w:rsidR="008E36D0">
            <w:t xml:space="preserve">verband </w:t>
          </w:r>
          <w:r w:rsidR="00976503">
            <w:t xml:space="preserve">met </w:t>
          </w:r>
          <w:r w:rsidRPr="002F285E">
            <w:t>deze opmerkingen dient het wetsvoorstel nader te worden overwogen.</w:t>
          </w:r>
        </w:p>
        <w:p w:rsidR="0095586A" w:rsidP="00F25196" w:rsidRDefault="0095586A" w14:paraId="48AFCF2B" w14:textId="77777777"/>
        <w:p w:rsidRPr="002A4723" w:rsidR="008D0E8E" w:rsidP="002A4723" w:rsidRDefault="00096A7D" w14:paraId="03BB4B2B" w14:textId="782CB437">
          <w:pPr>
            <w:pStyle w:val="Lijstalinea"/>
            <w:numPr>
              <w:ilvl w:val="0"/>
              <w:numId w:val="2"/>
            </w:numPr>
            <w:ind w:hanging="720"/>
          </w:pPr>
          <w:r w:rsidRPr="002A4723">
            <w:rPr>
              <w:u w:val="single"/>
            </w:rPr>
            <w:t>Context</w:t>
          </w:r>
        </w:p>
        <w:p w:rsidR="002A4723" w:rsidP="002A4723" w:rsidRDefault="002A4723" w14:paraId="51406E47" w14:textId="77777777"/>
        <w:p w:rsidR="002A4723" w:rsidP="002A4723" w:rsidRDefault="002A4723" w14:paraId="4DD3970C" w14:textId="3A44350A">
          <w:r>
            <w:t>De Nitraatrichtlijn heeft tot doel de waterverontreiniging die wordt veroorzaakt door nitraten uit agrarische bronnen te verminderen en verdere verontreiniging te voorkomen.</w:t>
          </w:r>
          <w:r>
            <w:rPr>
              <w:rStyle w:val="Voetnootmarkering"/>
            </w:rPr>
            <w:footnoteReference w:id="4"/>
          </w:r>
          <w:r>
            <w:t xml:space="preserve"> </w:t>
          </w:r>
          <w:r w:rsidR="00DB612B">
            <w:t xml:space="preserve">De lidstaten stellen iedere vier jaar een actieprogramma vast met maatregelen ter bereiking </w:t>
          </w:r>
          <w:r w:rsidR="001825DF">
            <w:t>van</w:t>
          </w:r>
          <w:r w:rsidR="00DB612B">
            <w:t xml:space="preserve"> </w:t>
          </w:r>
          <w:r w:rsidR="001825DF">
            <w:t>deze doelstelling</w:t>
          </w:r>
          <w:r w:rsidR="0042327F">
            <w:t>en</w:t>
          </w:r>
          <w:r w:rsidR="001825DF">
            <w:t>.</w:t>
          </w:r>
          <w:r w:rsidR="001825DF">
            <w:rPr>
              <w:rStyle w:val="Voetnootmarkering"/>
            </w:rPr>
            <w:footnoteReference w:id="5"/>
          </w:r>
          <w:r w:rsidR="001825DF">
            <w:t xml:space="preserve"> </w:t>
          </w:r>
          <w:r>
            <w:t xml:space="preserve">In de Nitraatrichtlijn is onder meer bepaald dat niet meer dierlijke mest dan </w:t>
          </w:r>
          <w:r w:rsidR="009E20A4">
            <w:t xml:space="preserve">de hoeveelheid </w:t>
          </w:r>
          <w:r w:rsidR="004B782A">
            <w:t xml:space="preserve">die </w:t>
          </w:r>
          <w:r>
            <w:t>170 kg</w:t>
          </w:r>
          <w:r w:rsidR="004B782A">
            <w:t xml:space="preserve"> stikstof bevat</w:t>
          </w:r>
          <w:r w:rsidR="00C12253">
            <w:t>,</w:t>
          </w:r>
          <w:r w:rsidR="004B782A">
            <w:t xml:space="preserve"> per </w:t>
          </w:r>
          <w:r>
            <w:t>h</w:t>
          </w:r>
          <w:r w:rsidR="00237C53">
            <w:t>ectare per jaar</w:t>
          </w:r>
          <w:r w:rsidR="00C12253">
            <w:t>,</w:t>
          </w:r>
          <w:r>
            <w:t xml:space="preserve"> op of in de bodem mag worden gebracht. De Europese Commissie kan op verzoek van een lidstaat toestaan dat van deze norm wordt afgeweken</w:t>
          </w:r>
          <w:r w:rsidR="008F728B">
            <w:t xml:space="preserve">, mits geen afbreuk wordt gedaan </w:t>
          </w:r>
          <w:r w:rsidR="0042327F">
            <w:t>aan het bereiken van voornoemde doelstellingen</w:t>
          </w:r>
          <w:r>
            <w:t>.</w:t>
          </w:r>
          <w:r>
            <w:rPr>
              <w:rStyle w:val="Voetnootmarkering"/>
            </w:rPr>
            <w:footnoteReference w:id="6"/>
          </w:r>
          <w:r>
            <w:t xml:space="preserve"> Een besluit tot afwijking wordt een derogatie genoemd. </w:t>
          </w:r>
          <w:r w:rsidR="00796849">
            <w:t>De derogatie mag alleen worden toegepast op mest van graasdieren.</w:t>
          </w:r>
        </w:p>
        <w:p w:rsidR="002A4723" w:rsidP="002A4723" w:rsidRDefault="002A4723" w14:paraId="4956913C" w14:textId="77777777"/>
        <w:p w:rsidR="002A4723" w:rsidP="002A4723" w:rsidRDefault="002A4723" w14:paraId="190E8E87" w14:textId="5847AA29">
          <w:r>
            <w:t>Vanaf 2005 heeft de Commissie op verzoek van Nederland een aantal keer besloten tot het verlenen van de gevraagde derogatie</w:t>
          </w:r>
          <w:r w:rsidR="005B763D">
            <w:t>, waaraan steeds de nodige voorwaarden zijn gesteld die ook in nationale wetgeving moesten worden en zijn opgenomen</w:t>
          </w:r>
          <w:r>
            <w:t xml:space="preserve">. </w:t>
          </w:r>
          <w:r w:rsidR="004805FB">
            <w:t xml:space="preserve">De derogatiebeschikking </w:t>
          </w:r>
          <w:r w:rsidR="008D49B4">
            <w:t>die het besluit beoogt te implementeren</w:t>
          </w:r>
          <w:r>
            <w:t xml:space="preserve"> dateert van 30</w:t>
          </w:r>
          <w:r w:rsidR="00A43BD6">
            <w:t> </w:t>
          </w:r>
          <w:r w:rsidR="003649A4">
            <w:t>septem</w:t>
          </w:r>
          <w:r>
            <w:t>ber</w:t>
          </w:r>
          <w:r w:rsidR="00A43BD6">
            <w:t> </w:t>
          </w:r>
          <w:r>
            <w:t>2022. Eén van de voorwaarden aan dit besluit is dat de</w:t>
          </w:r>
          <w:r w:rsidR="009279F4">
            <w:t xml:space="preserve"> totale</w:t>
          </w:r>
          <w:r>
            <w:t xml:space="preserve"> in Nederland geproduceerde mest geleidelijk afneemt en in 2025 niet meer dan 440 miljoen kg stikstof en 135 miljoen kg fosfaat teweegbrengt.</w:t>
          </w:r>
          <w:r>
            <w:rPr>
              <w:rStyle w:val="Voetnootmarkering"/>
            </w:rPr>
            <w:footnoteReference w:id="7"/>
          </w:r>
        </w:p>
        <w:p w:rsidRPr="002A4723" w:rsidR="005A0198" w:rsidP="005A0198" w:rsidRDefault="005A0198" w14:paraId="0E68CD4F" w14:textId="77777777"/>
        <w:p w:rsidRPr="005A0198" w:rsidR="002A4723" w:rsidP="002A4723" w:rsidRDefault="005A0198" w14:paraId="14B73BBF" w14:textId="7C0F6C98">
          <w:pPr>
            <w:pStyle w:val="Lijstalinea"/>
            <w:numPr>
              <w:ilvl w:val="0"/>
              <w:numId w:val="2"/>
            </w:numPr>
            <w:ind w:hanging="720"/>
          </w:pPr>
          <w:r>
            <w:rPr>
              <w:u w:val="single"/>
            </w:rPr>
            <w:t>Inhoud van het wetsvoorstel</w:t>
          </w:r>
        </w:p>
        <w:p w:rsidR="005A0198" w:rsidP="005A0198" w:rsidRDefault="005A0198" w14:paraId="15476E96" w14:textId="77777777"/>
        <w:p w:rsidR="00007A03" w:rsidP="005A0198" w:rsidRDefault="000837EE" w14:paraId="53EEEDDE" w14:textId="444DB3CB">
          <w:r>
            <w:t xml:space="preserve">Met het </w:t>
          </w:r>
          <w:r w:rsidR="00B835D5">
            <w:t>wets</w:t>
          </w:r>
          <w:r>
            <w:t xml:space="preserve">voorstel wordt uitvoering gegeven aan de </w:t>
          </w:r>
          <w:r w:rsidR="00EF778D">
            <w:t xml:space="preserve">hiervoor genoemde voorwaarde </w:t>
          </w:r>
          <w:r w:rsidR="008D1FF6">
            <w:t>in de derogatiebeschikking</w:t>
          </w:r>
          <w:r w:rsidR="00786D19">
            <w:t>,</w:t>
          </w:r>
          <w:r w:rsidR="008D1FF6">
            <w:t xml:space="preserve"> </w:t>
          </w:r>
          <w:r w:rsidR="00E45F61">
            <w:t>inzake</w:t>
          </w:r>
          <w:r w:rsidR="00EF778D">
            <w:t xml:space="preserve"> de maximale mestproductie in Nederland</w:t>
          </w:r>
          <w:r w:rsidR="008B1093">
            <w:t xml:space="preserve"> in 2025</w:t>
          </w:r>
          <w:r w:rsidR="00EF778D">
            <w:t>.</w:t>
          </w:r>
          <w:r w:rsidR="006442BE">
            <w:t xml:space="preserve"> Daartoe wordt </w:t>
          </w:r>
          <w:r w:rsidR="00C54509">
            <w:t xml:space="preserve">de totale omvang van de </w:t>
          </w:r>
          <w:r w:rsidR="00AD3CF0">
            <w:t>productie van dierlijke meststoffen per kalenderjaar</w:t>
          </w:r>
          <w:r w:rsidR="00F062D8">
            <w:t xml:space="preserve"> (</w:t>
          </w:r>
          <w:r w:rsidR="000E0F36">
            <w:t xml:space="preserve">het </w:t>
          </w:r>
          <w:r w:rsidR="00F062D8">
            <w:t>mestplafond)</w:t>
          </w:r>
          <w:r w:rsidR="00AD3CF0">
            <w:t>, uitgedrukt in fo</w:t>
          </w:r>
          <w:r w:rsidR="000F3F1F">
            <w:t>sfaat</w:t>
          </w:r>
          <w:r w:rsidR="00871B71">
            <w:t>,</w:t>
          </w:r>
          <w:r w:rsidR="000F3F1F">
            <w:t xml:space="preserve"> </w:t>
          </w:r>
          <w:r w:rsidR="00933C79">
            <w:lastRenderedPageBreak/>
            <w:t>gemaximeerd op ten</w:t>
          </w:r>
          <w:r w:rsidR="000F3F1F">
            <w:t xml:space="preserve"> hoogste </w:t>
          </w:r>
          <w:r w:rsidR="00703E4A">
            <w:t>135,0</w:t>
          </w:r>
          <w:r w:rsidR="001A0114">
            <w:t> </w:t>
          </w:r>
          <w:r w:rsidR="00703E4A">
            <w:t>miljoen</w:t>
          </w:r>
          <w:r w:rsidR="001A0114">
            <w:t> </w:t>
          </w:r>
          <w:r w:rsidR="00703E4A">
            <w:t xml:space="preserve">kg, en uitgedrukt in </w:t>
          </w:r>
          <w:r w:rsidR="002B411B">
            <w:t xml:space="preserve">stikstof </w:t>
          </w:r>
          <w:r w:rsidR="00E73A5E">
            <w:t>op</w:t>
          </w:r>
          <w:r w:rsidR="002B411B">
            <w:t xml:space="preserve"> ten hoogste 440,0</w:t>
          </w:r>
          <w:r w:rsidR="001A0114">
            <w:t> </w:t>
          </w:r>
          <w:r w:rsidR="002B411B">
            <w:t>miljoen</w:t>
          </w:r>
          <w:r w:rsidR="001A0114">
            <w:t> </w:t>
          </w:r>
          <w:r w:rsidR="002B411B">
            <w:t>k</w:t>
          </w:r>
          <w:r w:rsidR="00E73A5E">
            <w:t>g</w:t>
          </w:r>
          <w:r w:rsidR="002B411B">
            <w:t>.</w:t>
          </w:r>
          <w:r w:rsidR="0096437C">
            <w:rPr>
              <w:rStyle w:val="Voetnootmarkering"/>
            </w:rPr>
            <w:footnoteReference w:id="8"/>
          </w:r>
          <w:r w:rsidR="00477CB9">
            <w:t xml:space="preserve"> </w:t>
          </w:r>
          <w:r w:rsidR="00723D9A">
            <w:t xml:space="preserve">Het </w:t>
          </w:r>
          <w:r w:rsidR="001809F2">
            <w:t>wets</w:t>
          </w:r>
          <w:r w:rsidR="00723D9A">
            <w:t xml:space="preserve">voorstel </w:t>
          </w:r>
          <w:r w:rsidR="005E2EE3">
            <w:t>h</w:t>
          </w:r>
          <w:r w:rsidR="00D96A11">
            <w:t xml:space="preserve">eeft een beperkte reikwijdte, in die zin dat het </w:t>
          </w:r>
          <w:r w:rsidR="00723D9A">
            <w:t xml:space="preserve">enkel </w:t>
          </w:r>
          <w:r w:rsidR="00D96A11">
            <w:t xml:space="preserve">beoogt tijdig </w:t>
          </w:r>
          <w:r w:rsidR="00C76A64">
            <w:t xml:space="preserve">uitvoering te geven aan </w:t>
          </w:r>
          <w:r w:rsidRPr="009656B3" w:rsidR="00703D33">
            <w:t>de in de derogatiebeschikking gestelde voorwaarde over</w:t>
          </w:r>
          <w:r w:rsidR="000C64EE">
            <w:t xml:space="preserve"> de productie van</w:t>
          </w:r>
          <w:r w:rsidRPr="009656B3" w:rsidR="00703D33">
            <w:t xml:space="preserve"> de maximaal toegestane totale hoeveelheid dierlijke meststoffen. </w:t>
          </w:r>
          <w:r w:rsidR="0063276A">
            <w:t xml:space="preserve">De overige </w:t>
          </w:r>
          <w:r w:rsidR="00BF295F">
            <w:t>onderdelen</w:t>
          </w:r>
          <w:r w:rsidR="0063276A">
            <w:t xml:space="preserve"> </w:t>
          </w:r>
          <w:r w:rsidR="00207C4B">
            <w:t>uit de derogatiebeschikking worden niet in dit voorstel geregeld.</w:t>
          </w:r>
        </w:p>
        <w:p w:rsidR="007D3457" w:rsidP="005A0198" w:rsidRDefault="007D3457" w14:paraId="2B49BC40" w14:textId="77777777"/>
        <w:p w:rsidR="00847469" w:rsidP="005A0198" w:rsidRDefault="00477CB9" w14:paraId="1831B492" w14:textId="3C3A7FE8">
          <w:r>
            <w:t>De derogatiebeschikking stelt geen</w:t>
          </w:r>
          <w:r w:rsidR="00E90202">
            <w:t xml:space="preserve"> </w:t>
          </w:r>
          <w:r w:rsidR="007142D1">
            <w:t>mestproductieplafonds</w:t>
          </w:r>
          <w:r w:rsidR="00E90202">
            <w:t xml:space="preserve"> voor de afzonderlijke s</w:t>
          </w:r>
          <w:r w:rsidR="00AA7259">
            <w:t>ectoren melkvee, varkens en pluimvee. De Meststoffenwet stelt wel</w:t>
          </w:r>
          <w:r w:rsidR="00064651">
            <w:t xml:space="preserve"> mestproductieplafonds voor de sectoren</w:t>
          </w:r>
          <w:r w:rsidR="00AA7259">
            <w:t>.</w:t>
          </w:r>
          <w:r w:rsidR="00E742C5">
            <w:rPr>
              <w:rStyle w:val="Voetnootmarkering"/>
            </w:rPr>
            <w:footnoteReference w:id="9"/>
          </w:r>
          <w:r w:rsidR="00AA7259">
            <w:t xml:space="preserve"> </w:t>
          </w:r>
          <w:r w:rsidR="00007A03">
            <w:t>Omdat de som van d</w:t>
          </w:r>
          <w:r w:rsidR="003460EA">
            <w:t xml:space="preserve">e maximale mestproductie per sector niet hoger mag zijn dan de </w:t>
          </w:r>
          <w:r w:rsidR="00DD7D06">
            <w:t xml:space="preserve">toegestane maximale </w:t>
          </w:r>
          <w:r w:rsidR="003460EA">
            <w:t xml:space="preserve">nationale </w:t>
          </w:r>
          <w:r w:rsidR="00DD7D06">
            <w:t>mestproductie</w:t>
          </w:r>
          <w:r w:rsidR="00847469">
            <w:t xml:space="preserve"> word</w:t>
          </w:r>
          <w:r w:rsidR="00BA0FF2">
            <w:t>en</w:t>
          </w:r>
          <w:r w:rsidR="00DD7D06">
            <w:t xml:space="preserve"> in het voorstel</w:t>
          </w:r>
          <w:r w:rsidR="00BA0FF2">
            <w:t xml:space="preserve"> de in de</w:t>
          </w:r>
          <w:r w:rsidR="0036410D">
            <w:t xml:space="preserve"> Meststoffenwet </w:t>
          </w:r>
          <w:r w:rsidR="00E73651">
            <w:t>voor de sectoren melkvee, varkens en pluimvee opgenomen mest</w:t>
          </w:r>
          <w:r w:rsidR="00FD7771">
            <w:t>productie</w:t>
          </w:r>
          <w:r w:rsidR="00E73651">
            <w:t xml:space="preserve">plafonds </w:t>
          </w:r>
          <w:r w:rsidR="00B9272A">
            <w:t>verlaagd met hetzelfde percentage als waarmee het nationale mest</w:t>
          </w:r>
          <w:r w:rsidR="00FD7771">
            <w:t>productie</w:t>
          </w:r>
          <w:r w:rsidR="00B9272A">
            <w:t>plafond</w:t>
          </w:r>
          <w:r>
            <w:t xml:space="preserve"> voor fosfaat en stikstof</w:t>
          </w:r>
          <w:r w:rsidR="00FD7771">
            <w:t xml:space="preserve"> </w:t>
          </w:r>
          <w:r w:rsidR="001972F2">
            <w:t>wordt</w:t>
          </w:r>
          <w:r w:rsidR="00FD7771">
            <w:t xml:space="preserve"> verlaagd</w:t>
          </w:r>
          <w:r>
            <w:t>.</w:t>
          </w:r>
          <w:r w:rsidR="00777C39">
            <w:rPr>
              <w:rStyle w:val="Voetnootmarkering"/>
            </w:rPr>
            <w:footnoteReference w:id="10"/>
          </w:r>
        </w:p>
        <w:p w:rsidR="00625D76" w:rsidP="005A0198" w:rsidRDefault="00625D76" w14:paraId="1B95E4F2" w14:textId="77777777"/>
        <w:p w:rsidR="00C66CF2" w:rsidP="005A0198" w:rsidRDefault="007630ED" w14:paraId="30A34202" w14:textId="69D2953C">
          <w:r>
            <w:t>Het wetsvoorstel voorziet v</w:t>
          </w:r>
          <w:r w:rsidR="0092414E">
            <w:t>erder</w:t>
          </w:r>
          <w:r>
            <w:t xml:space="preserve"> </w:t>
          </w:r>
          <w:r w:rsidR="0098344C">
            <w:t xml:space="preserve">in maatregelen om </w:t>
          </w:r>
          <w:r w:rsidR="002A41B4">
            <w:t xml:space="preserve">te voorkomen dat de mestproductie de </w:t>
          </w:r>
          <w:r w:rsidR="00A30F65">
            <w:t xml:space="preserve">mestproductieplafonds </w:t>
          </w:r>
          <w:r w:rsidR="002A41B4">
            <w:t>voor 2025 (nationaal en sectoraal) overschrijdt.</w:t>
          </w:r>
          <w:r w:rsidR="00092462">
            <w:t xml:space="preserve"> Daartoe voorziet het voorstel</w:t>
          </w:r>
          <w:r>
            <w:t xml:space="preserve"> in een regeling voor afroming van productierechten voor varkens en pluimvee</w:t>
          </w:r>
          <w:r w:rsidR="00C25C39">
            <w:t xml:space="preserve"> met 30% bij </w:t>
          </w:r>
          <w:r w:rsidR="00FB2299">
            <w:t>losse overdracht</w:t>
          </w:r>
          <w:r w:rsidR="00C25C39">
            <w:t xml:space="preserve"> van productierechten of in het geval van bedrijf</w:t>
          </w:r>
          <w:r w:rsidR="00FB2299">
            <w:t>soverdracht.</w:t>
          </w:r>
          <w:r w:rsidR="00753A5B">
            <w:rPr>
              <w:rStyle w:val="Voetnootmarkering"/>
            </w:rPr>
            <w:footnoteReference w:id="11"/>
          </w:r>
          <w:r w:rsidR="00036E7E">
            <w:t xml:space="preserve"> </w:t>
          </w:r>
          <w:r w:rsidR="00C03D06">
            <w:t xml:space="preserve">Ook </w:t>
          </w:r>
          <w:r w:rsidR="00036E7E">
            <w:t xml:space="preserve">wordt de (al bestaande) afroming </w:t>
          </w:r>
          <w:r w:rsidR="008B1725">
            <w:t>van fosfaatrechten</w:t>
          </w:r>
          <w:r w:rsidR="00092462">
            <w:t xml:space="preserve"> </w:t>
          </w:r>
          <w:r w:rsidR="00364613">
            <w:t>bij</w:t>
          </w:r>
          <w:r w:rsidR="004F1379">
            <w:t xml:space="preserve"> melkvee </w:t>
          </w:r>
          <w:r w:rsidR="008B1725">
            <w:t>verhoogd van 10% naar 30%.</w:t>
          </w:r>
          <w:r w:rsidR="00B938BF">
            <w:rPr>
              <w:rStyle w:val="Voetnootmarkering"/>
            </w:rPr>
            <w:footnoteReference w:id="12"/>
          </w:r>
          <w:r w:rsidR="000A4009">
            <w:t xml:space="preserve"> Daarbij wordt voorzien in uitzonderingen op de afromings</w:t>
          </w:r>
          <w:r w:rsidR="000A1C95">
            <w:t>verplichting bij overdracht in familieverband en bij de lease van productierechten.</w:t>
          </w:r>
          <w:r w:rsidR="009A5952">
            <w:rPr>
              <w:rStyle w:val="Voetnootmarkering"/>
            </w:rPr>
            <w:footnoteReference w:id="13"/>
          </w:r>
        </w:p>
        <w:p w:rsidR="00FB5F81" w:rsidP="005A0198" w:rsidRDefault="00FB5F81" w14:paraId="30537CC7" w14:textId="77777777"/>
        <w:p w:rsidR="00FB5F81" w:rsidP="005A0198" w:rsidRDefault="00C63142" w14:paraId="17BA9E10" w14:textId="75D7BDC8">
          <w:r>
            <w:t xml:space="preserve">Ten slotte voorziet het </w:t>
          </w:r>
          <w:r w:rsidR="00C03D06">
            <w:t>wets</w:t>
          </w:r>
          <w:r>
            <w:t>voorstel in een delegatieregeling om</w:t>
          </w:r>
          <w:r w:rsidR="00A32A2F">
            <w:t xml:space="preserve"> de hoogte van de afromingspercentage</w:t>
          </w:r>
          <w:r w:rsidR="00F44660">
            <w:t>s</w:t>
          </w:r>
          <w:r w:rsidR="00A32A2F">
            <w:t xml:space="preserve"> in de toekomst bij a</w:t>
          </w:r>
          <w:r w:rsidR="003F42F3">
            <w:t xml:space="preserve">lgemene </w:t>
          </w:r>
          <w:r w:rsidR="00A32A2F">
            <w:t>m</w:t>
          </w:r>
          <w:r w:rsidR="003F42F3">
            <w:t xml:space="preserve">aatregel </w:t>
          </w:r>
          <w:r w:rsidR="00A32A2F">
            <w:t>v</w:t>
          </w:r>
          <w:r w:rsidR="003F42F3">
            <w:t xml:space="preserve">an </w:t>
          </w:r>
          <w:r w:rsidR="00A32A2F">
            <w:t>b</w:t>
          </w:r>
          <w:r w:rsidR="003F42F3">
            <w:t>estuur</w:t>
          </w:r>
          <w:r w:rsidR="00A32A2F">
            <w:t xml:space="preserve"> vast te stellen.</w:t>
          </w:r>
          <w:r w:rsidR="00A32A2F">
            <w:rPr>
              <w:rStyle w:val="Voetnootmarkering"/>
            </w:rPr>
            <w:footnoteReference w:id="14"/>
          </w:r>
        </w:p>
        <w:p w:rsidR="00C66CF2" w:rsidP="005A0198" w:rsidRDefault="00C66CF2" w14:paraId="5EAA7D87" w14:textId="77777777"/>
        <w:p w:rsidRPr="00FC7D26" w:rsidR="001E6EA2" w:rsidP="002A4723" w:rsidRDefault="001463F9" w14:paraId="41058F78" w14:textId="6C5F7E72">
          <w:pPr>
            <w:pStyle w:val="Lijstalinea"/>
            <w:numPr>
              <w:ilvl w:val="0"/>
              <w:numId w:val="2"/>
            </w:numPr>
            <w:ind w:hanging="720"/>
          </w:pPr>
          <w:proofErr w:type="spellStart"/>
          <w:r>
            <w:rPr>
              <w:u w:val="single"/>
            </w:rPr>
            <w:t>Toereikendheid</w:t>
          </w:r>
          <w:proofErr w:type="spellEnd"/>
          <w:r>
            <w:rPr>
              <w:u w:val="single"/>
            </w:rPr>
            <w:t xml:space="preserve"> afromingsmaatregelen</w:t>
          </w:r>
        </w:p>
        <w:p w:rsidR="00FC7D26" w:rsidP="00FC7D26" w:rsidRDefault="00FC7D26" w14:paraId="06C91764" w14:textId="77777777"/>
        <w:p w:rsidR="00BD48F7" w:rsidP="00FC7D26" w:rsidRDefault="00BD48F7" w14:paraId="0FFC89C0" w14:textId="6825B34B">
          <w:r>
            <w:t xml:space="preserve">Volgens de toelichting is de verwachting van de regering dat het </w:t>
          </w:r>
          <w:r w:rsidR="00CD6B05">
            <w:t xml:space="preserve">in de derogatiebeschikking </w:t>
          </w:r>
          <w:r w:rsidR="002C198B">
            <w:t>opgelegde</w:t>
          </w:r>
          <w:r w:rsidR="00CD6B05">
            <w:t xml:space="preserve"> </w:t>
          </w:r>
          <w:r>
            <w:t xml:space="preserve">mestproductieplafond, zonder het treffen van </w:t>
          </w:r>
          <w:r>
            <w:lastRenderedPageBreak/>
            <w:t>aanvullende maatregelen, in 2025 overschre</w:t>
          </w:r>
          <w:r w:rsidR="001463F9">
            <w:t>d</w:t>
          </w:r>
          <w:r>
            <w:t>en wordt.</w:t>
          </w:r>
          <w:r w:rsidR="00E70C30">
            <w:rPr>
              <w:rStyle w:val="Voetnootmarkering"/>
            </w:rPr>
            <w:footnoteReference w:id="15"/>
          </w:r>
          <w:r w:rsidR="00E70C30">
            <w:t xml:space="preserve"> </w:t>
          </w:r>
          <w:r w:rsidR="00177586">
            <w:t>Om die reden voorziet het voorstel in een afromingsplicht bij overdracht van productierechten en bij bedrijfsoverdracht.</w:t>
          </w:r>
        </w:p>
        <w:p w:rsidR="00B935C8" w:rsidP="00FC7D26" w:rsidRDefault="00B935C8" w14:paraId="5E66E2BA" w14:textId="77777777"/>
        <w:p w:rsidR="00B935C8" w:rsidP="00FC7D26" w:rsidRDefault="00B935C8" w14:paraId="68B516AD" w14:textId="015C0FD9">
          <w:r>
            <w:t>De Afdeling merkt op dat de voorgestelde afromingsmaatregelen eerst in 2025 in werking zullen treden.</w:t>
          </w:r>
          <w:r w:rsidR="00D5677D">
            <w:t xml:space="preserve"> </w:t>
          </w:r>
          <w:r w:rsidR="0064612A">
            <w:t xml:space="preserve">Dat betekent dat </w:t>
          </w:r>
          <w:r w:rsidR="00985641">
            <w:t xml:space="preserve">de afromingsmaatregelen in één jaar tijd </w:t>
          </w:r>
          <w:r w:rsidR="00247DE4">
            <w:t xml:space="preserve">de mestproductie zodanig moeten reduceren dat </w:t>
          </w:r>
          <w:r w:rsidR="003E6369">
            <w:t>de totale mestproductie in Nederland onder het mestproductieplafond voor stikstof en fosfaat</w:t>
          </w:r>
          <w:r w:rsidR="00247DE4">
            <w:t xml:space="preserve"> uitkomt</w:t>
          </w:r>
          <w:r w:rsidR="003E6369">
            <w:t>.</w:t>
          </w:r>
        </w:p>
        <w:p w:rsidR="00982F6D" w:rsidP="00FC7D26" w:rsidRDefault="00982F6D" w14:paraId="627A5DCD" w14:textId="77777777"/>
        <w:p w:rsidR="0067713E" w:rsidP="00FC7D26" w:rsidRDefault="00982F6D" w14:paraId="0775F203" w14:textId="77777777">
          <w:r>
            <w:t xml:space="preserve">Dit roept de vraag op of de voorgestelde maatregelen daarvoor toereikend zijn. In dit verband wijst de Afdeling erop dat </w:t>
          </w:r>
          <w:r w:rsidR="00D95501">
            <w:t>in 2023 de uitscheiding van stikstof in dierlijke mest 464</w:t>
          </w:r>
          <w:r w:rsidR="00247DE4">
            <w:t> </w:t>
          </w:r>
          <w:r w:rsidR="00D95501">
            <w:t>miljoen</w:t>
          </w:r>
          <w:r w:rsidR="00247DE4">
            <w:t> </w:t>
          </w:r>
          <w:r w:rsidR="00D95501">
            <w:t>k</w:t>
          </w:r>
          <w:r w:rsidR="00735B9B">
            <w:t>g</w:t>
          </w:r>
          <w:r w:rsidR="00D95501">
            <w:t xml:space="preserve"> bedroeg. De fosfaatuitscheiding bedroeg 147</w:t>
          </w:r>
          <w:r w:rsidR="00247DE4">
            <w:t> </w:t>
          </w:r>
          <w:r w:rsidR="00D95501">
            <w:t>miljoen</w:t>
          </w:r>
          <w:r w:rsidR="00247DE4">
            <w:t> </w:t>
          </w:r>
          <w:r w:rsidR="00D95501">
            <w:t>k</w:t>
          </w:r>
          <w:r w:rsidR="00735B9B">
            <w:t>g</w:t>
          </w:r>
          <w:r w:rsidR="00D95501">
            <w:t>.</w:t>
          </w:r>
          <w:r w:rsidR="002822C4">
            <w:t xml:space="preserve"> </w:t>
          </w:r>
          <w:r w:rsidR="003F52E8">
            <w:t xml:space="preserve">Volgens de momentopname in het eerste kwartaal van 2024 </w:t>
          </w:r>
          <w:r w:rsidR="00F57359">
            <w:t xml:space="preserve">bedraagt </w:t>
          </w:r>
          <w:r w:rsidR="003F52E8">
            <w:t>de stikstofuitscheiding in 2024 ongeveer 468 miljoen kg en de fosfaatuitscheiding 147,5 miljoen kg.</w:t>
          </w:r>
          <w:r w:rsidR="003F52E8">
            <w:rPr>
              <w:rStyle w:val="Voetnootmarkering"/>
            </w:rPr>
            <w:footnoteReference w:id="16"/>
          </w:r>
          <w:r w:rsidR="003F52E8">
            <w:t xml:space="preserve"> </w:t>
          </w:r>
        </w:p>
        <w:p w:rsidR="00314BC8" w:rsidP="00FC7D26" w:rsidRDefault="00314BC8" w14:paraId="1ABE1C20" w14:textId="77777777"/>
        <w:p w:rsidR="00FF24D7" w:rsidP="00FC7D26" w:rsidRDefault="003F52E8" w14:paraId="6DEB6927" w14:textId="7EF121A7">
          <w:r>
            <w:t xml:space="preserve">Weliswaar </w:t>
          </w:r>
          <w:r w:rsidR="00314BC8">
            <w:t xml:space="preserve">is </w:t>
          </w:r>
          <w:r>
            <w:t>de onzekerheid in de prognose relatief groot, maar hieruit volgt wel indicatief dat de stikstofuitscheiding in 2025 met 28 miljoen kg moet worden verlaagd ten opzichte van 2024 en de fosfaatuitscheiding met 12,5 miljoen kg</w:t>
          </w:r>
          <w:r w:rsidR="00FE2FC3">
            <w:t>,</w:t>
          </w:r>
          <w:r w:rsidR="008A72CB">
            <w:t xml:space="preserve"> om te kunnen voldoen aan de in de derogatiebeschikking gestelde normen</w:t>
          </w:r>
          <w:r>
            <w:t xml:space="preserve">. </w:t>
          </w:r>
        </w:p>
        <w:p w:rsidR="00FF24D7" w:rsidP="00FC7D26" w:rsidRDefault="00FF24D7" w14:paraId="2D98177B" w14:textId="77777777"/>
        <w:p w:rsidR="00A93605" w:rsidP="00FC7D26" w:rsidRDefault="002822C4" w14:paraId="2F83EABB" w14:textId="4D576B13">
          <w:r>
            <w:t xml:space="preserve">Volgens de toelichting leidt het voorgestelde afromingspercentage </w:t>
          </w:r>
          <w:r w:rsidR="001A0150">
            <w:t xml:space="preserve">van 30% tot een verwachte afname van stikstofuitscheiding </w:t>
          </w:r>
          <w:r w:rsidR="00735B9B">
            <w:t>met 9,3</w:t>
          </w:r>
          <w:r w:rsidR="00247DE4">
            <w:t> </w:t>
          </w:r>
          <w:r w:rsidR="00735B9B">
            <w:t>miljoen</w:t>
          </w:r>
          <w:r w:rsidR="00247DE4">
            <w:t> </w:t>
          </w:r>
          <w:r w:rsidR="00735B9B">
            <w:t xml:space="preserve">kg en </w:t>
          </w:r>
          <w:r w:rsidR="009C5091">
            <w:t>van fosfaatuitscheiding met 3,6</w:t>
          </w:r>
          <w:r w:rsidR="00247DE4">
            <w:t> </w:t>
          </w:r>
          <w:r w:rsidR="009C5091">
            <w:t>miljoen</w:t>
          </w:r>
          <w:r w:rsidR="00247DE4">
            <w:t> </w:t>
          </w:r>
          <w:r w:rsidR="009C5091">
            <w:t>kg.</w:t>
          </w:r>
          <w:r w:rsidR="00F70EF6">
            <w:rPr>
              <w:rStyle w:val="Voetnootmarkering"/>
            </w:rPr>
            <w:footnoteReference w:id="17"/>
          </w:r>
          <w:r w:rsidR="003F52E8">
            <w:t xml:space="preserve"> Er blijft</w:t>
          </w:r>
          <w:r w:rsidR="0062494A">
            <w:t xml:space="preserve"> dus een opgave over voor verlaging van de stikstofuitscheiding met </w:t>
          </w:r>
          <w:r w:rsidR="00742F20">
            <w:t xml:space="preserve">ongeveer </w:t>
          </w:r>
          <w:r w:rsidR="000972E6">
            <w:t>15</w:t>
          </w:r>
          <w:r w:rsidR="00742F20">
            <w:t> </w:t>
          </w:r>
          <w:r w:rsidR="0081797D">
            <w:t>miljoen</w:t>
          </w:r>
          <w:r w:rsidR="003C2112">
            <w:t> </w:t>
          </w:r>
          <w:r w:rsidR="0081797D">
            <w:t xml:space="preserve">kg en fosfaatuitscheiding met </w:t>
          </w:r>
          <w:r w:rsidR="00742F20">
            <w:t>ongeveer 9</w:t>
          </w:r>
          <w:r w:rsidR="003C2112">
            <w:t> </w:t>
          </w:r>
          <w:r w:rsidR="006E0FD3">
            <w:t>miljoen</w:t>
          </w:r>
          <w:r w:rsidR="003C2112">
            <w:t> </w:t>
          </w:r>
          <w:r w:rsidR="006E0FD3">
            <w:t>kg.</w:t>
          </w:r>
        </w:p>
        <w:p w:rsidR="00CA27B3" w:rsidP="00FC7D26" w:rsidRDefault="00CA27B3" w14:paraId="3926F8B8" w14:textId="77777777"/>
        <w:p w:rsidR="001E7014" w:rsidP="00FC7D26" w:rsidRDefault="00A93605" w14:paraId="2E11B59D" w14:textId="77777777">
          <w:r>
            <w:t>Uit de toelichting volgt</w:t>
          </w:r>
          <w:r w:rsidR="00116E0E">
            <w:t xml:space="preserve"> niet</w:t>
          </w:r>
          <w:r>
            <w:t xml:space="preserve"> </w:t>
          </w:r>
          <w:r w:rsidR="00116E0E">
            <w:t xml:space="preserve">of, </w:t>
          </w:r>
          <w:r w:rsidR="00AB23EC">
            <w:t>en zo</w:t>
          </w:r>
          <w:r w:rsidR="00116E0E">
            <w:t xml:space="preserve"> ja</w:t>
          </w:r>
          <w:r w:rsidR="00AB23EC">
            <w:t xml:space="preserve"> welke</w:t>
          </w:r>
          <w:r w:rsidR="00116E0E">
            <w:t>,</w:t>
          </w:r>
          <w:r w:rsidR="00AB23EC">
            <w:t xml:space="preserve"> andere maatregelen worden getroffen om de stikstof- en fosfaatexcretie</w:t>
          </w:r>
          <w:r w:rsidR="0079568C">
            <w:t xml:space="preserve"> zodanig te verminderen dat in 2025 aan de</w:t>
          </w:r>
          <w:r w:rsidR="00C50F16">
            <w:t xml:space="preserve"> in de derogatiebeschikking gestelde voorwaarden wordt voldaan.</w:t>
          </w:r>
          <w:r w:rsidR="004739FE">
            <w:t xml:space="preserve"> </w:t>
          </w:r>
          <w:r w:rsidR="00CF6B6F">
            <w:t xml:space="preserve">Zonder dat inzicht kan niet worden beoordeeld of de </w:t>
          </w:r>
          <w:r w:rsidR="00867638">
            <w:t xml:space="preserve">voorgestelde afromingsmaatregelen toereikend zijn om </w:t>
          </w:r>
          <w:r w:rsidR="00350925">
            <w:t xml:space="preserve">aan </w:t>
          </w:r>
          <w:r w:rsidR="00867638">
            <w:t>die voorwaarden te voldoen.</w:t>
          </w:r>
          <w:r w:rsidR="00854440">
            <w:t xml:space="preserve"> We</w:t>
          </w:r>
          <w:r w:rsidR="005E0CCB">
            <w:t>l</w:t>
          </w:r>
          <w:r w:rsidR="00854440">
            <w:t xml:space="preserve"> wordt verwezen naar het Plan van aanpak mestmarkt</w:t>
          </w:r>
          <w:r w:rsidR="005E0CCB">
            <w:t>.</w:t>
          </w:r>
          <w:r w:rsidR="00892A1F">
            <w:rPr>
              <w:rStyle w:val="Voetnootmarkering"/>
            </w:rPr>
            <w:footnoteReference w:id="18"/>
          </w:r>
          <w:r w:rsidR="005E0CCB">
            <w:t xml:space="preserve"> D</w:t>
          </w:r>
          <w:r w:rsidR="00854440">
            <w:t xml:space="preserve">aarin </w:t>
          </w:r>
          <w:r w:rsidR="005E0CCB">
            <w:t xml:space="preserve">wordt </w:t>
          </w:r>
          <w:r w:rsidR="00D1487C">
            <w:t xml:space="preserve">de verwachting </w:t>
          </w:r>
          <w:r w:rsidR="005E0CCB">
            <w:t>u</w:t>
          </w:r>
          <w:r w:rsidR="00D1487C">
            <w:t>itgesproken dat de landelijke beëindigingsregelingen veehouderijen (</w:t>
          </w:r>
          <w:proofErr w:type="spellStart"/>
          <w:r w:rsidR="00D1487C">
            <w:t>Lbv</w:t>
          </w:r>
          <w:proofErr w:type="spellEnd"/>
          <w:r w:rsidR="00D1487C">
            <w:t xml:space="preserve"> en </w:t>
          </w:r>
          <w:proofErr w:type="spellStart"/>
          <w:r w:rsidR="00D1487C">
            <w:t>Lbv</w:t>
          </w:r>
          <w:proofErr w:type="spellEnd"/>
          <w:r w:rsidR="00D1487C">
            <w:t>-plus)</w:t>
          </w:r>
          <w:r w:rsidR="005E0CCB">
            <w:t xml:space="preserve"> naar verwachting zullen bijdragen aan een verlaging van de mestproductie.</w:t>
          </w:r>
          <w:r w:rsidR="001032D4">
            <w:t xml:space="preserve"> </w:t>
          </w:r>
        </w:p>
        <w:p w:rsidR="001E7014" w:rsidP="00FC7D26" w:rsidRDefault="001E7014" w14:paraId="7EBA88F3" w14:textId="77777777"/>
        <w:p w:rsidR="00A93605" w:rsidP="00FC7D26" w:rsidRDefault="001032D4" w14:paraId="34FC0645" w14:textId="694AF985">
          <w:r>
            <w:t>V</w:t>
          </w:r>
          <w:r w:rsidR="001E7014">
            <w:t>e</w:t>
          </w:r>
          <w:r>
            <w:t>r</w:t>
          </w:r>
          <w:r w:rsidR="001E7014">
            <w:t>der</w:t>
          </w:r>
          <w:r>
            <w:t xml:space="preserve"> staat daarin dat vanuit de melkveehouderij naar voren is gebracht dat door het verlagen van het aandeel ruw eiwit in het rantsoen ook de stikstof in </w:t>
          </w:r>
          <w:r>
            <w:lastRenderedPageBreak/>
            <w:t xml:space="preserve">rundveedrijfmest verlaagd kan worden. Daaruit blijkt echter onvoldoende concreet </w:t>
          </w:r>
          <w:r w:rsidR="004E4A44">
            <w:t xml:space="preserve">in welke mate dit bijdraagt aan verlaging van de mestproductie </w:t>
          </w:r>
          <w:r w:rsidR="00B33DE4">
            <w:t>onderscheiden naar stikstofexcretie en fosfaatexcretie.</w:t>
          </w:r>
        </w:p>
        <w:p w:rsidR="00DC1231" w:rsidP="00FC7D26" w:rsidRDefault="00DC1231" w14:paraId="2BD545BA" w14:textId="77777777"/>
        <w:p w:rsidR="00DC1231" w:rsidP="00FC7D26" w:rsidRDefault="00543B20" w14:paraId="6A6B56EC" w14:textId="5557C2FF">
          <w:r>
            <w:t>In dit verband</w:t>
          </w:r>
          <w:r w:rsidR="001A1C17">
            <w:t xml:space="preserve"> wijst de Afdeling erop dat </w:t>
          </w:r>
          <w:r w:rsidR="00EE28F3">
            <w:t xml:space="preserve">de </w:t>
          </w:r>
          <w:r w:rsidR="00081691">
            <w:t xml:space="preserve">in de derogatiebeschikking gestelde normen voor </w:t>
          </w:r>
          <w:r w:rsidR="00912A26">
            <w:t>stikstof en fosfaatexcretie</w:t>
          </w:r>
          <w:r w:rsidR="00081691">
            <w:t xml:space="preserve"> gelden voor het jaar 2025. Dit betekent dat </w:t>
          </w:r>
          <w:r w:rsidR="00912A26">
            <w:t>die normen in 2025 daadwerkelijk moeten worden gehaald.</w:t>
          </w:r>
          <w:r w:rsidR="00E836A9">
            <w:t xml:space="preserve"> </w:t>
          </w:r>
          <w:r w:rsidR="00DF555C">
            <w:t>Nu</w:t>
          </w:r>
          <w:r w:rsidR="00A14513">
            <w:t xml:space="preserve"> op dit mome</w:t>
          </w:r>
          <w:r w:rsidR="001A7DF9">
            <w:t>n</w:t>
          </w:r>
          <w:r w:rsidR="00A14513">
            <w:t xml:space="preserve">t </w:t>
          </w:r>
          <w:r w:rsidR="00AE3846">
            <w:t xml:space="preserve">onvoldoende zeker is dat de voorgestelde afromingsmaatregelen </w:t>
          </w:r>
          <w:r w:rsidR="00830D15">
            <w:t xml:space="preserve">op zich </w:t>
          </w:r>
          <w:r w:rsidR="00AE3846">
            <w:t xml:space="preserve">voldoende resultaat bieden, </w:t>
          </w:r>
          <w:r w:rsidR="00E1199C">
            <w:t xml:space="preserve">dienen </w:t>
          </w:r>
          <w:r w:rsidR="00A14513">
            <w:t xml:space="preserve">aanvullende maatregelen </w:t>
          </w:r>
          <w:r w:rsidR="00E1199C">
            <w:t xml:space="preserve">te </w:t>
          </w:r>
          <w:r w:rsidR="00A14513">
            <w:t>worde</w:t>
          </w:r>
          <w:r w:rsidR="00E263A7">
            <w:t xml:space="preserve">n genomen </w:t>
          </w:r>
          <w:r w:rsidR="0070611B">
            <w:t xml:space="preserve">om </w:t>
          </w:r>
          <w:r w:rsidR="00E263A7">
            <w:t>te verz</w:t>
          </w:r>
          <w:r w:rsidR="000136A6">
            <w:t>ekeren dat de noodzakelijke vermindering van stikstof- en fosfaatexcretie in 2025 wordt gerealiseerd.</w:t>
          </w:r>
        </w:p>
        <w:p w:rsidR="00574A11" w:rsidP="00FC7D26" w:rsidRDefault="00574A11" w14:paraId="1CA9B376" w14:textId="77777777"/>
        <w:p w:rsidR="00A5544F" w:rsidP="00FC7D26" w:rsidRDefault="000136A6" w14:paraId="54C7DFEC" w14:textId="1BC59524">
          <w:r>
            <w:t xml:space="preserve">De Afdeling adviseert </w:t>
          </w:r>
          <w:r w:rsidR="00AD177C">
            <w:t>om dragend te motiveren dat de voorgestelde afromingsmaatregelen toereikend zijn om de noodzakelijke vermindering van stikstof- en fosfaatexcretie in</w:t>
          </w:r>
          <w:r w:rsidDel="0052772C" w:rsidR="00AD177C">
            <w:t xml:space="preserve"> </w:t>
          </w:r>
          <w:r w:rsidR="00AD177C">
            <w:t>2025 te realiseren</w:t>
          </w:r>
          <w:r w:rsidR="00423AC6">
            <w:t>. Dat kan</w:t>
          </w:r>
          <w:r w:rsidR="00AE10B9">
            <w:t xml:space="preserve"> bijvoorbeeld door inzichtelijk te maken welke andere </w:t>
          </w:r>
          <w:r w:rsidR="00C25A76">
            <w:t xml:space="preserve">bestaande </w:t>
          </w:r>
          <w:r w:rsidR="00AE10B9">
            <w:t>maatregelen bijdragen aan de vereiste vermindering</w:t>
          </w:r>
          <w:r w:rsidR="00AD177C">
            <w:t xml:space="preserve">. Indien die motivering niet kan worden gegeven, </w:t>
          </w:r>
          <w:r w:rsidR="00923605">
            <w:t xml:space="preserve">adviseert de Afdeling om </w:t>
          </w:r>
          <w:r w:rsidR="00E92156">
            <w:t xml:space="preserve">inzichtelijk te maken welke </w:t>
          </w:r>
          <w:r w:rsidR="00C25A76">
            <w:t xml:space="preserve">aanvullende </w:t>
          </w:r>
          <w:r w:rsidR="00E92156">
            <w:t xml:space="preserve">maatregelen genomen </w:t>
          </w:r>
          <w:r w:rsidR="005F51BD">
            <w:t xml:space="preserve">worden om de mestproductie </w:t>
          </w:r>
          <w:r w:rsidR="00D206CB">
            <w:t>ultimo 2025</w:t>
          </w:r>
          <w:r w:rsidR="005F51BD">
            <w:t xml:space="preserve"> </w:t>
          </w:r>
          <w:r w:rsidR="00550531">
            <w:t>niet boven</w:t>
          </w:r>
          <w:r w:rsidR="005F51BD">
            <w:t xml:space="preserve"> het mestplafond</w:t>
          </w:r>
          <w:r w:rsidR="008E44B8">
            <w:t xml:space="preserve"> </w:t>
          </w:r>
          <w:r w:rsidR="00166797">
            <w:t xml:space="preserve">te laten </w:t>
          </w:r>
          <w:r w:rsidR="009F2DF9">
            <w:t>uitkomen</w:t>
          </w:r>
          <w:r w:rsidR="00923605">
            <w:t>.</w:t>
          </w:r>
          <w:r w:rsidR="00F75106">
            <w:t xml:space="preserve"> </w:t>
          </w:r>
        </w:p>
        <w:p w:rsidR="00A5544F" w:rsidP="00FC7D26" w:rsidRDefault="00A5544F" w14:paraId="04B1A2BA" w14:textId="77777777"/>
        <w:p w:rsidR="000136A6" w:rsidP="00FC7D26" w:rsidRDefault="00F75106" w14:paraId="2C06BB7A" w14:textId="4CE908DB">
          <w:r>
            <w:t>D</w:t>
          </w:r>
          <w:r w:rsidR="004D351E">
            <w:t xml:space="preserve">e motivering </w:t>
          </w:r>
          <w:r w:rsidR="000E6571">
            <w:t xml:space="preserve">van de </w:t>
          </w:r>
          <w:proofErr w:type="spellStart"/>
          <w:r w:rsidR="000E6571">
            <w:t>toereikendheid</w:t>
          </w:r>
          <w:proofErr w:type="spellEnd"/>
          <w:r w:rsidR="000E6571">
            <w:t xml:space="preserve"> </w:t>
          </w:r>
          <w:r>
            <w:t>is</w:t>
          </w:r>
          <w:r w:rsidR="006D19CF">
            <w:t xml:space="preserve"> temeer van belang in het licht van de</w:t>
          </w:r>
          <w:r w:rsidR="001B7BC8">
            <w:t xml:space="preserve"> evenredigheidstoets die </w:t>
          </w:r>
          <w:r w:rsidR="004D351E">
            <w:t>moet plaats vinden</w:t>
          </w:r>
          <w:r w:rsidR="008248BF">
            <w:t>,</w:t>
          </w:r>
          <w:r w:rsidR="004D351E">
            <w:t xml:space="preserve"> gelet op </w:t>
          </w:r>
          <w:r w:rsidR="007F26A6">
            <w:t xml:space="preserve">de </w:t>
          </w:r>
          <w:r w:rsidR="006D19CF">
            <w:t>inmenging in het eigendom</w:t>
          </w:r>
          <w:r w:rsidR="007F26A6">
            <w:t>s</w:t>
          </w:r>
          <w:r w:rsidR="006D19CF">
            <w:t xml:space="preserve">recht </w:t>
          </w:r>
          <w:r w:rsidR="00755F2A">
            <w:t>als gevolg van de afromingsmaatregelen</w:t>
          </w:r>
          <w:r w:rsidR="007F26A6">
            <w:t xml:space="preserve"> (zie</w:t>
          </w:r>
          <w:r w:rsidR="00074405">
            <w:t xml:space="preserve"> ook</w:t>
          </w:r>
          <w:r w:rsidR="007F26A6">
            <w:t xml:space="preserve"> </w:t>
          </w:r>
          <w:r w:rsidR="008F0EA5">
            <w:t>punt 4</w:t>
          </w:r>
          <w:r w:rsidR="007F26A6">
            <w:t>).</w:t>
          </w:r>
        </w:p>
        <w:p w:rsidRPr="001E6EA2" w:rsidR="0062494A" w:rsidP="00FC7D26" w:rsidRDefault="0062494A" w14:paraId="722B970D" w14:textId="77777777"/>
        <w:p w:rsidRPr="00326EBF" w:rsidR="001F2AEB" w:rsidP="002A4723" w:rsidRDefault="007D4C7E" w14:paraId="574CC114" w14:textId="5255FC56">
          <w:pPr>
            <w:pStyle w:val="Lijstalinea"/>
            <w:numPr>
              <w:ilvl w:val="0"/>
              <w:numId w:val="2"/>
            </w:numPr>
            <w:ind w:hanging="720"/>
          </w:pPr>
          <w:r>
            <w:rPr>
              <w:u w:val="single"/>
            </w:rPr>
            <w:t xml:space="preserve">Proportionaliteit </w:t>
          </w:r>
          <w:r w:rsidR="00BB2B4D">
            <w:rPr>
              <w:u w:val="single"/>
            </w:rPr>
            <w:t>afromingspercentage</w:t>
          </w:r>
          <w:r w:rsidR="00B2157B">
            <w:rPr>
              <w:u w:val="single"/>
            </w:rPr>
            <w:t xml:space="preserve"> op sectoraal </w:t>
          </w:r>
          <w:r w:rsidR="000C6EA4">
            <w:rPr>
              <w:u w:val="single"/>
            </w:rPr>
            <w:t>niveau</w:t>
          </w:r>
        </w:p>
        <w:p w:rsidR="00BB2B4D" w:rsidP="00BB2B4D" w:rsidRDefault="00BB2B4D" w14:paraId="37E0171F" w14:textId="77777777"/>
        <w:p w:rsidR="000A7DAA" w:rsidP="00BB2B4D" w:rsidRDefault="006D64C2" w14:paraId="1B5AF059" w14:textId="77777777">
          <w:r w:rsidRPr="006D64C2">
            <w:t>De</w:t>
          </w:r>
          <w:r>
            <w:t xml:space="preserve"> afroming van productierechten bij verhandeling vormt een inmenging in het recht op ongestoord genot van eigendom, zoals gewaarborgd in </w:t>
          </w:r>
          <w:r w:rsidRPr="006D64C2">
            <w:t>artikel 1 van het Eerste Protocol bij het EVRM.</w:t>
          </w:r>
          <w:r>
            <w:t xml:space="preserve"> De</w:t>
          </w:r>
          <w:r w:rsidRPr="006D64C2">
            <w:t xml:space="preserve"> toelichting vermeldt dat de </w:t>
          </w:r>
          <w:r w:rsidR="009019E1">
            <w:t xml:space="preserve">voorgestelde </w:t>
          </w:r>
          <w:r w:rsidRPr="006D64C2">
            <w:t>afrom</w:t>
          </w:r>
          <w:r w:rsidR="009019E1">
            <w:t>ing</w:t>
          </w:r>
          <w:r w:rsidRPr="006D64C2">
            <w:t xml:space="preserve"> van productierechten geen ontneming van eigendom </w:t>
          </w:r>
          <w:r w:rsidR="009019E1">
            <w:t>vormt</w:t>
          </w:r>
          <w:r w:rsidRPr="006D64C2">
            <w:t xml:space="preserve"> maar uitsluitend (nadere) regulering van eigendom.</w:t>
          </w:r>
          <w:r w:rsidR="00335B70">
            <w:rPr>
              <w:rStyle w:val="Voetnootmarkering"/>
            </w:rPr>
            <w:footnoteReference w:id="19"/>
          </w:r>
          <w:r w:rsidRPr="006D64C2">
            <w:t xml:space="preserve"> </w:t>
          </w:r>
        </w:p>
        <w:p w:rsidR="000A7DAA" w:rsidP="00BB2B4D" w:rsidRDefault="000A7DAA" w14:paraId="20F3D59C" w14:textId="77777777"/>
        <w:p w:rsidR="00481D06" w:rsidP="00BB2B4D" w:rsidRDefault="001D4C22" w14:paraId="4CD9C399" w14:textId="1163139B">
          <w:r>
            <w:t>E</w:t>
          </w:r>
          <w:r w:rsidRPr="006D64C2" w:rsidR="006D64C2">
            <w:t xml:space="preserve">igendom </w:t>
          </w:r>
          <w:r>
            <w:t xml:space="preserve">mag </w:t>
          </w:r>
          <w:r w:rsidRPr="006D64C2" w:rsidR="006D64C2">
            <w:t>wettelijk worden gereguleerd indien d</w:t>
          </w:r>
          <w:r w:rsidR="00944F6D">
            <w:t>aarmee</w:t>
          </w:r>
          <w:r w:rsidRPr="006D64C2" w:rsidR="006D64C2">
            <w:t xml:space="preserve"> een legitiem doel</w:t>
          </w:r>
          <w:r w:rsidR="00944F6D">
            <w:t xml:space="preserve"> wordt</w:t>
          </w:r>
          <w:r w:rsidRPr="006D64C2" w:rsidR="006D64C2">
            <w:t xml:space="preserve"> na</w:t>
          </w:r>
          <w:r w:rsidR="00944F6D">
            <w:t>ge</w:t>
          </w:r>
          <w:r w:rsidRPr="006D64C2" w:rsidR="006D64C2">
            <w:t>streef</w:t>
          </w:r>
          <w:r w:rsidR="002B07F8">
            <w:t>d</w:t>
          </w:r>
          <w:r w:rsidRPr="006D64C2" w:rsidR="006D64C2">
            <w:t xml:space="preserve"> en de maatregel proportioneel is tot dat doel, waarbij een ‘fair </w:t>
          </w:r>
          <w:proofErr w:type="spellStart"/>
          <w:r w:rsidRPr="006D64C2" w:rsidR="006D64C2">
            <w:t>balance</w:t>
          </w:r>
          <w:proofErr w:type="spellEnd"/>
          <w:r w:rsidRPr="006D64C2" w:rsidR="006D64C2">
            <w:t xml:space="preserve">’ moet worden bereikt. Deze ‘fair </w:t>
          </w:r>
          <w:proofErr w:type="spellStart"/>
          <w:r w:rsidRPr="006D64C2" w:rsidR="006D64C2">
            <w:t>balance</w:t>
          </w:r>
          <w:proofErr w:type="spellEnd"/>
          <w:r w:rsidRPr="006D64C2" w:rsidR="006D64C2">
            <w:t xml:space="preserve">’ dient zowel ten aanzien van de regeling ten algemene als voor individuele gevallen te worden bereikt. </w:t>
          </w:r>
        </w:p>
        <w:p w:rsidR="00481D06" w:rsidP="00BB2B4D" w:rsidRDefault="00481D06" w14:paraId="2484FD52" w14:textId="77777777"/>
        <w:p w:rsidR="00BE36AE" w:rsidP="00BB2B4D" w:rsidRDefault="00C97ED3" w14:paraId="12F64040" w14:textId="4C097A83">
          <w:r>
            <w:t>Voor de sectoren melkvee, varkens en pluimvee worden in het voorstel</w:t>
          </w:r>
          <w:r w:rsidR="00466947">
            <w:t xml:space="preserve"> de</w:t>
          </w:r>
          <w:r>
            <w:t xml:space="preserve"> afzonderlijke mestplafonds v</w:t>
          </w:r>
          <w:r w:rsidR="00466947">
            <w:t xml:space="preserve">erlaagd met </w:t>
          </w:r>
          <w:r w:rsidR="00F65B18">
            <w:t>hetzelfde percentage</w:t>
          </w:r>
          <w:r w:rsidR="005A276D">
            <w:t xml:space="preserve"> als waarme</w:t>
          </w:r>
          <w:r w:rsidR="00B519D5">
            <w:t>e</w:t>
          </w:r>
          <w:r w:rsidR="005A276D">
            <w:t xml:space="preserve"> het nationale mestproductieplafond</w:t>
          </w:r>
          <w:r w:rsidR="00F35C5D">
            <w:t xml:space="preserve"> vanwege de derogatiebeschikking verlaag</w:t>
          </w:r>
          <w:r w:rsidR="00437D36">
            <w:t>d</w:t>
          </w:r>
          <w:r w:rsidR="00F35C5D">
            <w:t xml:space="preserve"> wordt. </w:t>
          </w:r>
          <w:r w:rsidR="00D3677B">
            <w:t>Volgens de toelichting draagt hiermee elk van de sectoren</w:t>
          </w:r>
          <w:r w:rsidR="005A513F">
            <w:t xml:space="preserve"> bij aan de verlaging van de mestproductie en komt er geen verhoudingsgewijs zwaardere last te rusten op één of meer</w:t>
          </w:r>
          <w:r w:rsidR="00500E64">
            <w:t>dere sectoren.</w:t>
          </w:r>
        </w:p>
        <w:p w:rsidR="00E57625" w:rsidP="00BB2B4D" w:rsidRDefault="00E57625" w14:paraId="3A0B46B3" w14:textId="77777777"/>
        <w:p w:rsidR="00E57625" w:rsidP="00BB2B4D" w:rsidRDefault="001F5911" w14:paraId="233595B1" w14:textId="58152367">
          <w:r>
            <w:lastRenderedPageBreak/>
            <w:t xml:space="preserve">De Afdeling merkt op dat met de sectorale mestplafonds </w:t>
          </w:r>
          <w:r w:rsidR="00EA31D4">
            <w:t xml:space="preserve">in de Meststoffenwet </w:t>
          </w:r>
          <w:r>
            <w:t xml:space="preserve">de doelstellingen voor de maximale mestproductie </w:t>
          </w:r>
          <w:r w:rsidR="009331D9">
            <w:t xml:space="preserve">per sector zijn vastgesteld. Hieruit kan worden opgemaakt dat de </w:t>
          </w:r>
          <w:r w:rsidR="005A62E1">
            <w:t>mestproductie per sector niet verder beho</w:t>
          </w:r>
          <w:r w:rsidR="00860673">
            <w:t>eft te worden gereduceerd dan het voor de sector geldende mestplafond.</w:t>
          </w:r>
          <w:r w:rsidR="00592295">
            <w:t xml:space="preserve"> Iedere sector is </w:t>
          </w:r>
          <w:r w:rsidR="00933007">
            <w:t xml:space="preserve">zelf </w:t>
          </w:r>
          <w:r w:rsidR="00592295">
            <w:t>verantwoordelijk voor het</w:t>
          </w:r>
          <w:r w:rsidR="00933007">
            <w:t xml:space="preserve"> niet overschrijden </w:t>
          </w:r>
          <w:r w:rsidR="00592295">
            <w:t xml:space="preserve">van </w:t>
          </w:r>
          <w:r w:rsidR="00933007">
            <w:t>de voor die sector gestelde mestplafond.</w:t>
          </w:r>
        </w:p>
        <w:p w:rsidR="00AD6ACC" w:rsidP="00BB2B4D" w:rsidRDefault="00AD6ACC" w14:paraId="660C6837" w14:textId="77777777"/>
        <w:p w:rsidR="00AD6ACC" w:rsidP="00BB2B4D" w:rsidRDefault="00AD6ACC" w14:paraId="1EB91DF6" w14:textId="74EECE02">
          <w:r>
            <w:t xml:space="preserve">De Afdeling </w:t>
          </w:r>
          <w:r w:rsidR="00335B70">
            <w:t xml:space="preserve">wijst er </w:t>
          </w:r>
          <w:r>
            <w:t>op dat</w:t>
          </w:r>
          <w:r w:rsidR="00C16941">
            <w:t xml:space="preserve"> </w:t>
          </w:r>
          <w:r w:rsidR="002140CA">
            <w:t xml:space="preserve">tussen de sectoren melkvee, varkens en pluimvee verschillen bestaan </w:t>
          </w:r>
          <w:r w:rsidR="005852F9">
            <w:t>in</w:t>
          </w:r>
          <w:r w:rsidR="00E13165">
            <w:t xml:space="preserve"> de hoeveelheden </w:t>
          </w:r>
          <w:r w:rsidR="002C384D">
            <w:t xml:space="preserve">mestproductie en de hoeveelheden </w:t>
          </w:r>
          <w:r w:rsidR="002B5A90">
            <w:t>waarmee de mestproductie</w:t>
          </w:r>
          <w:r w:rsidR="002F769D">
            <w:t xml:space="preserve"> de voorgestelde </w:t>
          </w:r>
          <w:r w:rsidR="00EA31D4">
            <w:t xml:space="preserve">sectorale </w:t>
          </w:r>
          <w:r w:rsidR="002F769D">
            <w:t xml:space="preserve">waarden voor </w:t>
          </w:r>
          <w:r w:rsidR="00364398">
            <w:t>de mestplafonds in 20</w:t>
          </w:r>
          <w:r w:rsidR="00CF7B45">
            <w:t>2</w:t>
          </w:r>
          <w:r w:rsidR="00364398">
            <w:t>5 overschrijd</w:t>
          </w:r>
          <w:r w:rsidR="005852F9">
            <w:t>t</w:t>
          </w:r>
          <w:r w:rsidR="00364398">
            <w:t xml:space="preserve">. </w:t>
          </w:r>
          <w:r w:rsidR="008F670D">
            <w:t xml:space="preserve">Hoewel de mestplafonds </w:t>
          </w:r>
          <w:r w:rsidR="002538C3">
            <w:t>voor alle drie de sectoren met eenzelfde percentage worden verlaagd</w:t>
          </w:r>
          <w:r w:rsidR="001C60F2">
            <w:t>,</w:t>
          </w:r>
          <w:r w:rsidR="00364398">
            <w:t xml:space="preserve"> </w:t>
          </w:r>
          <w:r w:rsidR="0044503D">
            <w:t xml:space="preserve">zijn de </w:t>
          </w:r>
          <w:r w:rsidR="00364398">
            <w:t xml:space="preserve">verschillen </w:t>
          </w:r>
          <w:r w:rsidR="0044503D">
            <w:t xml:space="preserve">in </w:t>
          </w:r>
          <w:r w:rsidR="00364398">
            <w:t xml:space="preserve">de reductieopgaven </w:t>
          </w:r>
          <w:r w:rsidR="0044503D">
            <w:t>tussen de</w:t>
          </w:r>
          <w:r w:rsidR="00985CAD">
            <w:t xml:space="preserve"> sector</w:t>
          </w:r>
          <w:r w:rsidR="0044503D">
            <w:t>en</w:t>
          </w:r>
          <w:r w:rsidR="007910ED">
            <w:t xml:space="preserve"> zowel in absolute als in relatieve zin</w:t>
          </w:r>
          <w:r w:rsidR="00985CAD">
            <w:t xml:space="preserve"> aanzienlijk</w:t>
          </w:r>
          <w:r w:rsidR="00BB4E28">
            <w:t>.</w:t>
          </w:r>
          <w:r w:rsidR="00B97428">
            <w:t xml:space="preserve"> </w:t>
          </w:r>
        </w:p>
        <w:p w:rsidR="001349A1" w:rsidP="00BB2B4D" w:rsidRDefault="001349A1" w14:paraId="76D481A8" w14:textId="77777777"/>
        <w:p w:rsidR="00E818DC" w:rsidP="00BB2B4D" w:rsidRDefault="00775583" w14:paraId="60334025" w14:textId="6E7612C7">
          <w:r>
            <w:t xml:space="preserve">Dit roept de vraag op </w:t>
          </w:r>
          <w:r w:rsidR="00F32F29">
            <w:t>of het voorgestelde afromingspercentage van 30% voor iedere</w:t>
          </w:r>
          <w:r w:rsidR="00F24A35">
            <w:t xml:space="preserve"> sector </w:t>
          </w:r>
          <w:r w:rsidR="00F60C64">
            <w:t>passend</w:t>
          </w:r>
          <w:r w:rsidR="00F24A35">
            <w:t xml:space="preserve"> is om de mestproductie voor die sector onder het mestplafond te krijgen. </w:t>
          </w:r>
          <w:r w:rsidR="00DE67BA">
            <w:t>In d</w:t>
          </w:r>
          <w:r w:rsidR="002C3700">
            <w:t>e</w:t>
          </w:r>
          <w:r w:rsidR="00F87347">
            <w:t xml:space="preserve"> toelichting </w:t>
          </w:r>
          <w:r w:rsidR="00DE67BA">
            <w:t>wordt weliswaar</w:t>
          </w:r>
          <w:r w:rsidR="00F87347">
            <w:t xml:space="preserve"> </w:t>
          </w:r>
          <w:r w:rsidR="00A539FF">
            <w:t xml:space="preserve">in zijn algemeenheid gemotiveerd dat </w:t>
          </w:r>
          <w:r w:rsidR="0025218F">
            <w:t xml:space="preserve">een afromingspercentage hoger dan 30% </w:t>
          </w:r>
          <w:r w:rsidR="00673749">
            <w:t xml:space="preserve">de handel </w:t>
          </w:r>
          <w:r w:rsidR="001529AD">
            <w:t xml:space="preserve">in </w:t>
          </w:r>
          <w:r w:rsidR="00673749">
            <w:t>productierechte</w:t>
          </w:r>
          <w:r w:rsidR="001529AD">
            <w:t>n</w:t>
          </w:r>
          <w:r w:rsidR="00673749">
            <w:t xml:space="preserve"> zal verlammen en een percentage van </w:t>
          </w:r>
          <w:r w:rsidR="00225350">
            <w:t>20% leidt tot</w:t>
          </w:r>
          <w:r w:rsidR="00C20B36">
            <w:t xml:space="preserve"> een klein</w:t>
          </w:r>
          <w:r w:rsidR="005462F1">
            <w:t>er</w:t>
          </w:r>
          <w:r w:rsidR="00C20B36">
            <w:t>e reductie van de mestproductie</w:t>
          </w:r>
          <w:r w:rsidR="00ED23D9">
            <w:t xml:space="preserve">, </w:t>
          </w:r>
          <w:r w:rsidR="007E6029">
            <w:t xml:space="preserve">en </w:t>
          </w:r>
          <w:r w:rsidRPr="00853329" w:rsidR="00853329">
            <w:t>w</w:t>
          </w:r>
          <w:r w:rsidR="00812BED">
            <w:t>ordt</w:t>
          </w:r>
          <w:r w:rsidRPr="00853329" w:rsidR="00853329">
            <w:t xml:space="preserve"> ter rechtvaardiging van het voorgestelde afromingspercentage </w:t>
          </w:r>
          <w:r w:rsidR="00812BED">
            <w:t xml:space="preserve">gewezen </w:t>
          </w:r>
          <w:r w:rsidRPr="00853329" w:rsidR="00853329">
            <w:t>op het belang van de agrarische sector als geheel en de vermindering van de druk op de mestmarkt</w:t>
          </w:r>
          <w:r w:rsidR="004305A4">
            <w:t xml:space="preserve">. </w:t>
          </w:r>
        </w:p>
        <w:p w:rsidR="00E818DC" w:rsidP="00BB2B4D" w:rsidRDefault="00E818DC" w14:paraId="0D5B82E8" w14:textId="77777777"/>
        <w:p w:rsidR="00775583" w:rsidP="00BB2B4D" w:rsidRDefault="0053434C" w14:paraId="321BA600" w14:textId="6D053003">
          <w:r w:rsidRPr="0053434C">
            <w:t xml:space="preserve">Uit de toelichting blijkt </w:t>
          </w:r>
          <w:r>
            <w:t>echter</w:t>
          </w:r>
          <w:r w:rsidRPr="0053434C">
            <w:t xml:space="preserve"> niet dat de hoogte van het voorgestelde afromingspercentage is afgestemd op de te bereiken reductie in mestproductie per sector.</w:t>
          </w:r>
          <w:r w:rsidR="00FC4C91">
            <w:rPr>
              <w:rStyle w:val="Voetnootmarkering"/>
            </w:rPr>
            <w:footnoteReference w:id="20"/>
          </w:r>
          <w:r>
            <w:t xml:space="preserve"> </w:t>
          </w:r>
          <w:r w:rsidR="004305A4">
            <w:t>Daarmee</w:t>
          </w:r>
          <w:r w:rsidR="00ED23D9">
            <w:t xml:space="preserve"> blijft twijfelachtig of de omvang van de afroming bij verhandeling van varkens- en pluimveerechten, mede gelet op de naar verhouding beperkte bijdrage van deze sectoren aan de overschrijding van het nationale mestproductieplafond, </w:t>
          </w:r>
          <w:r w:rsidR="004D4869">
            <w:t>proportioneel is, ook op het niveau van de regeling</w:t>
          </w:r>
          <w:r w:rsidR="00E40475">
            <w:t>.</w:t>
          </w:r>
          <w:r w:rsidR="00CA2E7E">
            <w:rPr>
              <w:rStyle w:val="Voetnootmarkering"/>
            </w:rPr>
            <w:footnoteReference w:id="21"/>
          </w:r>
          <w:r w:rsidR="00ED23D9">
            <w:t xml:space="preserve"> </w:t>
          </w:r>
          <w:r w:rsidR="00FF1C49">
            <w:t xml:space="preserve">Zonder nadere motivering </w:t>
          </w:r>
          <w:r w:rsidRPr="00027CC4" w:rsidR="00027CC4">
            <w:t xml:space="preserve">van de proportionaliteit van de maatregel voor de verschillende sectoren </w:t>
          </w:r>
          <w:r w:rsidR="007273DB">
            <w:t xml:space="preserve">is het hanteren </w:t>
          </w:r>
          <w:r w:rsidR="002C1DE7">
            <w:t xml:space="preserve">van eenzelfde afromingspercentage voor ieder </w:t>
          </w:r>
          <w:r w:rsidR="00550C77">
            <w:t>sector</w:t>
          </w:r>
          <w:r w:rsidR="009479AF">
            <w:t xml:space="preserve"> juridisch kwetsbaar.</w:t>
          </w:r>
          <w:r w:rsidR="00AC5DA0">
            <w:t xml:space="preserve"> </w:t>
          </w:r>
        </w:p>
        <w:p w:rsidR="009156FE" w:rsidP="00BB2B4D" w:rsidRDefault="009156FE" w14:paraId="77277F5E" w14:textId="77777777"/>
        <w:p w:rsidR="008D0E8E" w:rsidRDefault="009156FE" w14:paraId="571B51B2" w14:textId="39F4C683">
          <w:r>
            <w:t>De Afdeling adviseert</w:t>
          </w:r>
          <w:r w:rsidR="00283B29">
            <w:t xml:space="preserve"> </w:t>
          </w:r>
          <w:r w:rsidR="00560AFA">
            <w:t xml:space="preserve">daarom </w:t>
          </w:r>
          <w:r w:rsidR="00E330F7">
            <w:t xml:space="preserve">het </w:t>
          </w:r>
          <w:r w:rsidRPr="00E330F7" w:rsidR="00E330F7">
            <w:t xml:space="preserve">afromingspercentage </w:t>
          </w:r>
          <w:r w:rsidR="00B24690">
            <w:t xml:space="preserve">voor de verhandeling van varkens- en pluimveerechten </w:t>
          </w:r>
          <w:r w:rsidR="00ED22DC">
            <w:t>dragend te motiveren</w:t>
          </w:r>
          <w:r w:rsidR="005E352A">
            <w:t>.</w:t>
          </w:r>
        </w:p>
      </w:sdtContent>
    </w:sdt>
    <w:p w:rsidR="002E7E8E" w:rsidRDefault="002E7E8E" w14:paraId="448E6691" w14:textId="77777777"/>
    <w:p w:rsidR="00976503" w:rsidRDefault="00976503" w14:paraId="31BF561C" w14:textId="53D7453A">
      <w:r>
        <w:br w:type="page"/>
      </w:r>
    </w:p>
    <w:sdt>
      <w:sdtPr>
        <w:tag w:val="bmDictum"/>
        <w:id w:val="175316752"/>
        <w:lock w:val="sdtLocked"/>
        <w:placeholder>
          <w:docPart w:val="755957A1C5E94B3981F51B8027FE4130"/>
        </w:placeholder>
        <w:showingPlcHdr/>
      </w:sdtPr>
      <w:sdtEndPr/>
      <w:sdtContent>
        <w:p w:rsidR="00CD7650" w:rsidRDefault="00D76AC6" w14:paraId="6177F247" w14:textId="199EDD81">
          <w:r>
            <w:t>De Afdeling advisering van de Raad van State heeft een aantal bezwaren bij het voorstel en adviseert het voorstel niet bij de Tweede Kamer der Staten-Generaal in te dienen, tenzij het is aangepast.</w:t>
          </w:r>
          <w:r>
            <w:br/>
          </w:r>
          <w:r>
            <w:br/>
          </w:r>
          <w:r>
            <w:br/>
          </w:r>
          <w:r>
            <w:br/>
          </w:r>
          <w:r>
            <w:br/>
          </w:r>
          <w:r>
            <w:br/>
            <w:t>De vice-president van de Raad van State,</w:t>
          </w:r>
        </w:p>
      </w:sdtContent>
    </w:sdt>
    <w:p w:rsidR="002E7E8E" w:rsidRDefault="002E7E8E" w14:paraId="4C952FA2" w14:textId="1FEF0700"/>
    <w:sectPr w:rsidR="002E7E8E" w:rsidSect="009D19AC">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1946" w14:textId="77777777" w:rsidR="002E4DB5" w:rsidRDefault="002E4DB5">
      <w:r>
        <w:separator/>
      </w:r>
    </w:p>
  </w:endnote>
  <w:endnote w:type="continuationSeparator" w:id="0">
    <w:p w14:paraId="7D835632" w14:textId="77777777" w:rsidR="002E4DB5" w:rsidRDefault="002E4DB5">
      <w:r>
        <w:continuationSeparator/>
      </w:r>
    </w:p>
  </w:endnote>
  <w:endnote w:type="continuationNotice" w:id="1">
    <w:p w14:paraId="25EEF5BA" w14:textId="77777777" w:rsidR="002E4DB5" w:rsidRDefault="002E4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10D6" w14:textId="09562797" w:rsidR="00631ADE" w:rsidRDefault="00687C40">
    <w:pPr>
      <w:pStyle w:val="Voettekst"/>
    </w:pPr>
    <w:r>
      <w:rPr>
        <w:noProof/>
      </w:rPr>
      <mc:AlternateContent>
        <mc:Choice Requires="wps">
          <w:drawing>
            <wp:anchor distT="0" distB="0" distL="0" distR="0" simplePos="0" relativeHeight="251660288" behindDoc="0" locked="0" layoutInCell="1" allowOverlap="1" wp14:anchorId="49399283" wp14:editId="55BFF0A0">
              <wp:simplePos x="635" y="635"/>
              <wp:positionH relativeFrom="page">
                <wp:align>left</wp:align>
              </wp:positionH>
              <wp:positionV relativeFrom="page">
                <wp:align>bottom</wp:align>
              </wp:positionV>
              <wp:extent cx="986155" cy="345440"/>
              <wp:effectExtent l="0" t="0" r="4445" b="0"/>
              <wp:wrapNone/>
              <wp:docPr id="199573275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B26542B" w14:textId="3877D48E" w:rsidR="00687C40" w:rsidRPr="00687C40" w:rsidRDefault="00687C40" w:rsidP="00687C40">
                          <w:pPr>
                            <w:rPr>
                              <w:rFonts w:ascii="Calibri" w:eastAsia="Calibri" w:hAnsi="Calibri" w:cs="Calibri"/>
                              <w:noProof/>
                              <w:color w:val="000000"/>
                              <w:sz w:val="20"/>
                              <w:szCs w:val="20"/>
                            </w:rPr>
                          </w:pPr>
                          <w:r w:rsidRPr="00687C4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399283"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B26542B" w14:textId="3877D48E" w:rsidR="00687C40" w:rsidRPr="00687C40" w:rsidRDefault="00687C40" w:rsidP="00687C40">
                    <w:pPr>
                      <w:rPr>
                        <w:rFonts w:ascii="Calibri" w:eastAsia="Calibri" w:hAnsi="Calibri" w:cs="Calibri"/>
                        <w:noProof/>
                        <w:color w:val="000000"/>
                        <w:sz w:val="20"/>
                        <w:szCs w:val="20"/>
                      </w:rPr>
                    </w:pPr>
                    <w:r w:rsidRPr="00687C4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71262" w14:paraId="26F110D9" w14:textId="77777777" w:rsidTr="00D90098">
      <w:tc>
        <w:tcPr>
          <w:tcW w:w="4815" w:type="dxa"/>
        </w:tcPr>
        <w:p w14:paraId="26F110D7" w14:textId="074386D8" w:rsidR="00D90098" w:rsidRDefault="00687C40" w:rsidP="00D90098">
          <w:pPr>
            <w:pStyle w:val="Voettekst"/>
          </w:pPr>
          <w:r>
            <w:rPr>
              <w:noProof/>
            </w:rPr>
            <mc:AlternateContent>
              <mc:Choice Requires="wps">
                <w:drawing>
                  <wp:anchor distT="0" distB="0" distL="0" distR="0" simplePos="0" relativeHeight="251661312" behindDoc="0" locked="0" layoutInCell="1" allowOverlap="1" wp14:anchorId="4498CE1B" wp14:editId="64157154">
                    <wp:simplePos x="1329690" y="9896475"/>
                    <wp:positionH relativeFrom="page">
                      <wp:align>left</wp:align>
                    </wp:positionH>
                    <wp:positionV relativeFrom="page">
                      <wp:align>bottom</wp:align>
                    </wp:positionV>
                    <wp:extent cx="986155" cy="345440"/>
                    <wp:effectExtent l="0" t="0" r="4445" b="0"/>
                    <wp:wrapNone/>
                    <wp:docPr id="135998333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EEB41A5" w14:textId="22426203" w:rsidR="00687C40" w:rsidRPr="00687C40" w:rsidRDefault="00687C40" w:rsidP="00687C40">
                                <w:pPr>
                                  <w:rPr>
                                    <w:rFonts w:ascii="Calibri" w:eastAsia="Calibri" w:hAnsi="Calibri" w:cs="Calibri"/>
                                    <w:noProof/>
                                    <w:color w:val="000000"/>
                                    <w:sz w:val="20"/>
                                    <w:szCs w:val="20"/>
                                  </w:rPr>
                                </w:pPr>
                                <w:r w:rsidRPr="00687C4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98CE1B"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7EEB41A5" w14:textId="22426203" w:rsidR="00687C40" w:rsidRPr="00687C40" w:rsidRDefault="00687C40" w:rsidP="00687C40">
                          <w:pPr>
                            <w:rPr>
                              <w:rFonts w:ascii="Calibri" w:eastAsia="Calibri" w:hAnsi="Calibri" w:cs="Calibri"/>
                              <w:noProof/>
                              <w:color w:val="000000"/>
                              <w:sz w:val="20"/>
                              <w:szCs w:val="20"/>
                            </w:rPr>
                          </w:pPr>
                          <w:r w:rsidRPr="00687C40">
                            <w:rPr>
                              <w:rFonts w:ascii="Calibri" w:eastAsia="Calibri" w:hAnsi="Calibri" w:cs="Calibri"/>
                              <w:noProof/>
                              <w:color w:val="000000"/>
                              <w:sz w:val="20"/>
                              <w:szCs w:val="20"/>
                            </w:rPr>
                            <w:t>Intern gebruik</w:t>
                          </w:r>
                        </w:p>
                      </w:txbxContent>
                    </v:textbox>
                    <w10:wrap anchorx="page" anchory="page"/>
                  </v:shape>
                </w:pict>
              </mc:Fallback>
            </mc:AlternateContent>
          </w:r>
        </w:p>
      </w:tc>
      <w:tc>
        <w:tcPr>
          <w:tcW w:w="4247" w:type="dxa"/>
        </w:tcPr>
        <w:p w14:paraId="26F110D8" w14:textId="77777777" w:rsidR="00D90098" w:rsidRDefault="00D90098" w:rsidP="00D90098">
          <w:pPr>
            <w:pStyle w:val="Voettekst"/>
            <w:jc w:val="right"/>
          </w:pPr>
        </w:p>
      </w:tc>
    </w:tr>
  </w:tbl>
  <w:p w14:paraId="26F110DA"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CDD2" w14:textId="02F19F24" w:rsidR="009D19AC" w:rsidRPr="009D19AC" w:rsidRDefault="00687C40">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0A72C90D" wp14:editId="2B3204D9">
              <wp:simplePos x="1257300" y="9839325"/>
              <wp:positionH relativeFrom="page">
                <wp:align>left</wp:align>
              </wp:positionH>
              <wp:positionV relativeFrom="page">
                <wp:align>bottom</wp:align>
              </wp:positionV>
              <wp:extent cx="986155" cy="345440"/>
              <wp:effectExtent l="0" t="0" r="4445" b="0"/>
              <wp:wrapNone/>
              <wp:docPr id="130714318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8CD2FA7" w14:textId="32A9DE9A" w:rsidR="00687C40" w:rsidRPr="00687C40" w:rsidRDefault="00687C40" w:rsidP="00687C40">
                          <w:pPr>
                            <w:rPr>
                              <w:rFonts w:ascii="Calibri" w:eastAsia="Calibri" w:hAnsi="Calibri" w:cs="Calibri"/>
                              <w:noProof/>
                              <w:color w:val="000000"/>
                              <w:sz w:val="20"/>
                              <w:szCs w:val="20"/>
                            </w:rPr>
                          </w:pPr>
                          <w:r w:rsidRPr="00687C4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72C90D"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38CD2FA7" w14:textId="32A9DE9A" w:rsidR="00687C40" w:rsidRPr="00687C40" w:rsidRDefault="00687C40" w:rsidP="00687C40">
                    <w:pPr>
                      <w:rPr>
                        <w:rFonts w:ascii="Calibri" w:eastAsia="Calibri" w:hAnsi="Calibri" w:cs="Calibri"/>
                        <w:noProof/>
                        <w:color w:val="000000"/>
                        <w:sz w:val="20"/>
                        <w:szCs w:val="20"/>
                      </w:rPr>
                    </w:pPr>
                    <w:r w:rsidRPr="00687C40">
                      <w:rPr>
                        <w:rFonts w:ascii="Calibri" w:eastAsia="Calibri" w:hAnsi="Calibri" w:cs="Calibri"/>
                        <w:noProof/>
                        <w:color w:val="000000"/>
                        <w:sz w:val="20"/>
                        <w:szCs w:val="20"/>
                      </w:rPr>
                      <w:t>Intern gebruik</w:t>
                    </w:r>
                  </w:p>
                </w:txbxContent>
              </v:textbox>
              <w10:wrap anchorx="page" anchory="page"/>
            </v:shape>
          </w:pict>
        </mc:Fallback>
      </mc:AlternateContent>
    </w:r>
    <w:r w:rsidR="009D19AC" w:rsidRPr="009D19AC">
      <w:rPr>
        <w:rFonts w:ascii="Bembo" w:hAnsi="Bembo"/>
        <w:sz w:val="32"/>
      </w:rPr>
      <w:t>AAN DE KONING</w:t>
    </w:r>
  </w:p>
  <w:p w14:paraId="2AC212E8" w14:textId="77777777" w:rsidR="009D19AC" w:rsidRDefault="009D19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62C4" w14:textId="77777777" w:rsidR="002E4DB5" w:rsidRDefault="002E4DB5">
      <w:r>
        <w:separator/>
      </w:r>
    </w:p>
  </w:footnote>
  <w:footnote w:type="continuationSeparator" w:id="0">
    <w:p w14:paraId="31597B2E" w14:textId="77777777" w:rsidR="002E4DB5" w:rsidRDefault="002E4DB5">
      <w:r>
        <w:continuationSeparator/>
      </w:r>
    </w:p>
  </w:footnote>
  <w:footnote w:type="continuationNotice" w:id="1">
    <w:p w14:paraId="748F8083" w14:textId="77777777" w:rsidR="002E4DB5" w:rsidRDefault="002E4DB5"/>
  </w:footnote>
  <w:footnote w:id="2">
    <w:p w14:paraId="4CFF9216" w14:textId="7EA46044" w:rsidR="0020115C" w:rsidRDefault="0020115C">
      <w:pPr>
        <w:pStyle w:val="Voetnoottekst"/>
      </w:pPr>
      <w:r>
        <w:rPr>
          <w:rStyle w:val="Voetnootmarkering"/>
        </w:rPr>
        <w:footnoteRef/>
      </w:r>
      <w:r>
        <w:t xml:space="preserve"> </w:t>
      </w:r>
      <w:r w:rsidR="00A96D24">
        <w:t xml:space="preserve">In verband met de kabinetswisseling wordt het advies gezonden aan de </w:t>
      </w:r>
      <w:r w:rsidR="00013932">
        <w:t>Minister</w:t>
      </w:r>
      <w:r w:rsidR="00CF1EF7" w:rsidRPr="00CF1EF7">
        <w:t xml:space="preserve"> van Landbouw, Visserij, Voedselzekerheid en Natuur</w:t>
      </w:r>
      <w:r w:rsidR="00A84BA4">
        <w:t>.</w:t>
      </w:r>
    </w:p>
  </w:footnote>
  <w:footnote w:id="3">
    <w:p w14:paraId="5073A119" w14:textId="5E0076DC" w:rsidR="00506295" w:rsidRDefault="00506295" w:rsidP="00506295">
      <w:pPr>
        <w:pStyle w:val="Voetnoottekst"/>
      </w:pPr>
      <w:r>
        <w:rPr>
          <w:rStyle w:val="Voetnootmarkering"/>
        </w:rPr>
        <w:footnoteRef/>
      </w:r>
      <w:r>
        <w:t xml:space="preserve"> Uitvoeringsbesluit (EU) 2022/2069 van de Commissie van 30 september 2022 tot verlening van een door Nederland gevraagde derogatie op grond van Richtlijn 91/676/EEG van de Raad inzake de bescherming van water tegen verontreiniging door nitraten uit agrarische bronnen, C(2022) 6859</w:t>
      </w:r>
      <w:r w:rsidR="006A0C10">
        <w:t xml:space="preserve">, </w:t>
      </w:r>
      <w:proofErr w:type="spellStart"/>
      <w:r w:rsidR="006A0C10" w:rsidRPr="006A0C10">
        <w:t>P</w:t>
      </w:r>
      <w:r w:rsidR="006A0C10">
        <w:t>bEU</w:t>
      </w:r>
      <w:proofErr w:type="spellEnd"/>
      <w:r w:rsidR="006A0C10">
        <w:t xml:space="preserve"> 2022,</w:t>
      </w:r>
      <w:r w:rsidR="006A0C10" w:rsidRPr="006A0C10">
        <w:t xml:space="preserve"> L 277</w:t>
      </w:r>
      <w:r w:rsidR="006A0C10">
        <w:t xml:space="preserve">, </w:t>
      </w:r>
      <w:r w:rsidR="006A0C10" w:rsidRPr="006A0C10">
        <w:t>blz. 195</w:t>
      </w:r>
      <w:r>
        <w:t>.</w:t>
      </w:r>
    </w:p>
  </w:footnote>
  <w:footnote w:id="4">
    <w:p w14:paraId="5E7EA1D0" w14:textId="2A910CAE" w:rsidR="002A4723" w:rsidRDefault="002A4723" w:rsidP="002A4723">
      <w:pPr>
        <w:pStyle w:val="Voetnoottekst"/>
      </w:pPr>
      <w:r>
        <w:rPr>
          <w:rStyle w:val="Voetnootmarkering"/>
        </w:rPr>
        <w:footnoteRef/>
      </w:r>
      <w:r>
        <w:t xml:space="preserve"> Richtlijn van de Raad van 12 december 1991 inzake de bescherming van water tegen verontreiniging door nitraten uit agrarische bronnen (91/676/EEG).</w:t>
      </w:r>
      <w:r w:rsidR="00927887">
        <w:t xml:space="preserve"> </w:t>
      </w:r>
    </w:p>
  </w:footnote>
  <w:footnote w:id="5">
    <w:p w14:paraId="589AD5D6" w14:textId="12EFA400" w:rsidR="001825DF" w:rsidRDefault="001825DF">
      <w:pPr>
        <w:pStyle w:val="Voetnoottekst"/>
      </w:pPr>
      <w:r>
        <w:rPr>
          <w:rStyle w:val="Voetnootmarkering"/>
        </w:rPr>
        <w:footnoteRef/>
      </w:r>
      <w:r>
        <w:t xml:space="preserve"> </w:t>
      </w:r>
      <w:r w:rsidR="00521CAC">
        <w:t xml:space="preserve">Artikel 5 Nitraatrichtlijn. </w:t>
      </w:r>
      <w:r>
        <w:t>Zie</w:t>
      </w:r>
      <w:r w:rsidR="005A6468">
        <w:t xml:space="preserve"> het</w:t>
      </w:r>
      <w:r>
        <w:t xml:space="preserve"> </w:t>
      </w:r>
      <w:r w:rsidR="005A6468" w:rsidRPr="005A6468">
        <w:t>7e Nederlandse actieprogramma betreffende de Nitraatrichtlijn (2022 - 2025)</w:t>
      </w:r>
      <w:r w:rsidR="005A6468">
        <w:t>.</w:t>
      </w:r>
    </w:p>
  </w:footnote>
  <w:footnote w:id="6">
    <w:p w14:paraId="3B12A16C" w14:textId="336D90A3" w:rsidR="002A4723" w:rsidRDefault="002A4723" w:rsidP="002A4723">
      <w:pPr>
        <w:pStyle w:val="Voetnoottekst"/>
      </w:pPr>
      <w:r>
        <w:rPr>
          <w:rStyle w:val="Voetnootmarkering"/>
        </w:rPr>
        <w:footnoteRef/>
      </w:r>
      <w:r>
        <w:t xml:space="preserve"> Bijlage III, artikel 2, </w:t>
      </w:r>
      <w:r w:rsidR="0095709D">
        <w:t>bij</w:t>
      </w:r>
      <w:r>
        <w:t xml:space="preserve"> de Nitraatrichtlijn.</w:t>
      </w:r>
    </w:p>
  </w:footnote>
  <w:footnote w:id="7">
    <w:p w14:paraId="055B397C" w14:textId="36EB40A5" w:rsidR="002A4723" w:rsidRDefault="002A4723" w:rsidP="002A4723">
      <w:pPr>
        <w:pStyle w:val="Voetnoottekst"/>
      </w:pPr>
      <w:r>
        <w:rPr>
          <w:rStyle w:val="Voetnootmarkering"/>
        </w:rPr>
        <w:footnoteRef/>
      </w:r>
      <w:r>
        <w:t xml:space="preserve"> Artikel 4, tweede lid, </w:t>
      </w:r>
      <w:bookmarkStart w:id="0" w:name="_Hlk171520255"/>
      <w:r>
        <w:t xml:space="preserve">van </w:t>
      </w:r>
      <w:r w:rsidR="00FB31D2">
        <w:t xml:space="preserve">het </w:t>
      </w:r>
      <w:r>
        <w:t>Uitvoeringbesluit (EU) 2022/2069</w:t>
      </w:r>
      <w:bookmarkEnd w:id="0"/>
      <w:r>
        <w:t>.</w:t>
      </w:r>
    </w:p>
  </w:footnote>
  <w:footnote w:id="8">
    <w:p w14:paraId="6F5EE125" w14:textId="7EB4B505" w:rsidR="0096437C" w:rsidRDefault="0096437C" w:rsidP="0096437C">
      <w:pPr>
        <w:pStyle w:val="Voetnoottekst"/>
      </w:pPr>
      <w:r>
        <w:rPr>
          <w:rStyle w:val="Voetnootmarkering"/>
        </w:rPr>
        <w:footnoteRef/>
      </w:r>
      <w:r>
        <w:t xml:space="preserve"> Artikel I, onderdeel A,</w:t>
      </w:r>
      <w:r w:rsidR="00777C39">
        <w:t xml:space="preserve"> onder 1,</w:t>
      </w:r>
      <w:r>
        <w:t xml:space="preserve"> voorgestelde wijziging van artikel 18a</w:t>
      </w:r>
      <w:r w:rsidR="00777C39">
        <w:t>, eerste lid,</w:t>
      </w:r>
      <w:r>
        <w:t xml:space="preserve"> van de Meststoffenwet.</w:t>
      </w:r>
    </w:p>
  </w:footnote>
  <w:footnote w:id="9">
    <w:p w14:paraId="49FF325E" w14:textId="15F82497" w:rsidR="00E742C5" w:rsidRDefault="00E742C5">
      <w:pPr>
        <w:pStyle w:val="Voetnoottekst"/>
      </w:pPr>
      <w:r>
        <w:rPr>
          <w:rStyle w:val="Voetnootmarkering"/>
        </w:rPr>
        <w:footnoteRef/>
      </w:r>
      <w:r>
        <w:t xml:space="preserve"> Daarbij zij opgemerkt dat per 1 januari 2024 de omvang van de mestproductieplafonds is </w:t>
      </w:r>
      <w:r w:rsidR="009F1224">
        <w:t xml:space="preserve">vastgelegd in de artikelen 121Aa </w:t>
      </w:r>
      <w:r w:rsidR="00F00497">
        <w:t>en 121 Ab van de Uitvoeringsregeling Meststoffenwet.</w:t>
      </w:r>
    </w:p>
  </w:footnote>
  <w:footnote w:id="10">
    <w:p w14:paraId="393BE4BB" w14:textId="65EDC9D2" w:rsidR="00777C39" w:rsidRDefault="00777C39">
      <w:pPr>
        <w:pStyle w:val="Voetnoottekst"/>
      </w:pPr>
      <w:r>
        <w:rPr>
          <w:rStyle w:val="Voetnootmarkering"/>
        </w:rPr>
        <w:footnoteRef/>
      </w:r>
      <w:r>
        <w:t xml:space="preserve"> Artikel I, onderdeel A, onder 2</w:t>
      </w:r>
      <w:r w:rsidR="005D7779">
        <w:t>, 3 en 4, voorgestelde wijziging van artikel 18a, tweede tot en met vierde lid, van de Meststoffenwet.</w:t>
      </w:r>
    </w:p>
  </w:footnote>
  <w:footnote w:id="11">
    <w:p w14:paraId="2443ACBE" w14:textId="6CEEC260" w:rsidR="00753A5B" w:rsidRDefault="00753A5B">
      <w:pPr>
        <w:pStyle w:val="Voetnoottekst"/>
      </w:pPr>
      <w:r>
        <w:rPr>
          <w:rStyle w:val="Voetnootmarkering"/>
        </w:rPr>
        <w:footnoteRef/>
      </w:r>
      <w:r>
        <w:t xml:space="preserve"> </w:t>
      </w:r>
      <w:r w:rsidR="003A45E4">
        <w:t>Voorgesteld artikel 32, eerste lid, van de Meststoffenwet</w:t>
      </w:r>
      <w:r w:rsidR="00A20C7B">
        <w:t xml:space="preserve">, </w:t>
      </w:r>
      <w:r w:rsidR="00AC5C49">
        <w:t>waarin de bestaande delegatiegrondslag om bij</w:t>
      </w:r>
      <w:r w:rsidR="002C4968">
        <w:t xml:space="preserve"> </w:t>
      </w:r>
      <w:proofErr w:type="spellStart"/>
      <w:r w:rsidR="002C4968">
        <w:t>amvb</w:t>
      </w:r>
      <w:proofErr w:type="spellEnd"/>
      <w:r w:rsidR="002C4968">
        <w:t xml:space="preserve"> een afromingspercentage vast te stellen</w:t>
      </w:r>
      <w:r w:rsidR="00137ADA">
        <w:t xml:space="preserve"> -waarvan geen gebruik is gemaakt-</w:t>
      </w:r>
      <w:r w:rsidR="002C4968">
        <w:t xml:space="preserve">, wordt </w:t>
      </w:r>
      <w:r w:rsidR="00137ADA">
        <w:t>gewijzigd naar een wettelijk vastgesteld afromingspercentage.</w:t>
      </w:r>
    </w:p>
  </w:footnote>
  <w:footnote w:id="12">
    <w:p w14:paraId="464F444E" w14:textId="60DA6560" w:rsidR="00B938BF" w:rsidRDefault="00B938BF">
      <w:pPr>
        <w:pStyle w:val="Voetnoottekst"/>
      </w:pPr>
      <w:r>
        <w:rPr>
          <w:rStyle w:val="Voetnootmarkering"/>
        </w:rPr>
        <w:footnoteRef/>
      </w:r>
      <w:r w:rsidR="00CC43F6">
        <w:t xml:space="preserve"> Voorgestelde wijziging van artikel 32a, eerste lid, van de Meststoffenwet.</w:t>
      </w:r>
    </w:p>
  </w:footnote>
  <w:footnote w:id="13">
    <w:p w14:paraId="299ABBCB" w14:textId="7CEFCA8C" w:rsidR="009A5952" w:rsidRDefault="009A5952">
      <w:pPr>
        <w:pStyle w:val="Voetnoottekst"/>
      </w:pPr>
      <w:r>
        <w:rPr>
          <w:rStyle w:val="Voetnootmarkering"/>
        </w:rPr>
        <w:footnoteRef/>
      </w:r>
      <w:r>
        <w:t xml:space="preserve"> Voorgestelde artikel</w:t>
      </w:r>
      <w:r w:rsidR="00CE60A3">
        <w:t>en</w:t>
      </w:r>
      <w:r>
        <w:t xml:space="preserve"> 32, tweede lid</w:t>
      </w:r>
      <w:r w:rsidR="00CE60A3">
        <w:t xml:space="preserve"> en 33, vijfde lid van de Meststoffenwet en de voorgetelde wijziging van artikel 32a, tweede lid, van de Meststoffenwet.</w:t>
      </w:r>
    </w:p>
  </w:footnote>
  <w:footnote w:id="14">
    <w:p w14:paraId="528811E4" w14:textId="6B8932C0" w:rsidR="00A32A2F" w:rsidRDefault="00A32A2F">
      <w:pPr>
        <w:pStyle w:val="Voetnoottekst"/>
      </w:pPr>
      <w:r>
        <w:rPr>
          <w:rStyle w:val="Voetnootmarkering"/>
        </w:rPr>
        <w:footnoteRef/>
      </w:r>
      <w:r>
        <w:t xml:space="preserve"> Artikel II.</w:t>
      </w:r>
    </w:p>
  </w:footnote>
  <w:footnote w:id="15">
    <w:p w14:paraId="0F20E18A" w14:textId="1FC02C6F" w:rsidR="00E70C30" w:rsidRDefault="00E70C30">
      <w:pPr>
        <w:pStyle w:val="Voetnoottekst"/>
      </w:pPr>
      <w:r>
        <w:rPr>
          <w:rStyle w:val="Voetnootmarkering"/>
        </w:rPr>
        <w:footnoteRef/>
      </w:r>
      <w:r>
        <w:t xml:space="preserve"> Memorie van toelichting, paragraaf 3.2.</w:t>
      </w:r>
    </w:p>
  </w:footnote>
  <w:footnote w:id="16">
    <w:p w14:paraId="308559E1" w14:textId="77777777" w:rsidR="003F52E8" w:rsidRDefault="003F52E8" w:rsidP="003F52E8">
      <w:pPr>
        <w:pStyle w:val="Voetnoottekst"/>
      </w:pPr>
      <w:r>
        <w:rPr>
          <w:rStyle w:val="Voetnootmarkering"/>
        </w:rPr>
        <w:footnoteRef/>
      </w:r>
      <w:r>
        <w:t xml:space="preserve"> Monitor fosfaat- en stikstofexcretie in dierlijke mest, eerste kwartaal 2024, paragraaf 2.1, Centraal Bureau voor de Statistiek, 20 februari 2024, www.cbs.nl.</w:t>
      </w:r>
    </w:p>
  </w:footnote>
  <w:footnote w:id="17">
    <w:p w14:paraId="2DC59A55" w14:textId="131ACD8E" w:rsidR="00F70EF6" w:rsidRDefault="00F70EF6">
      <w:pPr>
        <w:pStyle w:val="Voetnoottekst"/>
      </w:pPr>
      <w:r>
        <w:rPr>
          <w:rStyle w:val="Voetnootmarkering"/>
        </w:rPr>
        <w:footnoteRef/>
      </w:r>
      <w:r>
        <w:t xml:space="preserve"> </w:t>
      </w:r>
      <w:r w:rsidR="001A7DF9">
        <w:t>Memorie van toelichting, paragraaf 3.2.1.</w:t>
      </w:r>
      <w:r w:rsidR="006628B0">
        <w:t xml:space="preserve"> Overigens blijkt uit de toelichting niet of hier</w:t>
      </w:r>
      <w:r w:rsidR="007B4EFE">
        <w:t>bij</w:t>
      </w:r>
      <w:r w:rsidR="006628B0">
        <w:t xml:space="preserve"> rekening is gehouden met </w:t>
      </w:r>
      <w:r w:rsidR="005137BB">
        <w:t xml:space="preserve">mogelijk </w:t>
      </w:r>
      <w:r w:rsidR="006628B0">
        <w:t>anticiperend gedrag</w:t>
      </w:r>
      <w:r w:rsidR="00B8598B">
        <w:t xml:space="preserve"> van </w:t>
      </w:r>
      <w:r w:rsidR="003A43BE">
        <w:t>veehouders</w:t>
      </w:r>
      <w:r w:rsidR="007B4EFE">
        <w:t xml:space="preserve">, waardoor </w:t>
      </w:r>
      <w:r w:rsidR="0024234C">
        <w:t xml:space="preserve">in 2025 </w:t>
      </w:r>
      <w:r w:rsidR="00C22FAE">
        <w:t xml:space="preserve">minder </w:t>
      </w:r>
      <w:r w:rsidR="0024234C">
        <w:t>productierechten of bedrijven</w:t>
      </w:r>
      <w:r w:rsidR="00C22FAE">
        <w:t xml:space="preserve"> </w:t>
      </w:r>
      <w:r w:rsidR="0024234C">
        <w:t>overgaan</w:t>
      </w:r>
      <w:r w:rsidR="00D62BE3">
        <w:t xml:space="preserve"> </w:t>
      </w:r>
      <w:r w:rsidR="00D62BE3" w:rsidRPr="00D62BE3">
        <w:t>en de verwachte afname door afroming lager uitvalt</w:t>
      </w:r>
      <w:r w:rsidR="00C22FAE">
        <w:t>.</w:t>
      </w:r>
    </w:p>
  </w:footnote>
  <w:footnote w:id="18">
    <w:p w14:paraId="50F36045" w14:textId="3E04AF40" w:rsidR="00892A1F" w:rsidRDefault="00892A1F">
      <w:pPr>
        <w:pStyle w:val="Voetnoottekst"/>
      </w:pPr>
      <w:r>
        <w:rPr>
          <w:rStyle w:val="Voetnootmarkering"/>
        </w:rPr>
        <w:footnoteRef/>
      </w:r>
      <w:r>
        <w:t xml:space="preserve"> </w:t>
      </w:r>
      <w:r w:rsidR="007C3536">
        <w:t>Bijlage bij Lijst van vragen en antwoorden over de mestmarktcrisis (Kamerstukken II 2023/24, 33037, nr. 533).</w:t>
      </w:r>
    </w:p>
  </w:footnote>
  <w:footnote w:id="19">
    <w:p w14:paraId="2A3F7746" w14:textId="7CE02541" w:rsidR="00335B70" w:rsidRDefault="00335B70">
      <w:pPr>
        <w:pStyle w:val="Voetnoottekst"/>
      </w:pPr>
      <w:r>
        <w:rPr>
          <w:rStyle w:val="Voetnootmarkering"/>
        </w:rPr>
        <w:footnoteRef/>
      </w:r>
      <w:r>
        <w:t xml:space="preserve"> Zie paragraaf 4.4 van de toelichting.</w:t>
      </w:r>
    </w:p>
  </w:footnote>
  <w:footnote w:id="20">
    <w:p w14:paraId="194F710A" w14:textId="77777777" w:rsidR="00FC4C91" w:rsidRDefault="00FC4C91" w:rsidP="00FC4C91">
      <w:pPr>
        <w:pStyle w:val="Voetnoottekst"/>
      </w:pPr>
      <w:r>
        <w:rPr>
          <w:rStyle w:val="Voetnootmarkering"/>
        </w:rPr>
        <w:footnoteRef/>
      </w:r>
      <w:r>
        <w:t xml:space="preserve"> Zo heeft de Producentenorganisatie Varkenshouderij er in haar reactie op de internetconsultatie op gewezen dat de mestproductie van varkenshouderijen wellicht ook al met toepassing van de Landelijke Beëindigingsregelingen Veehouderij (LBV en LBV+) in 2025 onder het voor dat jaar voorgestelde mestplafond blijven.</w:t>
      </w:r>
    </w:p>
  </w:footnote>
  <w:footnote w:id="21">
    <w:p w14:paraId="167A08B6" w14:textId="77777777" w:rsidR="00CA2E7E" w:rsidRPr="00057B33" w:rsidRDefault="00CA2E7E" w:rsidP="00CA2E7E">
      <w:pPr>
        <w:pStyle w:val="Voetnoottekst"/>
      </w:pPr>
      <w:r>
        <w:rPr>
          <w:rStyle w:val="Voetnootmarkering"/>
        </w:rPr>
        <w:footnoteRef/>
      </w:r>
      <w:r>
        <w:t xml:space="preserve"> </w:t>
      </w:r>
      <w:r w:rsidRPr="007D4045">
        <w:t xml:space="preserve">In de toelichting wordt </w:t>
      </w:r>
      <w:r>
        <w:t xml:space="preserve">voornamelijk ingegaan op de ‘fair </w:t>
      </w:r>
      <w:proofErr w:type="spellStart"/>
      <w:r>
        <w:t>balance</w:t>
      </w:r>
      <w:proofErr w:type="spellEnd"/>
      <w:r>
        <w:t>’ op individueel niveau.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10D4"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10D5" w14:textId="77777777" w:rsidR="00FA7BCD" w:rsidRDefault="0057086C"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10DB" w14:textId="77777777" w:rsidR="00DA0CDA" w:rsidRDefault="0057086C"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6F110DC" w14:textId="77777777" w:rsidR="00993C75" w:rsidRDefault="0057086C">
    <w:pPr>
      <w:pStyle w:val="Koptekst"/>
    </w:pPr>
    <w:r>
      <w:rPr>
        <w:noProof/>
      </w:rPr>
      <w:drawing>
        <wp:anchor distT="0" distB="0" distL="114300" distR="114300" simplePos="0" relativeHeight="251658240" behindDoc="1" locked="0" layoutInCell="1" allowOverlap="1" wp14:anchorId="26F110E7" wp14:editId="26F110E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0146D"/>
    <w:multiLevelType w:val="hybridMultilevel"/>
    <w:tmpl w:val="02782CEE"/>
    <w:lvl w:ilvl="0" w:tplc="172AF162">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BC84805"/>
    <w:multiLevelType w:val="hybridMultilevel"/>
    <w:tmpl w:val="9FEA6E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8493090">
    <w:abstractNumId w:val="0"/>
  </w:num>
  <w:num w:numId="2" w16cid:durableId="2144688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2"/>
    <w:rsid w:val="00001208"/>
    <w:rsid w:val="0000121D"/>
    <w:rsid w:val="000019FE"/>
    <w:rsid w:val="00002B1C"/>
    <w:rsid w:val="00003AD0"/>
    <w:rsid w:val="00007127"/>
    <w:rsid w:val="00007A03"/>
    <w:rsid w:val="00010717"/>
    <w:rsid w:val="00010A0E"/>
    <w:rsid w:val="00011D4E"/>
    <w:rsid w:val="00012742"/>
    <w:rsid w:val="00013212"/>
    <w:rsid w:val="000136A6"/>
    <w:rsid w:val="00013932"/>
    <w:rsid w:val="00013A4A"/>
    <w:rsid w:val="00013F12"/>
    <w:rsid w:val="00016B18"/>
    <w:rsid w:val="00016F0F"/>
    <w:rsid w:val="00017C54"/>
    <w:rsid w:val="000237B8"/>
    <w:rsid w:val="0002405A"/>
    <w:rsid w:val="00025573"/>
    <w:rsid w:val="00027CC4"/>
    <w:rsid w:val="000306A4"/>
    <w:rsid w:val="00032271"/>
    <w:rsid w:val="00033F65"/>
    <w:rsid w:val="0003440D"/>
    <w:rsid w:val="00036E7E"/>
    <w:rsid w:val="00037201"/>
    <w:rsid w:val="00037D72"/>
    <w:rsid w:val="00045865"/>
    <w:rsid w:val="00046160"/>
    <w:rsid w:val="000475EB"/>
    <w:rsid w:val="0005085F"/>
    <w:rsid w:val="00050E16"/>
    <w:rsid w:val="00051363"/>
    <w:rsid w:val="00051B45"/>
    <w:rsid w:val="0005302F"/>
    <w:rsid w:val="00053204"/>
    <w:rsid w:val="000543E1"/>
    <w:rsid w:val="00057B33"/>
    <w:rsid w:val="00057EE1"/>
    <w:rsid w:val="0006238A"/>
    <w:rsid w:val="00064081"/>
    <w:rsid w:val="00064651"/>
    <w:rsid w:val="000668FC"/>
    <w:rsid w:val="00066BAE"/>
    <w:rsid w:val="000702E4"/>
    <w:rsid w:val="00070A20"/>
    <w:rsid w:val="000710F3"/>
    <w:rsid w:val="00073216"/>
    <w:rsid w:val="00073741"/>
    <w:rsid w:val="00074405"/>
    <w:rsid w:val="0007485D"/>
    <w:rsid w:val="00076C7C"/>
    <w:rsid w:val="00077F39"/>
    <w:rsid w:val="00081583"/>
    <w:rsid w:val="00081691"/>
    <w:rsid w:val="000837EE"/>
    <w:rsid w:val="000845C2"/>
    <w:rsid w:val="00084E6B"/>
    <w:rsid w:val="000871DD"/>
    <w:rsid w:val="00090257"/>
    <w:rsid w:val="00092462"/>
    <w:rsid w:val="00092524"/>
    <w:rsid w:val="00092EFE"/>
    <w:rsid w:val="00094445"/>
    <w:rsid w:val="00096345"/>
    <w:rsid w:val="00096A7D"/>
    <w:rsid w:val="00096FF7"/>
    <w:rsid w:val="000972E6"/>
    <w:rsid w:val="000973F6"/>
    <w:rsid w:val="000977F8"/>
    <w:rsid w:val="000A14FD"/>
    <w:rsid w:val="000A1C95"/>
    <w:rsid w:val="000A4009"/>
    <w:rsid w:val="000A6276"/>
    <w:rsid w:val="000A6BC6"/>
    <w:rsid w:val="000A7DAA"/>
    <w:rsid w:val="000A7DF1"/>
    <w:rsid w:val="000B01A5"/>
    <w:rsid w:val="000B1899"/>
    <w:rsid w:val="000B3854"/>
    <w:rsid w:val="000B5234"/>
    <w:rsid w:val="000C27C1"/>
    <w:rsid w:val="000C41EC"/>
    <w:rsid w:val="000C45DE"/>
    <w:rsid w:val="000C64EE"/>
    <w:rsid w:val="000C6EA4"/>
    <w:rsid w:val="000C7CD2"/>
    <w:rsid w:val="000D009C"/>
    <w:rsid w:val="000D0983"/>
    <w:rsid w:val="000D309E"/>
    <w:rsid w:val="000D4C6A"/>
    <w:rsid w:val="000D7ABA"/>
    <w:rsid w:val="000E0F36"/>
    <w:rsid w:val="000E25EE"/>
    <w:rsid w:val="000E2B04"/>
    <w:rsid w:val="000E2DB2"/>
    <w:rsid w:val="000E3FA9"/>
    <w:rsid w:val="000E6571"/>
    <w:rsid w:val="000E7618"/>
    <w:rsid w:val="000F0741"/>
    <w:rsid w:val="000F0812"/>
    <w:rsid w:val="000F0965"/>
    <w:rsid w:val="000F1B67"/>
    <w:rsid w:val="000F2B73"/>
    <w:rsid w:val="000F3AB5"/>
    <w:rsid w:val="000F3F1F"/>
    <w:rsid w:val="000F410B"/>
    <w:rsid w:val="000F41AA"/>
    <w:rsid w:val="000F51D3"/>
    <w:rsid w:val="000F5382"/>
    <w:rsid w:val="000F5B58"/>
    <w:rsid w:val="000F5ECF"/>
    <w:rsid w:val="000F6B95"/>
    <w:rsid w:val="000F70B2"/>
    <w:rsid w:val="001008B5"/>
    <w:rsid w:val="00100ECD"/>
    <w:rsid w:val="001032D4"/>
    <w:rsid w:val="001062A2"/>
    <w:rsid w:val="00107198"/>
    <w:rsid w:val="0010733A"/>
    <w:rsid w:val="0011022C"/>
    <w:rsid w:val="00111F17"/>
    <w:rsid w:val="00113991"/>
    <w:rsid w:val="00113DA3"/>
    <w:rsid w:val="001147A5"/>
    <w:rsid w:val="00115673"/>
    <w:rsid w:val="001156C1"/>
    <w:rsid w:val="00116126"/>
    <w:rsid w:val="00116DB1"/>
    <w:rsid w:val="00116E0E"/>
    <w:rsid w:val="00121618"/>
    <w:rsid w:val="00127C40"/>
    <w:rsid w:val="0013020F"/>
    <w:rsid w:val="001337E5"/>
    <w:rsid w:val="001349A1"/>
    <w:rsid w:val="0013608E"/>
    <w:rsid w:val="00136C66"/>
    <w:rsid w:val="00137ADA"/>
    <w:rsid w:val="00140E10"/>
    <w:rsid w:val="00141B86"/>
    <w:rsid w:val="00141BDC"/>
    <w:rsid w:val="0014403E"/>
    <w:rsid w:val="00144607"/>
    <w:rsid w:val="00144D4D"/>
    <w:rsid w:val="001463F9"/>
    <w:rsid w:val="001466D1"/>
    <w:rsid w:val="00147A21"/>
    <w:rsid w:val="00147ABB"/>
    <w:rsid w:val="00151251"/>
    <w:rsid w:val="001529AD"/>
    <w:rsid w:val="0015403C"/>
    <w:rsid w:val="0015508E"/>
    <w:rsid w:val="001556FD"/>
    <w:rsid w:val="0015732F"/>
    <w:rsid w:val="001573DF"/>
    <w:rsid w:val="001577FF"/>
    <w:rsid w:val="001639E7"/>
    <w:rsid w:val="001644BA"/>
    <w:rsid w:val="001648DF"/>
    <w:rsid w:val="00164B18"/>
    <w:rsid w:val="00165F25"/>
    <w:rsid w:val="00166797"/>
    <w:rsid w:val="00166A04"/>
    <w:rsid w:val="001702FF"/>
    <w:rsid w:val="00171E54"/>
    <w:rsid w:val="00175F90"/>
    <w:rsid w:val="001771B1"/>
    <w:rsid w:val="001773A3"/>
    <w:rsid w:val="00177586"/>
    <w:rsid w:val="00177CDA"/>
    <w:rsid w:val="001809F2"/>
    <w:rsid w:val="001825DF"/>
    <w:rsid w:val="00182B44"/>
    <w:rsid w:val="00183141"/>
    <w:rsid w:val="0018553F"/>
    <w:rsid w:val="00185553"/>
    <w:rsid w:val="00187837"/>
    <w:rsid w:val="00190503"/>
    <w:rsid w:val="001910FA"/>
    <w:rsid w:val="00191F65"/>
    <w:rsid w:val="0019424E"/>
    <w:rsid w:val="00194D1C"/>
    <w:rsid w:val="001972F2"/>
    <w:rsid w:val="001974C6"/>
    <w:rsid w:val="001978DD"/>
    <w:rsid w:val="00197A46"/>
    <w:rsid w:val="001A0114"/>
    <w:rsid w:val="001A0150"/>
    <w:rsid w:val="001A0C28"/>
    <w:rsid w:val="001A1B4D"/>
    <w:rsid w:val="001A1C17"/>
    <w:rsid w:val="001A2103"/>
    <w:rsid w:val="001A2BD3"/>
    <w:rsid w:val="001A4406"/>
    <w:rsid w:val="001A5ACD"/>
    <w:rsid w:val="001A5FD6"/>
    <w:rsid w:val="001A6DB7"/>
    <w:rsid w:val="001A7DF9"/>
    <w:rsid w:val="001B1DF2"/>
    <w:rsid w:val="001B3684"/>
    <w:rsid w:val="001B7BC8"/>
    <w:rsid w:val="001C1055"/>
    <w:rsid w:val="001C154B"/>
    <w:rsid w:val="001C31A2"/>
    <w:rsid w:val="001C4DA0"/>
    <w:rsid w:val="001C60D3"/>
    <w:rsid w:val="001C60F2"/>
    <w:rsid w:val="001C6206"/>
    <w:rsid w:val="001D0E73"/>
    <w:rsid w:val="001D2CFB"/>
    <w:rsid w:val="001D4C22"/>
    <w:rsid w:val="001D5017"/>
    <w:rsid w:val="001D7E33"/>
    <w:rsid w:val="001E1961"/>
    <w:rsid w:val="001E6547"/>
    <w:rsid w:val="001E6EA2"/>
    <w:rsid w:val="001E7014"/>
    <w:rsid w:val="001E74BE"/>
    <w:rsid w:val="001F18A5"/>
    <w:rsid w:val="001F252F"/>
    <w:rsid w:val="001F2AEB"/>
    <w:rsid w:val="001F2F38"/>
    <w:rsid w:val="001F416C"/>
    <w:rsid w:val="001F5911"/>
    <w:rsid w:val="001F64B6"/>
    <w:rsid w:val="001F650F"/>
    <w:rsid w:val="001F6667"/>
    <w:rsid w:val="002005C2"/>
    <w:rsid w:val="0020115C"/>
    <w:rsid w:val="00203318"/>
    <w:rsid w:val="002047A3"/>
    <w:rsid w:val="0020612A"/>
    <w:rsid w:val="002061D7"/>
    <w:rsid w:val="00206DF2"/>
    <w:rsid w:val="00207C4B"/>
    <w:rsid w:val="00210229"/>
    <w:rsid w:val="00211A11"/>
    <w:rsid w:val="002125E5"/>
    <w:rsid w:val="002140CA"/>
    <w:rsid w:val="0021412A"/>
    <w:rsid w:val="0021550D"/>
    <w:rsid w:val="00215E3D"/>
    <w:rsid w:val="00215FF6"/>
    <w:rsid w:val="002163D2"/>
    <w:rsid w:val="00216C07"/>
    <w:rsid w:val="00216EA4"/>
    <w:rsid w:val="00217394"/>
    <w:rsid w:val="0021763C"/>
    <w:rsid w:val="00217F9F"/>
    <w:rsid w:val="00220FFA"/>
    <w:rsid w:val="00221FC7"/>
    <w:rsid w:val="00223BBC"/>
    <w:rsid w:val="00225350"/>
    <w:rsid w:val="00225894"/>
    <w:rsid w:val="002258B8"/>
    <w:rsid w:val="00225F56"/>
    <w:rsid w:val="002270DB"/>
    <w:rsid w:val="00227536"/>
    <w:rsid w:val="0023489D"/>
    <w:rsid w:val="00234CEB"/>
    <w:rsid w:val="002363E6"/>
    <w:rsid w:val="00237716"/>
    <w:rsid w:val="00237C53"/>
    <w:rsid w:val="002404D2"/>
    <w:rsid w:val="0024058D"/>
    <w:rsid w:val="00241427"/>
    <w:rsid w:val="00241B3E"/>
    <w:rsid w:val="0024234C"/>
    <w:rsid w:val="002429CC"/>
    <w:rsid w:val="00243E22"/>
    <w:rsid w:val="00247DE4"/>
    <w:rsid w:val="00250613"/>
    <w:rsid w:val="00250928"/>
    <w:rsid w:val="00251E07"/>
    <w:rsid w:val="0025218F"/>
    <w:rsid w:val="00252DEF"/>
    <w:rsid w:val="002534C3"/>
    <w:rsid w:val="0025361E"/>
    <w:rsid w:val="002538C3"/>
    <w:rsid w:val="00256C93"/>
    <w:rsid w:val="00260D92"/>
    <w:rsid w:val="00260F45"/>
    <w:rsid w:val="00260F54"/>
    <w:rsid w:val="00262DC7"/>
    <w:rsid w:val="00263D26"/>
    <w:rsid w:val="00263EAF"/>
    <w:rsid w:val="002677FB"/>
    <w:rsid w:val="00270F57"/>
    <w:rsid w:val="002720D2"/>
    <w:rsid w:val="00272126"/>
    <w:rsid w:val="002722D8"/>
    <w:rsid w:val="0027502D"/>
    <w:rsid w:val="002757C9"/>
    <w:rsid w:val="00280842"/>
    <w:rsid w:val="00281F2E"/>
    <w:rsid w:val="002822C4"/>
    <w:rsid w:val="00282FD4"/>
    <w:rsid w:val="00283B29"/>
    <w:rsid w:val="002843DC"/>
    <w:rsid w:val="002851D5"/>
    <w:rsid w:val="00285269"/>
    <w:rsid w:val="00285C88"/>
    <w:rsid w:val="00286131"/>
    <w:rsid w:val="00286642"/>
    <w:rsid w:val="00290036"/>
    <w:rsid w:val="00291460"/>
    <w:rsid w:val="00292C02"/>
    <w:rsid w:val="00294214"/>
    <w:rsid w:val="0029618A"/>
    <w:rsid w:val="00296B04"/>
    <w:rsid w:val="00296D9F"/>
    <w:rsid w:val="002A1289"/>
    <w:rsid w:val="002A41B4"/>
    <w:rsid w:val="002A4723"/>
    <w:rsid w:val="002A7314"/>
    <w:rsid w:val="002B01B9"/>
    <w:rsid w:val="002B07F8"/>
    <w:rsid w:val="002B17B7"/>
    <w:rsid w:val="002B3B47"/>
    <w:rsid w:val="002B411B"/>
    <w:rsid w:val="002B43BB"/>
    <w:rsid w:val="002B5A90"/>
    <w:rsid w:val="002B632C"/>
    <w:rsid w:val="002B649E"/>
    <w:rsid w:val="002B7707"/>
    <w:rsid w:val="002C0D55"/>
    <w:rsid w:val="002C1926"/>
    <w:rsid w:val="002C198B"/>
    <w:rsid w:val="002C1DE7"/>
    <w:rsid w:val="002C3700"/>
    <w:rsid w:val="002C384D"/>
    <w:rsid w:val="002C42C7"/>
    <w:rsid w:val="002C4968"/>
    <w:rsid w:val="002C4F89"/>
    <w:rsid w:val="002C6DF0"/>
    <w:rsid w:val="002D405F"/>
    <w:rsid w:val="002D5E69"/>
    <w:rsid w:val="002E010C"/>
    <w:rsid w:val="002E1845"/>
    <w:rsid w:val="002E2586"/>
    <w:rsid w:val="002E2687"/>
    <w:rsid w:val="002E347C"/>
    <w:rsid w:val="002E4364"/>
    <w:rsid w:val="002E4DB5"/>
    <w:rsid w:val="002E5CAC"/>
    <w:rsid w:val="002E6524"/>
    <w:rsid w:val="002E7E8E"/>
    <w:rsid w:val="002F0AB8"/>
    <w:rsid w:val="002F0E5F"/>
    <w:rsid w:val="002F285E"/>
    <w:rsid w:val="002F2959"/>
    <w:rsid w:val="002F3322"/>
    <w:rsid w:val="002F37A5"/>
    <w:rsid w:val="002F3F02"/>
    <w:rsid w:val="002F769D"/>
    <w:rsid w:val="002F7A4A"/>
    <w:rsid w:val="00303247"/>
    <w:rsid w:val="003049D7"/>
    <w:rsid w:val="003070DD"/>
    <w:rsid w:val="0031228E"/>
    <w:rsid w:val="00314BC8"/>
    <w:rsid w:val="00314F0F"/>
    <w:rsid w:val="003157C6"/>
    <w:rsid w:val="003175B7"/>
    <w:rsid w:val="00317DF0"/>
    <w:rsid w:val="003202A4"/>
    <w:rsid w:val="003211E5"/>
    <w:rsid w:val="003217C5"/>
    <w:rsid w:val="003238D6"/>
    <w:rsid w:val="00326723"/>
    <w:rsid w:val="00326EBF"/>
    <w:rsid w:val="0032754C"/>
    <w:rsid w:val="003316E9"/>
    <w:rsid w:val="0033193C"/>
    <w:rsid w:val="00331C48"/>
    <w:rsid w:val="0033288F"/>
    <w:rsid w:val="00333C4D"/>
    <w:rsid w:val="00335B70"/>
    <w:rsid w:val="00336F72"/>
    <w:rsid w:val="00340AE0"/>
    <w:rsid w:val="0034435E"/>
    <w:rsid w:val="00344FB9"/>
    <w:rsid w:val="003460EA"/>
    <w:rsid w:val="00350925"/>
    <w:rsid w:val="00351474"/>
    <w:rsid w:val="00351CD8"/>
    <w:rsid w:val="00353FAD"/>
    <w:rsid w:val="00354D5A"/>
    <w:rsid w:val="003559C8"/>
    <w:rsid w:val="00356DF4"/>
    <w:rsid w:val="00360E19"/>
    <w:rsid w:val="003630E3"/>
    <w:rsid w:val="0036410D"/>
    <w:rsid w:val="00364398"/>
    <w:rsid w:val="00364613"/>
    <w:rsid w:val="00364760"/>
    <w:rsid w:val="003649A4"/>
    <w:rsid w:val="00365518"/>
    <w:rsid w:val="00367239"/>
    <w:rsid w:val="00370BB3"/>
    <w:rsid w:val="00372218"/>
    <w:rsid w:val="00372F80"/>
    <w:rsid w:val="00375122"/>
    <w:rsid w:val="00375A22"/>
    <w:rsid w:val="00375E38"/>
    <w:rsid w:val="00376BD2"/>
    <w:rsid w:val="0037747E"/>
    <w:rsid w:val="00380D7A"/>
    <w:rsid w:val="00380F31"/>
    <w:rsid w:val="00382698"/>
    <w:rsid w:val="003848FE"/>
    <w:rsid w:val="00385C53"/>
    <w:rsid w:val="00386565"/>
    <w:rsid w:val="0038736A"/>
    <w:rsid w:val="00391051"/>
    <w:rsid w:val="003943B6"/>
    <w:rsid w:val="003944B7"/>
    <w:rsid w:val="00395ADE"/>
    <w:rsid w:val="00395B1C"/>
    <w:rsid w:val="00395BB9"/>
    <w:rsid w:val="0039621F"/>
    <w:rsid w:val="0039673D"/>
    <w:rsid w:val="003A0C12"/>
    <w:rsid w:val="003A1FDF"/>
    <w:rsid w:val="003A2BD5"/>
    <w:rsid w:val="003A34AA"/>
    <w:rsid w:val="003A43BE"/>
    <w:rsid w:val="003A4421"/>
    <w:rsid w:val="003A4547"/>
    <w:rsid w:val="003A45E4"/>
    <w:rsid w:val="003A485D"/>
    <w:rsid w:val="003A4B4D"/>
    <w:rsid w:val="003A4ED1"/>
    <w:rsid w:val="003A62B9"/>
    <w:rsid w:val="003A635C"/>
    <w:rsid w:val="003A7811"/>
    <w:rsid w:val="003B1D4D"/>
    <w:rsid w:val="003B2615"/>
    <w:rsid w:val="003B31CB"/>
    <w:rsid w:val="003B443A"/>
    <w:rsid w:val="003B50C5"/>
    <w:rsid w:val="003B779A"/>
    <w:rsid w:val="003C1BEB"/>
    <w:rsid w:val="003C2112"/>
    <w:rsid w:val="003C2132"/>
    <w:rsid w:val="003C3090"/>
    <w:rsid w:val="003C372F"/>
    <w:rsid w:val="003C3A98"/>
    <w:rsid w:val="003C4376"/>
    <w:rsid w:val="003C5D05"/>
    <w:rsid w:val="003C61CF"/>
    <w:rsid w:val="003C6BED"/>
    <w:rsid w:val="003C75CC"/>
    <w:rsid w:val="003D0E8E"/>
    <w:rsid w:val="003D164A"/>
    <w:rsid w:val="003D1CF1"/>
    <w:rsid w:val="003D3DD0"/>
    <w:rsid w:val="003D45C4"/>
    <w:rsid w:val="003D5C18"/>
    <w:rsid w:val="003D6226"/>
    <w:rsid w:val="003D627C"/>
    <w:rsid w:val="003D6991"/>
    <w:rsid w:val="003D7802"/>
    <w:rsid w:val="003E024A"/>
    <w:rsid w:val="003E049F"/>
    <w:rsid w:val="003E0B67"/>
    <w:rsid w:val="003E1CE4"/>
    <w:rsid w:val="003E2F11"/>
    <w:rsid w:val="003E3A45"/>
    <w:rsid w:val="003E462D"/>
    <w:rsid w:val="003E5ED1"/>
    <w:rsid w:val="003E6369"/>
    <w:rsid w:val="003E6380"/>
    <w:rsid w:val="003E791E"/>
    <w:rsid w:val="003F3E4A"/>
    <w:rsid w:val="003F3FAD"/>
    <w:rsid w:val="003F42F3"/>
    <w:rsid w:val="003F4AE5"/>
    <w:rsid w:val="003F52E8"/>
    <w:rsid w:val="003F5B7E"/>
    <w:rsid w:val="003F5E43"/>
    <w:rsid w:val="00400FBF"/>
    <w:rsid w:val="0040259A"/>
    <w:rsid w:val="00403583"/>
    <w:rsid w:val="00404B4C"/>
    <w:rsid w:val="00404DA8"/>
    <w:rsid w:val="00407166"/>
    <w:rsid w:val="00413747"/>
    <w:rsid w:val="00415316"/>
    <w:rsid w:val="00415686"/>
    <w:rsid w:val="00415FB2"/>
    <w:rsid w:val="00416B0F"/>
    <w:rsid w:val="00422C36"/>
    <w:rsid w:val="00422F81"/>
    <w:rsid w:val="0042327F"/>
    <w:rsid w:val="00423637"/>
    <w:rsid w:val="00423AC6"/>
    <w:rsid w:val="00423EA7"/>
    <w:rsid w:val="004273AC"/>
    <w:rsid w:val="004273F3"/>
    <w:rsid w:val="004305A4"/>
    <w:rsid w:val="00430C96"/>
    <w:rsid w:val="004316E0"/>
    <w:rsid w:val="00436D98"/>
    <w:rsid w:val="00437D36"/>
    <w:rsid w:val="0044503D"/>
    <w:rsid w:val="00445946"/>
    <w:rsid w:val="00445A96"/>
    <w:rsid w:val="00447EDE"/>
    <w:rsid w:val="0045022B"/>
    <w:rsid w:val="004503A9"/>
    <w:rsid w:val="00451037"/>
    <w:rsid w:val="00451A1F"/>
    <w:rsid w:val="0045388F"/>
    <w:rsid w:val="00453AAD"/>
    <w:rsid w:val="00455F13"/>
    <w:rsid w:val="0045642D"/>
    <w:rsid w:val="00457259"/>
    <w:rsid w:val="00460739"/>
    <w:rsid w:val="00460C39"/>
    <w:rsid w:val="00460F68"/>
    <w:rsid w:val="00461CE1"/>
    <w:rsid w:val="00463A59"/>
    <w:rsid w:val="00465AD4"/>
    <w:rsid w:val="00466947"/>
    <w:rsid w:val="00466A3A"/>
    <w:rsid w:val="00473725"/>
    <w:rsid w:val="004739FE"/>
    <w:rsid w:val="00475A88"/>
    <w:rsid w:val="00476062"/>
    <w:rsid w:val="004765C4"/>
    <w:rsid w:val="00477CB9"/>
    <w:rsid w:val="004805FB"/>
    <w:rsid w:val="004808B3"/>
    <w:rsid w:val="004817D7"/>
    <w:rsid w:val="004818FF"/>
    <w:rsid w:val="00481D06"/>
    <w:rsid w:val="00485878"/>
    <w:rsid w:val="00486816"/>
    <w:rsid w:val="00487778"/>
    <w:rsid w:val="00487DC2"/>
    <w:rsid w:val="00490FEF"/>
    <w:rsid w:val="00492414"/>
    <w:rsid w:val="00493CA8"/>
    <w:rsid w:val="00493E29"/>
    <w:rsid w:val="00495DFD"/>
    <w:rsid w:val="00496258"/>
    <w:rsid w:val="00497B1F"/>
    <w:rsid w:val="004A2C55"/>
    <w:rsid w:val="004A5119"/>
    <w:rsid w:val="004A5DAB"/>
    <w:rsid w:val="004A5FB6"/>
    <w:rsid w:val="004A62DF"/>
    <w:rsid w:val="004A7F65"/>
    <w:rsid w:val="004B0382"/>
    <w:rsid w:val="004B0F31"/>
    <w:rsid w:val="004B113A"/>
    <w:rsid w:val="004B11C9"/>
    <w:rsid w:val="004B424A"/>
    <w:rsid w:val="004B4564"/>
    <w:rsid w:val="004B46CA"/>
    <w:rsid w:val="004B5F99"/>
    <w:rsid w:val="004B6097"/>
    <w:rsid w:val="004B609A"/>
    <w:rsid w:val="004B72DE"/>
    <w:rsid w:val="004B782A"/>
    <w:rsid w:val="004C7343"/>
    <w:rsid w:val="004C78F3"/>
    <w:rsid w:val="004D2230"/>
    <w:rsid w:val="004D2405"/>
    <w:rsid w:val="004D351E"/>
    <w:rsid w:val="004D4869"/>
    <w:rsid w:val="004D79FE"/>
    <w:rsid w:val="004E1305"/>
    <w:rsid w:val="004E179D"/>
    <w:rsid w:val="004E1B6D"/>
    <w:rsid w:val="004E206E"/>
    <w:rsid w:val="004E2F4B"/>
    <w:rsid w:val="004E3653"/>
    <w:rsid w:val="004E3B64"/>
    <w:rsid w:val="004E48F4"/>
    <w:rsid w:val="004E4A44"/>
    <w:rsid w:val="004E556D"/>
    <w:rsid w:val="004E6FB2"/>
    <w:rsid w:val="004F09BD"/>
    <w:rsid w:val="004F1379"/>
    <w:rsid w:val="004F1F9D"/>
    <w:rsid w:val="004F205C"/>
    <w:rsid w:val="004F55DD"/>
    <w:rsid w:val="004F5AEF"/>
    <w:rsid w:val="004F5BAF"/>
    <w:rsid w:val="004F6856"/>
    <w:rsid w:val="004F7791"/>
    <w:rsid w:val="005000BD"/>
    <w:rsid w:val="00500395"/>
    <w:rsid w:val="00500E64"/>
    <w:rsid w:val="00501238"/>
    <w:rsid w:val="00501EBD"/>
    <w:rsid w:val="00505BCD"/>
    <w:rsid w:val="00506295"/>
    <w:rsid w:val="00511A63"/>
    <w:rsid w:val="005129CA"/>
    <w:rsid w:val="00512D5B"/>
    <w:rsid w:val="005137BB"/>
    <w:rsid w:val="005152EA"/>
    <w:rsid w:val="005167BA"/>
    <w:rsid w:val="00516D19"/>
    <w:rsid w:val="00517EC5"/>
    <w:rsid w:val="005213D9"/>
    <w:rsid w:val="00521CAC"/>
    <w:rsid w:val="00522485"/>
    <w:rsid w:val="005234EB"/>
    <w:rsid w:val="00524206"/>
    <w:rsid w:val="0052431D"/>
    <w:rsid w:val="005267F0"/>
    <w:rsid w:val="00526840"/>
    <w:rsid w:val="0052772C"/>
    <w:rsid w:val="00527B4A"/>
    <w:rsid w:val="00530DFD"/>
    <w:rsid w:val="00532125"/>
    <w:rsid w:val="00533535"/>
    <w:rsid w:val="00533630"/>
    <w:rsid w:val="00534314"/>
    <w:rsid w:val="0053434C"/>
    <w:rsid w:val="005350A8"/>
    <w:rsid w:val="00535815"/>
    <w:rsid w:val="0053681D"/>
    <w:rsid w:val="00542F41"/>
    <w:rsid w:val="005430D4"/>
    <w:rsid w:val="00543B20"/>
    <w:rsid w:val="005449E7"/>
    <w:rsid w:val="00545252"/>
    <w:rsid w:val="00545C7B"/>
    <w:rsid w:val="005461BB"/>
    <w:rsid w:val="005462F1"/>
    <w:rsid w:val="005464F4"/>
    <w:rsid w:val="00546E4D"/>
    <w:rsid w:val="00550531"/>
    <w:rsid w:val="00550C77"/>
    <w:rsid w:val="00550F13"/>
    <w:rsid w:val="00552DAD"/>
    <w:rsid w:val="00553223"/>
    <w:rsid w:val="00553B18"/>
    <w:rsid w:val="00555859"/>
    <w:rsid w:val="00560AFA"/>
    <w:rsid w:val="00562FCC"/>
    <w:rsid w:val="00564D44"/>
    <w:rsid w:val="0056528B"/>
    <w:rsid w:val="005679F5"/>
    <w:rsid w:val="0057086C"/>
    <w:rsid w:val="005712E8"/>
    <w:rsid w:val="00573568"/>
    <w:rsid w:val="005736B9"/>
    <w:rsid w:val="005742F4"/>
    <w:rsid w:val="00574807"/>
    <w:rsid w:val="00574A11"/>
    <w:rsid w:val="00577F63"/>
    <w:rsid w:val="005805F0"/>
    <w:rsid w:val="005819D3"/>
    <w:rsid w:val="00581D2D"/>
    <w:rsid w:val="00582AAB"/>
    <w:rsid w:val="005852F9"/>
    <w:rsid w:val="00590B1D"/>
    <w:rsid w:val="00590BB8"/>
    <w:rsid w:val="00592295"/>
    <w:rsid w:val="00592535"/>
    <w:rsid w:val="00593F4B"/>
    <w:rsid w:val="0059639F"/>
    <w:rsid w:val="005A0198"/>
    <w:rsid w:val="005A0877"/>
    <w:rsid w:val="005A09FF"/>
    <w:rsid w:val="005A276D"/>
    <w:rsid w:val="005A2856"/>
    <w:rsid w:val="005A294B"/>
    <w:rsid w:val="005A3FB0"/>
    <w:rsid w:val="005A41A8"/>
    <w:rsid w:val="005A513F"/>
    <w:rsid w:val="005A6202"/>
    <w:rsid w:val="005A62E1"/>
    <w:rsid w:val="005A6468"/>
    <w:rsid w:val="005A7DD7"/>
    <w:rsid w:val="005B2458"/>
    <w:rsid w:val="005B5245"/>
    <w:rsid w:val="005B5CD0"/>
    <w:rsid w:val="005B67DA"/>
    <w:rsid w:val="005B6F5A"/>
    <w:rsid w:val="005B763D"/>
    <w:rsid w:val="005B774B"/>
    <w:rsid w:val="005C30F0"/>
    <w:rsid w:val="005C6900"/>
    <w:rsid w:val="005D118E"/>
    <w:rsid w:val="005D45DC"/>
    <w:rsid w:val="005D46FD"/>
    <w:rsid w:val="005D496A"/>
    <w:rsid w:val="005D577C"/>
    <w:rsid w:val="005D74FB"/>
    <w:rsid w:val="005D7779"/>
    <w:rsid w:val="005E0CCB"/>
    <w:rsid w:val="005E0F14"/>
    <w:rsid w:val="005E217B"/>
    <w:rsid w:val="005E2EE3"/>
    <w:rsid w:val="005E352A"/>
    <w:rsid w:val="005E609C"/>
    <w:rsid w:val="005F0650"/>
    <w:rsid w:val="005F23DA"/>
    <w:rsid w:val="005F2CE4"/>
    <w:rsid w:val="005F34DA"/>
    <w:rsid w:val="005F40C4"/>
    <w:rsid w:val="005F4B36"/>
    <w:rsid w:val="005F4F03"/>
    <w:rsid w:val="005F51BD"/>
    <w:rsid w:val="005F6AE3"/>
    <w:rsid w:val="005F76F7"/>
    <w:rsid w:val="005F7A74"/>
    <w:rsid w:val="00601A60"/>
    <w:rsid w:val="0060505D"/>
    <w:rsid w:val="00605B29"/>
    <w:rsid w:val="00607DEA"/>
    <w:rsid w:val="006119BB"/>
    <w:rsid w:val="006139EB"/>
    <w:rsid w:val="00613D90"/>
    <w:rsid w:val="0061449C"/>
    <w:rsid w:val="00614879"/>
    <w:rsid w:val="0061498F"/>
    <w:rsid w:val="006149E6"/>
    <w:rsid w:val="00616531"/>
    <w:rsid w:val="00620649"/>
    <w:rsid w:val="0062322B"/>
    <w:rsid w:val="006245E4"/>
    <w:rsid w:val="0062494A"/>
    <w:rsid w:val="00625CD4"/>
    <w:rsid w:val="00625D76"/>
    <w:rsid w:val="00630492"/>
    <w:rsid w:val="00631442"/>
    <w:rsid w:val="00631ADE"/>
    <w:rsid w:val="00631C6A"/>
    <w:rsid w:val="0063276A"/>
    <w:rsid w:val="00634868"/>
    <w:rsid w:val="006402AA"/>
    <w:rsid w:val="006408B3"/>
    <w:rsid w:val="00640F6B"/>
    <w:rsid w:val="006411A1"/>
    <w:rsid w:val="00641581"/>
    <w:rsid w:val="0064229D"/>
    <w:rsid w:val="00643B55"/>
    <w:rsid w:val="006442BE"/>
    <w:rsid w:val="006444C6"/>
    <w:rsid w:val="0064612A"/>
    <w:rsid w:val="00654C51"/>
    <w:rsid w:val="00656374"/>
    <w:rsid w:val="006628B0"/>
    <w:rsid w:val="00670235"/>
    <w:rsid w:val="00673749"/>
    <w:rsid w:val="0067613C"/>
    <w:rsid w:val="0067713E"/>
    <w:rsid w:val="00677F19"/>
    <w:rsid w:val="00680272"/>
    <w:rsid w:val="006819B8"/>
    <w:rsid w:val="00682311"/>
    <w:rsid w:val="00684590"/>
    <w:rsid w:val="006877B4"/>
    <w:rsid w:val="00687C40"/>
    <w:rsid w:val="00690009"/>
    <w:rsid w:val="0069064F"/>
    <w:rsid w:val="00690BBC"/>
    <w:rsid w:val="006916E1"/>
    <w:rsid w:val="0069238D"/>
    <w:rsid w:val="006A015F"/>
    <w:rsid w:val="006A0C10"/>
    <w:rsid w:val="006A10F0"/>
    <w:rsid w:val="006A2009"/>
    <w:rsid w:val="006A4A71"/>
    <w:rsid w:val="006A4E18"/>
    <w:rsid w:val="006A6A1F"/>
    <w:rsid w:val="006A7FEB"/>
    <w:rsid w:val="006B0D81"/>
    <w:rsid w:val="006B0E46"/>
    <w:rsid w:val="006B12F7"/>
    <w:rsid w:val="006B3128"/>
    <w:rsid w:val="006B3BDB"/>
    <w:rsid w:val="006B5C78"/>
    <w:rsid w:val="006B6201"/>
    <w:rsid w:val="006C0477"/>
    <w:rsid w:val="006C24C9"/>
    <w:rsid w:val="006C65F7"/>
    <w:rsid w:val="006D041F"/>
    <w:rsid w:val="006D1097"/>
    <w:rsid w:val="006D1884"/>
    <w:rsid w:val="006D19CF"/>
    <w:rsid w:val="006D1B87"/>
    <w:rsid w:val="006D2C39"/>
    <w:rsid w:val="006D3EC9"/>
    <w:rsid w:val="006D40F2"/>
    <w:rsid w:val="006D602D"/>
    <w:rsid w:val="006D64C2"/>
    <w:rsid w:val="006E09D6"/>
    <w:rsid w:val="006E0FD3"/>
    <w:rsid w:val="006E1C74"/>
    <w:rsid w:val="006E20CD"/>
    <w:rsid w:val="006E3569"/>
    <w:rsid w:val="006E35A7"/>
    <w:rsid w:val="006E3E75"/>
    <w:rsid w:val="006E7BAB"/>
    <w:rsid w:val="006F151B"/>
    <w:rsid w:val="006F17AF"/>
    <w:rsid w:val="006F2F0F"/>
    <w:rsid w:val="006F3381"/>
    <w:rsid w:val="006F434C"/>
    <w:rsid w:val="006F7922"/>
    <w:rsid w:val="0070049F"/>
    <w:rsid w:val="00702D9A"/>
    <w:rsid w:val="00703D33"/>
    <w:rsid w:val="00703E4A"/>
    <w:rsid w:val="00704FC4"/>
    <w:rsid w:val="00706107"/>
    <w:rsid w:val="0070611B"/>
    <w:rsid w:val="007061F9"/>
    <w:rsid w:val="00706FF0"/>
    <w:rsid w:val="007116CF"/>
    <w:rsid w:val="00712F10"/>
    <w:rsid w:val="007142D1"/>
    <w:rsid w:val="007149CE"/>
    <w:rsid w:val="00714E8E"/>
    <w:rsid w:val="00716E30"/>
    <w:rsid w:val="0072097F"/>
    <w:rsid w:val="007210B1"/>
    <w:rsid w:val="00723D9A"/>
    <w:rsid w:val="0072423F"/>
    <w:rsid w:val="007262C0"/>
    <w:rsid w:val="007273DB"/>
    <w:rsid w:val="00732195"/>
    <w:rsid w:val="00732280"/>
    <w:rsid w:val="00735B9B"/>
    <w:rsid w:val="00736A09"/>
    <w:rsid w:val="00737AFE"/>
    <w:rsid w:val="00737FC2"/>
    <w:rsid w:val="007422B0"/>
    <w:rsid w:val="00742F20"/>
    <w:rsid w:val="0074367D"/>
    <w:rsid w:val="00743805"/>
    <w:rsid w:val="00744DA9"/>
    <w:rsid w:val="007477A0"/>
    <w:rsid w:val="00752DF0"/>
    <w:rsid w:val="00753621"/>
    <w:rsid w:val="00753A5B"/>
    <w:rsid w:val="00754BC5"/>
    <w:rsid w:val="00755827"/>
    <w:rsid w:val="00755F2A"/>
    <w:rsid w:val="007574A3"/>
    <w:rsid w:val="00760E4B"/>
    <w:rsid w:val="0076242B"/>
    <w:rsid w:val="007630ED"/>
    <w:rsid w:val="00765F17"/>
    <w:rsid w:val="00767A6D"/>
    <w:rsid w:val="00770F72"/>
    <w:rsid w:val="00771C16"/>
    <w:rsid w:val="00773466"/>
    <w:rsid w:val="00775583"/>
    <w:rsid w:val="00776D5E"/>
    <w:rsid w:val="00777C39"/>
    <w:rsid w:val="00780C78"/>
    <w:rsid w:val="00783986"/>
    <w:rsid w:val="00785FA6"/>
    <w:rsid w:val="00786D19"/>
    <w:rsid w:val="007877A2"/>
    <w:rsid w:val="007910ED"/>
    <w:rsid w:val="0079307C"/>
    <w:rsid w:val="0079398C"/>
    <w:rsid w:val="00793EC1"/>
    <w:rsid w:val="00794088"/>
    <w:rsid w:val="00795446"/>
    <w:rsid w:val="0079568C"/>
    <w:rsid w:val="00795AFB"/>
    <w:rsid w:val="00796849"/>
    <w:rsid w:val="007A3E07"/>
    <w:rsid w:val="007A421D"/>
    <w:rsid w:val="007A57E9"/>
    <w:rsid w:val="007A748B"/>
    <w:rsid w:val="007B0E04"/>
    <w:rsid w:val="007B0ED3"/>
    <w:rsid w:val="007B104F"/>
    <w:rsid w:val="007B1779"/>
    <w:rsid w:val="007B1A0D"/>
    <w:rsid w:val="007B430C"/>
    <w:rsid w:val="007B4EFE"/>
    <w:rsid w:val="007B5562"/>
    <w:rsid w:val="007B69FF"/>
    <w:rsid w:val="007C109A"/>
    <w:rsid w:val="007C283F"/>
    <w:rsid w:val="007C3536"/>
    <w:rsid w:val="007C36B1"/>
    <w:rsid w:val="007C5C24"/>
    <w:rsid w:val="007C66D8"/>
    <w:rsid w:val="007D02D5"/>
    <w:rsid w:val="007D2181"/>
    <w:rsid w:val="007D25D9"/>
    <w:rsid w:val="007D3457"/>
    <w:rsid w:val="007D4C7E"/>
    <w:rsid w:val="007D6AE7"/>
    <w:rsid w:val="007D79B5"/>
    <w:rsid w:val="007E0A66"/>
    <w:rsid w:val="007E0BF7"/>
    <w:rsid w:val="007E107C"/>
    <w:rsid w:val="007E6029"/>
    <w:rsid w:val="007E6B95"/>
    <w:rsid w:val="007E7350"/>
    <w:rsid w:val="007E7D5A"/>
    <w:rsid w:val="007E7F80"/>
    <w:rsid w:val="007F07A4"/>
    <w:rsid w:val="007F1B4E"/>
    <w:rsid w:val="007F222D"/>
    <w:rsid w:val="007F26A6"/>
    <w:rsid w:val="007F3AC2"/>
    <w:rsid w:val="007F40E9"/>
    <w:rsid w:val="007F60FB"/>
    <w:rsid w:val="007F654F"/>
    <w:rsid w:val="007F751C"/>
    <w:rsid w:val="008011E6"/>
    <w:rsid w:val="00802806"/>
    <w:rsid w:val="00803D4B"/>
    <w:rsid w:val="00810A5D"/>
    <w:rsid w:val="00811867"/>
    <w:rsid w:val="00811C54"/>
    <w:rsid w:val="00812BED"/>
    <w:rsid w:val="00813D48"/>
    <w:rsid w:val="0081797D"/>
    <w:rsid w:val="00821A7B"/>
    <w:rsid w:val="008227E1"/>
    <w:rsid w:val="00822B4C"/>
    <w:rsid w:val="0082486C"/>
    <w:rsid w:val="008248BF"/>
    <w:rsid w:val="008274BD"/>
    <w:rsid w:val="00830D15"/>
    <w:rsid w:val="0083143B"/>
    <w:rsid w:val="00832AE2"/>
    <w:rsid w:val="00833C97"/>
    <w:rsid w:val="008348B4"/>
    <w:rsid w:val="008350F1"/>
    <w:rsid w:val="00837BA5"/>
    <w:rsid w:val="00841641"/>
    <w:rsid w:val="00841994"/>
    <w:rsid w:val="00846822"/>
    <w:rsid w:val="00847469"/>
    <w:rsid w:val="008478F1"/>
    <w:rsid w:val="00847C92"/>
    <w:rsid w:val="00850242"/>
    <w:rsid w:val="008516FC"/>
    <w:rsid w:val="00853329"/>
    <w:rsid w:val="00854440"/>
    <w:rsid w:val="00854FFC"/>
    <w:rsid w:val="00860673"/>
    <w:rsid w:val="00860F8B"/>
    <w:rsid w:val="008615DC"/>
    <w:rsid w:val="00862EE0"/>
    <w:rsid w:val="00862EE2"/>
    <w:rsid w:val="00863ED1"/>
    <w:rsid w:val="00864B79"/>
    <w:rsid w:val="00867638"/>
    <w:rsid w:val="00871B71"/>
    <w:rsid w:val="00871DA3"/>
    <w:rsid w:val="00872D4D"/>
    <w:rsid w:val="0087464F"/>
    <w:rsid w:val="0087548E"/>
    <w:rsid w:val="0088051D"/>
    <w:rsid w:val="00880D0D"/>
    <w:rsid w:val="00881A67"/>
    <w:rsid w:val="008831CC"/>
    <w:rsid w:val="00883907"/>
    <w:rsid w:val="00883C5F"/>
    <w:rsid w:val="00883C68"/>
    <w:rsid w:val="00887CB0"/>
    <w:rsid w:val="00887DE6"/>
    <w:rsid w:val="008906CA"/>
    <w:rsid w:val="00891B99"/>
    <w:rsid w:val="00892A1F"/>
    <w:rsid w:val="0089760F"/>
    <w:rsid w:val="008A5367"/>
    <w:rsid w:val="008A72CB"/>
    <w:rsid w:val="008A77DC"/>
    <w:rsid w:val="008A7B4E"/>
    <w:rsid w:val="008B1093"/>
    <w:rsid w:val="008B1725"/>
    <w:rsid w:val="008B27D9"/>
    <w:rsid w:val="008B3B9A"/>
    <w:rsid w:val="008B3F5E"/>
    <w:rsid w:val="008B5269"/>
    <w:rsid w:val="008B633D"/>
    <w:rsid w:val="008C2052"/>
    <w:rsid w:val="008C227B"/>
    <w:rsid w:val="008C360D"/>
    <w:rsid w:val="008C56CD"/>
    <w:rsid w:val="008D0E8E"/>
    <w:rsid w:val="008D1B3D"/>
    <w:rsid w:val="008D1FF6"/>
    <w:rsid w:val="008D23A8"/>
    <w:rsid w:val="008D3572"/>
    <w:rsid w:val="008D3664"/>
    <w:rsid w:val="008D49B4"/>
    <w:rsid w:val="008D5234"/>
    <w:rsid w:val="008D58EB"/>
    <w:rsid w:val="008E0FBC"/>
    <w:rsid w:val="008E2E43"/>
    <w:rsid w:val="008E36D0"/>
    <w:rsid w:val="008E430F"/>
    <w:rsid w:val="008E4419"/>
    <w:rsid w:val="008E44B8"/>
    <w:rsid w:val="008E74FA"/>
    <w:rsid w:val="008F031F"/>
    <w:rsid w:val="008F0EA5"/>
    <w:rsid w:val="008F263D"/>
    <w:rsid w:val="008F3084"/>
    <w:rsid w:val="008F41DD"/>
    <w:rsid w:val="008F6610"/>
    <w:rsid w:val="008F670D"/>
    <w:rsid w:val="008F6835"/>
    <w:rsid w:val="008F728B"/>
    <w:rsid w:val="008F758F"/>
    <w:rsid w:val="00900E72"/>
    <w:rsid w:val="00901721"/>
    <w:rsid w:val="009019E1"/>
    <w:rsid w:val="00902D94"/>
    <w:rsid w:val="00911EA2"/>
    <w:rsid w:val="00912A26"/>
    <w:rsid w:val="00912D00"/>
    <w:rsid w:val="00913ED4"/>
    <w:rsid w:val="00914873"/>
    <w:rsid w:val="009156FE"/>
    <w:rsid w:val="009166C1"/>
    <w:rsid w:val="009178B3"/>
    <w:rsid w:val="00921941"/>
    <w:rsid w:val="00923605"/>
    <w:rsid w:val="0092414E"/>
    <w:rsid w:val="009246A8"/>
    <w:rsid w:val="009252EE"/>
    <w:rsid w:val="00925C05"/>
    <w:rsid w:val="00925D4F"/>
    <w:rsid w:val="00927887"/>
    <w:rsid w:val="009279F4"/>
    <w:rsid w:val="00927A4B"/>
    <w:rsid w:val="00932DA3"/>
    <w:rsid w:val="00933007"/>
    <w:rsid w:val="009331D9"/>
    <w:rsid w:val="009333B4"/>
    <w:rsid w:val="0093377F"/>
    <w:rsid w:val="00933C79"/>
    <w:rsid w:val="00933F77"/>
    <w:rsid w:val="00934F9F"/>
    <w:rsid w:val="00937C27"/>
    <w:rsid w:val="009400A5"/>
    <w:rsid w:val="009406EE"/>
    <w:rsid w:val="00941225"/>
    <w:rsid w:val="00942BF4"/>
    <w:rsid w:val="00944A4A"/>
    <w:rsid w:val="00944F6D"/>
    <w:rsid w:val="00945771"/>
    <w:rsid w:val="00945875"/>
    <w:rsid w:val="009469B1"/>
    <w:rsid w:val="009479AF"/>
    <w:rsid w:val="00951CD5"/>
    <w:rsid w:val="0095565B"/>
    <w:rsid w:val="0095586A"/>
    <w:rsid w:val="0095709D"/>
    <w:rsid w:val="00960D32"/>
    <w:rsid w:val="009619E7"/>
    <w:rsid w:val="00963684"/>
    <w:rsid w:val="0096437C"/>
    <w:rsid w:val="009656B3"/>
    <w:rsid w:val="0096717E"/>
    <w:rsid w:val="00967B61"/>
    <w:rsid w:val="0097038A"/>
    <w:rsid w:val="00975936"/>
    <w:rsid w:val="00976503"/>
    <w:rsid w:val="00980874"/>
    <w:rsid w:val="00982966"/>
    <w:rsid w:val="00982F6D"/>
    <w:rsid w:val="0098344C"/>
    <w:rsid w:val="0098526E"/>
    <w:rsid w:val="00985641"/>
    <w:rsid w:val="00985CAD"/>
    <w:rsid w:val="00987F3D"/>
    <w:rsid w:val="009914BF"/>
    <w:rsid w:val="00993C75"/>
    <w:rsid w:val="009942D6"/>
    <w:rsid w:val="00995CC6"/>
    <w:rsid w:val="0099609F"/>
    <w:rsid w:val="00996BAE"/>
    <w:rsid w:val="009A08B3"/>
    <w:rsid w:val="009A08C7"/>
    <w:rsid w:val="009A51EC"/>
    <w:rsid w:val="009A5952"/>
    <w:rsid w:val="009A70F2"/>
    <w:rsid w:val="009A755A"/>
    <w:rsid w:val="009B06B7"/>
    <w:rsid w:val="009B15B3"/>
    <w:rsid w:val="009B1D5F"/>
    <w:rsid w:val="009B3F71"/>
    <w:rsid w:val="009B4065"/>
    <w:rsid w:val="009B4711"/>
    <w:rsid w:val="009B5CC6"/>
    <w:rsid w:val="009B6613"/>
    <w:rsid w:val="009B6A10"/>
    <w:rsid w:val="009C26E2"/>
    <w:rsid w:val="009C442E"/>
    <w:rsid w:val="009C4909"/>
    <w:rsid w:val="009C4F59"/>
    <w:rsid w:val="009C5091"/>
    <w:rsid w:val="009C50D8"/>
    <w:rsid w:val="009C5F30"/>
    <w:rsid w:val="009D1339"/>
    <w:rsid w:val="009D19AC"/>
    <w:rsid w:val="009D63C7"/>
    <w:rsid w:val="009D77A9"/>
    <w:rsid w:val="009E005A"/>
    <w:rsid w:val="009E10B6"/>
    <w:rsid w:val="009E190C"/>
    <w:rsid w:val="009E20A4"/>
    <w:rsid w:val="009E3C7A"/>
    <w:rsid w:val="009E53B2"/>
    <w:rsid w:val="009F0B4C"/>
    <w:rsid w:val="009F1224"/>
    <w:rsid w:val="009F2D5C"/>
    <w:rsid w:val="009F2DF9"/>
    <w:rsid w:val="009F2EA5"/>
    <w:rsid w:val="009F4104"/>
    <w:rsid w:val="009F742E"/>
    <w:rsid w:val="009F7F6A"/>
    <w:rsid w:val="00A003F2"/>
    <w:rsid w:val="00A00F6A"/>
    <w:rsid w:val="00A01299"/>
    <w:rsid w:val="00A017ED"/>
    <w:rsid w:val="00A05954"/>
    <w:rsid w:val="00A05A03"/>
    <w:rsid w:val="00A05E1C"/>
    <w:rsid w:val="00A06E64"/>
    <w:rsid w:val="00A07D98"/>
    <w:rsid w:val="00A1172B"/>
    <w:rsid w:val="00A11A7C"/>
    <w:rsid w:val="00A12717"/>
    <w:rsid w:val="00A128AE"/>
    <w:rsid w:val="00A139F7"/>
    <w:rsid w:val="00A14175"/>
    <w:rsid w:val="00A14513"/>
    <w:rsid w:val="00A16590"/>
    <w:rsid w:val="00A17AB2"/>
    <w:rsid w:val="00A2017D"/>
    <w:rsid w:val="00A20977"/>
    <w:rsid w:val="00A20C7B"/>
    <w:rsid w:val="00A20FF5"/>
    <w:rsid w:val="00A237E9"/>
    <w:rsid w:val="00A25361"/>
    <w:rsid w:val="00A2653F"/>
    <w:rsid w:val="00A277B5"/>
    <w:rsid w:val="00A30F65"/>
    <w:rsid w:val="00A32419"/>
    <w:rsid w:val="00A3280A"/>
    <w:rsid w:val="00A32A2F"/>
    <w:rsid w:val="00A3449B"/>
    <w:rsid w:val="00A34FC8"/>
    <w:rsid w:val="00A357E4"/>
    <w:rsid w:val="00A40510"/>
    <w:rsid w:val="00A43BD6"/>
    <w:rsid w:val="00A44E56"/>
    <w:rsid w:val="00A46BDA"/>
    <w:rsid w:val="00A50C5A"/>
    <w:rsid w:val="00A50D05"/>
    <w:rsid w:val="00A517D0"/>
    <w:rsid w:val="00A51CB0"/>
    <w:rsid w:val="00A539FF"/>
    <w:rsid w:val="00A540C9"/>
    <w:rsid w:val="00A5544F"/>
    <w:rsid w:val="00A56659"/>
    <w:rsid w:val="00A56A18"/>
    <w:rsid w:val="00A56FED"/>
    <w:rsid w:val="00A57716"/>
    <w:rsid w:val="00A57BA7"/>
    <w:rsid w:val="00A606E6"/>
    <w:rsid w:val="00A6138B"/>
    <w:rsid w:val="00A639B8"/>
    <w:rsid w:val="00A67AA2"/>
    <w:rsid w:val="00A70C52"/>
    <w:rsid w:val="00A734F7"/>
    <w:rsid w:val="00A73A0C"/>
    <w:rsid w:val="00A74296"/>
    <w:rsid w:val="00A76359"/>
    <w:rsid w:val="00A76B53"/>
    <w:rsid w:val="00A84BA4"/>
    <w:rsid w:val="00A8502E"/>
    <w:rsid w:val="00A8612B"/>
    <w:rsid w:val="00A9270F"/>
    <w:rsid w:val="00A93605"/>
    <w:rsid w:val="00A94E9E"/>
    <w:rsid w:val="00A96C9D"/>
    <w:rsid w:val="00A96D24"/>
    <w:rsid w:val="00A977FF"/>
    <w:rsid w:val="00AA0ACF"/>
    <w:rsid w:val="00AA0D16"/>
    <w:rsid w:val="00AA27F9"/>
    <w:rsid w:val="00AA2EA7"/>
    <w:rsid w:val="00AA34FE"/>
    <w:rsid w:val="00AA36DB"/>
    <w:rsid w:val="00AA5EBC"/>
    <w:rsid w:val="00AA6800"/>
    <w:rsid w:val="00AA6B26"/>
    <w:rsid w:val="00AA6DAD"/>
    <w:rsid w:val="00AA7259"/>
    <w:rsid w:val="00AB061C"/>
    <w:rsid w:val="00AB09F1"/>
    <w:rsid w:val="00AB23EC"/>
    <w:rsid w:val="00AB3376"/>
    <w:rsid w:val="00AB45B4"/>
    <w:rsid w:val="00AB52E3"/>
    <w:rsid w:val="00AB5700"/>
    <w:rsid w:val="00AB79D8"/>
    <w:rsid w:val="00AC16B2"/>
    <w:rsid w:val="00AC30ED"/>
    <w:rsid w:val="00AC4690"/>
    <w:rsid w:val="00AC53F5"/>
    <w:rsid w:val="00AC552A"/>
    <w:rsid w:val="00AC5C49"/>
    <w:rsid w:val="00AC5DA0"/>
    <w:rsid w:val="00AC6D93"/>
    <w:rsid w:val="00AD177C"/>
    <w:rsid w:val="00AD1CE6"/>
    <w:rsid w:val="00AD294E"/>
    <w:rsid w:val="00AD3CF0"/>
    <w:rsid w:val="00AD4FB8"/>
    <w:rsid w:val="00AD596A"/>
    <w:rsid w:val="00AD6841"/>
    <w:rsid w:val="00AD6ACC"/>
    <w:rsid w:val="00AD76DA"/>
    <w:rsid w:val="00AD7A53"/>
    <w:rsid w:val="00AE10B9"/>
    <w:rsid w:val="00AE2B1C"/>
    <w:rsid w:val="00AE31F0"/>
    <w:rsid w:val="00AE3846"/>
    <w:rsid w:val="00AE460A"/>
    <w:rsid w:val="00AE471A"/>
    <w:rsid w:val="00AF0D02"/>
    <w:rsid w:val="00AF19B5"/>
    <w:rsid w:val="00AF3D66"/>
    <w:rsid w:val="00AF7DDC"/>
    <w:rsid w:val="00B02786"/>
    <w:rsid w:val="00B042AC"/>
    <w:rsid w:val="00B0556F"/>
    <w:rsid w:val="00B06242"/>
    <w:rsid w:val="00B06AB2"/>
    <w:rsid w:val="00B0772D"/>
    <w:rsid w:val="00B15064"/>
    <w:rsid w:val="00B15094"/>
    <w:rsid w:val="00B1561B"/>
    <w:rsid w:val="00B17C26"/>
    <w:rsid w:val="00B2157B"/>
    <w:rsid w:val="00B22E9D"/>
    <w:rsid w:val="00B23D9C"/>
    <w:rsid w:val="00B23EF1"/>
    <w:rsid w:val="00B24096"/>
    <w:rsid w:val="00B2450B"/>
    <w:rsid w:val="00B24690"/>
    <w:rsid w:val="00B30066"/>
    <w:rsid w:val="00B31E02"/>
    <w:rsid w:val="00B33DE4"/>
    <w:rsid w:val="00B3602E"/>
    <w:rsid w:val="00B372AD"/>
    <w:rsid w:val="00B37472"/>
    <w:rsid w:val="00B375F9"/>
    <w:rsid w:val="00B42A51"/>
    <w:rsid w:val="00B451A4"/>
    <w:rsid w:val="00B45DA3"/>
    <w:rsid w:val="00B4698E"/>
    <w:rsid w:val="00B4795B"/>
    <w:rsid w:val="00B505B1"/>
    <w:rsid w:val="00B507B3"/>
    <w:rsid w:val="00B50801"/>
    <w:rsid w:val="00B51111"/>
    <w:rsid w:val="00B51327"/>
    <w:rsid w:val="00B519D5"/>
    <w:rsid w:val="00B5334C"/>
    <w:rsid w:val="00B53780"/>
    <w:rsid w:val="00B55558"/>
    <w:rsid w:val="00B5619F"/>
    <w:rsid w:val="00B56FAF"/>
    <w:rsid w:val="00B60590"/>
    <w:rsid w:val="00B62D8C"/>
    <w:rsid w:val="00B65136"/>
    <w:rsid w:val="00B651D5"/>
    <w:rsid w:val="00B66436"/>
    <w:rsid w:val="00B674C0"/>
    <w:rsid w:val="00B700E2"/>
    <w:rsid w:val="00B73F75"/>
    <w:rsid w:val="00B74158"/>
    <w:rsid w:val="00B800D0"/>
    <w:rsid w:val="00B82B12"/>
    <w:rsid w:val="00B835D5"/>
    <w:rsid w:val="00B8376D"/>
    <w:rsid w:val="00B84683"/>
    <w:rsid w:val="00B8598B"/>
    <w:rsid w:val="00B85ECF"/>
    <w:rsid w:val="00B86B1E"/>
    <w:rsid w:val="00B874B0"/>
    <w:rsid w:val="00B913CA"/>
    <w:rsid w:val="00B91962"/>
    <w:rsid w:val="00B9272A"/>
    <w:rsid w:val="00B92DE6"/>
    <w:rsid w:val="00B935C8"/>
    <w:rsid w:val="00B938BF"/>
    <w:rsid w:val="00B93D09"/>
    <w:rsid w:val="00B94AC8"/>
    <w:rsid w:val="00B9573A"/>
    <w:rsid w:val="00B958B7"/>
    <w:rsid w:val="00B97087"/>
    <w:rsid w:val="00B97428"/>
    <w:rsid w:val="00B9761E"/>
    <w:rsid w:val="00B97EC4"/>
    <w:rsid w:val="00BA0414"/>
    <w:rsid w:val="00BA0C3F"/>
    <w:rsid w:val="00BA0FF2"/>
    <w:rsid w:val="00BA144C"/>
    <w:rsid w:val="00BA172E"/>
    <w:rsid w:val="00BA2B3B"/>
    <w:rsid w:val="00BA32AB"/>
    <w:rsid w:val="00BA44AC"/>
    <w:rsid w:val="00BA480A"/>
    <w:rsid w:val="00BA6052"/>
    <w:rsid w:val="00BB0457"/>
    <w:rsid w:val="00BB0A06"/>
    <w:rsid w:val="00BB2B4D"/>
    <w:rsid w:val="00BB3464"/>
    <w:rsid w:val="00BB4E28"/>
    <w:rsid w:val="00BB5509"/>
    <w:rsid w:val="00BB7B77"/>
    <w:rsid w:val="00BC0272"/>
    <w:rsid w:val="00BC4D9D"/>
    <w:rsid w:val="00BC4E52"/>
    <w:rsid w:val="00BC591F"/>
    <w:rsid w:val="00BC59D0"/>
    <w:rsid w:val="00BD02F7"/>
    <w:rsid w:val="00BD1173"/>
    <w:rsid w:val="00BD11CC"/>
    <w:rsid w:val="00BD1244"/>
    <w:rsid w:val="00BD1F31"/>
    <w:rsid w:val="00BD23BF"/>
    <w:rsid w:val="00BD24CC"/>
    <w:rsid w:val="00BD29AD"/>
    <w:rsid w:val="00BD34FE"/>
    <w:rsid w:val="00BD368B"/>
    <w:rsid w:val="00BD4090"/>
    <w:rsid w:val="00BD40F4"/>
    <w:rsid w:val="00BD48F7"/>
    <w:rsid w:val="00BD6879"/>
    <w:rsid w:val="00BD71CB"/>
    <w:rsid w:val="00BD752D"/>
    <w:rsid w:val="00BE17CB"/>
    <w:rsid w:val="00BE299E"/>
    <w:rsid w:val="00BE36AE"/>
    <w:rsid w:val="00BE3811"/>
    <w:rsid w:val="00BF118D"/>
    <w:rsid w:val="00BF295F"/>
    <w:rsid w:val="00BF5DAD"/>
    <w:rsid w:val="00BF5F3C"/>
    <w:rsid w:val="00C015E5"/>
    <w:rsid w:val="00C039FF"/>
    <w:rsid w:val="00C03D06"/>
    <w:rsid w:val="00C05986"/>
    <w:rsid w:val="00C11546"/>
    <w:rsid w:val="00C12253"/>
    <w:rsid w:val="00C1541D"/>
    <w:rsid w:val="00C16941"/>
    <w:rsid w:val="00C17F64"/>
    <w:rsid w:val="00C20B36"/>
    <w:rsid w:val="00C21786"/>
    <w:rsid w:val="00C218D9"/>
    <w:rsid w:val="00C22425"/>
    <w:rsid w:val="00C22FAE"/>
    <w:rsid w:val="00C23991"/>
    <w:rsid w:val="00C254BB"/>
    <w:rsid w:val="00C25A76"/>
    <w:rsid w:val="00C25C39"/>
    <w:rsid w:val="00C351D2"/>
    <w:rsid w:val="00C35E4D"/>
    <w:rsid w:val="00C36947"/>
    <w:rsid w:val="00C37F35"/>
    <w:rsid w:val="00C40812"/>
    <w:rsid w:val="00C40F2D"/>
    <w:rsid w:val="00C41467"/>
    <w:rsid w:val="00C4467E"/>
    <w:rsid w:val="00C4786E"/>
    <w:rsid w:val="00C47A5E"/>
    <w:rsid w:val="00C50F16"/>
    <w:rsid w:val="00C535EB"/>
    <w:rsid w:val="00C53DBC"/>
    <w:rsid w:val="00C53FF5"/>
    <w:rsid w:val="00C5435B"/>
    <w:rsid w:val="00C54509"/>
    <w:rsid w:val="00C548EF"/>
    <w:rsid w:val="00C55219"/>
    <w:rsid w:val="00C63084"/>
    <w:rsid w:val="00C63142"/>
    <w:rsid w:val="00C65704"/>
    <w:rsid w:val="00C6684E"/>
    <w:rsid w:val="00C66CF2"/>
    <w:rsid w:val="00C6736D"/>
    <w:rsid w:val="00C70583"/>
    <w:rsid w:val="00C7129A"/>
    <w:rsid w:val="00C722C2"/>
    <w:rsid w:val="00C723A8"/>
    <w:rsid w:val="00C74D1D"/>
    <w:rsid w:val="00C750DE"/>
    <w:rsid w:val="00C76A64"/>
    <w:rsid w:val="00C823FE"/>
    <w:rsid w:val="00C83247"/>
    <w:rsid w:val="00C87ED8"/>
    <w:rsid w:val="00C90A95"/>
    <w:rsid w:val="00C910DA"/>
    <w:rsid w:val="00C92CF5"/>
    <w:rsid w:val="00C9402B"/>
    <w:rsid w:val="00C97ED3"/>
    <w:rsid w:val="00CA0898"/>
    <w:rsid w:val="00CA1DD0"/>
    <w:rsid w:val="00CA1EC5"/>
    <w:rsid w:val="00CA27B3"/>
    <w:rsid w:val="00CA2B2B"/>
    <w:rsid w:val="00CA2B90"/>
    <w:rsid w:val="00CA2E7E"/>
    <w:rsid w:val="00CA3B29"/>
    <w:rsid w:val="00CA4989"/>
    <w:rsid w:val="00CA584A"/>
    <w:rsid w:val="00CA5ACF"/>
    <w:rsid w:val="00CA6E00"/>
    <w:rsid w:val="00CB23DA"/>
    <w:rsid w:val="00CB2799"/>
    <w:rsid w:val="00CB2C9B"/>
    <w:rsid w:val="00CB6BE5"/>
    <w:rsid w:val="00CB6FD7"/>
    <w:rsid w:val="00CB7E32"/>
    <w:rsid w:val="00CC0050"/>
    <w:rsid w:val="00CC2047"/>
    <w:rsid w:val="00CC289C"/>
    <w:rsid w:val="00CC43F6"/>
    <w:rsid w:val="00CC451C"/>
    <w:rsid w:val="00CC58DD"/>
    <w:rsid w:val="00CC75E5"/>
    <w:rsid w:val="00CD122A"/>
    <w:rsid w:val="00CD1D45"/>
    <w:rsid w:val="00CD20F6"/>
    <w:rsid w:val="00CD353D"/>
    <w:rsid w:val="00CD46F1"/>
    <w:rsid w:val="00CD6110"/>
    <w:rsid w:val="00CD6A72"/>
    <w:rsid w:val="00CD6B05"/>
    <w:rsid w:val="00CD6EEA"/>
    <w:rsid w:val="00CD7650"/>
    <w:rsid w:val="00CE0F34"/>
    <w:rsid w:val="00CE14C7"/>
    <w:rsid w:val="00CE2447"/>
    <w:rsid w:val="00CE277E"/>
    <w:rsid w:val="00CE3042"/>
    <w:rsid w:val="00CE4BE7"/>
    <w:rsid w:val="00CE4CD7"/>
    <w:rsid w:val="00CE60A3"/>
    <w:rsid w:val="00CF07BF"/>
    <w:rsid w:val="00CF1DAB"/>
    <w:rsid w:val="00CF1EF7"/>
    <w:rsid w:val="00CF30D9"/>
    <w:rsid w:val="00CF512C"/>
    <w:rsid w:val="00CF66EE"/>
    <w:rsid w:val="00CF6B6F"/>
    <w:rsid w:val="00CF6C0E"/>
    <w:rsid w:val="00CF7AE4"/>
    <w:rsid w:val="00CF7B45"/>
    <w:rsid w:val="00D0142D"/>
    <w:rsid w:val="00D027AC"/>
    <w:rsid w:val="00D0393F"/>
    <w:rsid w:val="00D041CC"/>
    <w:rsid w:val="00D0687C"/>
    <w:rsid w:val="00D06A0D"/>
    <w:rsid w:val="00D120A9"/>
    <w:rsid w:val="00D126F5"/>
    <w:rsid w:val="00D1484F"/>
    <w:rsid w:val="00D1487C"/>
    <w:rsid w:val="00D14DCC"/>
    <w:rsid w:val="00D15540"/>
    <w:rsid w:val="00D15C43"/>
    <w:rsid w:val="00D206CB"/>
    <w:rsid w:val="00D214A2"/>
    <w:rsid w:val="00D21F46"/>
    <w:rsid w:val="00D222A9"/>
    <w:rsid w:val="00D2304B"/>
    <w:rsid w:val="00D23447"/>
    <w:rsid w:val="00D23AB6"/>
    <w:rsid w:val="00D23FCB"/>
    <w:rsid w:val="00D256FD"/>
    <w:rsid w:val="00D26FEA"/>
    <w:rsid w:val="00D30392"/>
    <w:rsid w:val="00D3393C"/>
    <w:rsid w:val="00D36085"/>
    <w:rsid w:val="00D3677B"/>
    <w:rsid w:val="00D3701F"/>
    <w:rsid w:val="00D379A1"/>
    <w:rsid w:val="00D41718"/>
    <w:rsid w:val="00D4218B"/>
    <w:rsid w:val="00D421B7"/>
    <w:rsid w:val="00D42CE2"/>
    <w:rsid w:val="00D44D9E"/>
    <w:rsid w:val="00D4750F"/>
    <w:rsid w:val="00D47923"/>
    <w:rsid w:val="00D5066B"/>
    <w:rsid w:val="00D50823"/>
    <w:rsid w:val="00D522BE"/>
    <w:rsid w:val="00D5556F"/>
    <w:rsid w:val="00D5677D"/>
    <w:rsid w:val="00D6117C"/>
    <w:rsid w:val="00D62BE3"/>
    <w:rsid w:val="00D6315D"/>
    <w:rsid w:val="00D647C3"/>
    <w:rsid w:val="00D64A56"/>
    <w:rsid w:val="00D64C2F"/>
    <w:rsid w:val="00D65A03"/>
    <w:rsid w:val="00D67A21"/>
    <w:rsid w:val="00D70314"/>
    <w:rsid w:val="00D71262"/>
    <w:rsid w:val="00D722D8"/>
    <w:rsid w:val="00D72525"/>
    <w:rsid w:val="00D73EE5"/>
    <w:rsid w:val="00D74826"/>
    <w:rsid w:val="00D74A00"/>
    <w:rsid w:val="00D76AC6"/>
    <w:rsid w:val="00D76D56"/>
    <w:rsid w:val="00D771C4"/>
    <w:rsid w:val="00D82F00"/>
    <w:rsid w:val="00D86593"/>
    <w:rsid w:val="00D90098"/>
    <w:rsid w:val="00D91426"/>
    <w:rsid w:val="00D92F04"/>
    <w:rsid w:val="00D9319A"/>
    <w:rsid w:val="00D931DD"/>
    <w:rsid w:val="00D95501"/>
    <w:rsid w:val="00D96177"/>
    <w:rsid w:val="00D96A11"/>
    <w:rsid w:val="00DA03EA"/>
    <w:rsid w:val="00DA0A1D"/>
    <w:rsid w:val="00DA0CDA"/>
    <w:rsid w:val="00DA1659"/>
    <w:rsid w:val="00DA3DF5"/>
    <w:rsid w:val="00DA5DB7"/>
    <w:rsid w:val="00DB19D4"/>
    <w:rsid w:val="00DB1EF9"/>
    <w:rsid w:val="00DB2C2F"/>
    <w:rsid w:val="00DB5246"/>
    <w:rsid w:val="00DB612B"/>
    <w:rsid w:val="00DC1231"/>
    <w:rsid w:val="00DC62DE"/>
    <w:rsid w:val="00DC6626"/>
    <w:rsid w:val="00DC7F00"/>
    <w:rsid w:val="00DD026F"/>
    <w:rsid w:val="00DD0C45"/>
    <w:rsid w:val="00DD1EE9"/>
    <w:rsid w:val="00DD4D72"/>
    <w:rsid w:val="00DD731F"/>
    <w:rsid w:val="00DD7D06"/>
    <w:rsid w:val="00DD7F5B"/>
    <w:rsid w:val="00DE3492"/>
    <w:rsid w:val="00DE4F12"/>
    <w:rsid w:val="00DE4F43"/>
    <w:rsid w:val="00DE59B1"/>
    <w:rsid w:val="00DE5B6E"/>
    <w:rsid w:val="00DE67BA"/>
    <w:rsid w:val="00DE7C3C"/>
    <w:rsid w:val="00DF030B"/>
    <w:rsid w:val="00DF0746"/>
    <w:rsid w:val="00DF0F13"/>
    <w:rsid w:val="00DF10F6"/>
    <w:rsid w:val="00DF2716"/>
    <w:rsid w:val="00DF48A9"/>
    <w:rsid w:val="00DF555C"/>
    <w:rsid w:val="00DF5918"/>
    <w:rsid w:val="00DF6ABA"/>
    <w:rsid w:val="00E06C57"/>
    <w:rsid w:val="00E11157"/>
    <w:rsid w:val="00E1199C"/>
    <w:rsid w:val="00E13165"/>
    <w:rsid w:val="00E14EE0"/>
    <w:rsid w:val="00E152AF"/>
    <w:rsid w:val="00E15593"/>
    <w:rsid w:val="00E155F7"/>
    <w:rsid w:val="00E1687E"/>
    <w:rsid w:val="00E16C63"/>
    <w:rsid w:val="00E22D42"/>
    <w:rsid w:val="00E22F4B"/>
    <w:rsid w:val="00E23224"/>
    <w:rsid w:val="00E23B6D"/>
    <w:rsid w:val="00E24232"/>
    <w:rsid w:val="00E263A7"/>
    <w:rsid w:val="00E26505"/>
    <w:rsid w:val="00E26D61"/>
    <w:rsid w:val="00E276F8"/>
    <w:rsid w:val="00E30971"/>
    <w:rsid w:val="00E31AC5"/>
    <w:rsid w:val="00E3205B"/>
    <w:rsid w:val="00E32390"/>
    <w:rsid w:val="00E330F7"/>
    <w:rsid w:val="00E33699"/>
    <w:rsid w:val="00E33946"/>
    <w:rsid w:val="00E37758"/>
    <w:rsid w:val="00E40475"/>
    <w:rsid w:val="00E413F0"/>
    <w:rsid w:val="00E416F0"/>
    <w:rsid w:val="00E4250B"/>
    <w:rsid w:val="00E431DA"/>
    <w:rsid w:val="00E439BF"/>
    <w:rsid w:val="00E44C19"/>
    <w:rsid w:val="00E452F1"/>
    <w:rsid w:val="00E4560C"/>
    <w:rsid w:val="00E456BF"/>
    <w:rsid w:val="00E45824"/>
    <w:rsid w:val="00E45F61"/>
    <w:rsid w:val="00E50BF2"/>
    <w:rsid w:val="00E53384"/>
    <w:rsid w:val="00E53695"/>
    <w:rsid w:val="00E53B2D"/>
    <w:rsid w:val="00E54ED6"/>
    <w:rsid w:val="00E57625"/>
    <w:rsid w:val="00E5779E"/>
    <w:rsid w:val="00E6060A"/>
    <w:rsid w:val="00E6090A"/>
    <w:rsid w:val="00E63FAF"/>
    <w:rsid w:val="00E64051"/>
    <w:rsid w:val="00E64927"/>
    <w:rsid w:val="00E64981"/>
    <w:rsid w:val="00E666B6"/>
    <w:rsid w:val="00E67974"/>
    <w:rsid w:val="00E67E53"/>
    <w:rsid w:val="00E70BCD"/>
    <w:rsid w:val="00E70C30"/>
    <w:rsid w:val="00E71EB6"/>
    <w:rsid w:val="00E7293E"/>
    <w:rsid w:val="00E73651"/>
    <w:rsid w:val="00E73A5E"/>
    <w:rsid w:val="00E742C5"/>
    <w:rsid w:val="00E77BEB"/>
    <w:rsid w:val="00E80352"/>
    <w:rsid w:val="00E818DC"/>
    <w:rsid w:val="00E836A9"/>
    <w:rsid w:val="00E84C65"/>
    <w:rsid w:val="00E874E1"/>
    <w:rsid w:val="00E87A62"/>
    <w:rsid w:val="00E90202"/>
    <w:rsid w:val="00E91808"/>
    <w:rsid w:val="00E92070"/>
    <w:rsid w:val="00E92156"/>
    <w:rsid w:val="00E9231D"/>
    <w:rsid w:val="00E94567"/>
    <w:rsid w:val="00E9464E"/>
    <w:rsid w:val="00E9689A"/>
    <w:rsid w:val="00E97A99"/>
    <w:rsid w:val="00E97D75"/>
    <w:rsid w:val="00EA282F"/>
    <w:rsid w:val="00EA31D4"/>
    <w:rsid w:val="00EA36A2"/>
    <w:rsid w:val="00EA6A00"/>
    <w:rsid w:val="00EB0C79"/>
    <w:rsid w:val="00EB26A3"/>
    <w:rsid w:val="00EB4359"/>
    <w:rsid w:val="00EB47AE"/>
    <w:rsid w:val="00EB4C1A"/>
    <w:rsid w:val="00EC02B9"/>
    <w:rsid w:val="00EC02F0"/>
    <w:rsid w:val="00EC0990"/>
    <w:rsid w:val="00EC0FA0"/>
    <w:rsid w:val="00EC29EA"/>
    <w:rsid w:val="00EC61FC"/>
    <w:rsid w:val="00EC7D0A"/>
    <w:rsid w:val="00ED13FF"/>
    <w:rsid w:val="00ED20E5"/>
    <w:rsid w:val="00ED22DC"/>
    <w:rsid w:val="00ED23D9"/>
    <w:rsid w:val="00ED6B11"/>
    <w:rsid w:val="00ED6DBA"/>
    <w:rsid w:val="00EE0542"/>
    <w:rsid w:val="00EE0B2D"/>
    <w:rsid w:val="00EE0D76"/>
    <w:rsid w:val="00EE28F3"/>
    <w:rsid w:val="00EE76B0"/>
    <w:rsid w:val="00EF1B6F"/>
    <w:rsid w:val="00EF2897"/>
    <w:rsid w:val="00EF46E7"/>
    <w:rsid w:val="00EF4AE6"/>
    <w:rsid w:val="00EF4EDD"/>
    <w:rsid w:val="00EF5D3E"/>
    <w:rsid w:val="00EF6326"/>
    <w:rsid w:val="00EF778D"/>
    <w:rsid w:val="00EF78D2"/>
    <w:rsid w:val="00F00497"/>
    <w:rsid w:val="00F00BC9"/>
    <w:rsid w:val="00F04361"/>
    <w:rsid w:val="00F062D8"/>
    <w:rsid w:val="00F06770"/>
    <w:rsid w:val="00F07F69"/>
    <w:rsid w:val="00F10A59"/>
    <w:rsid w:val="00F11CE1"/>
    <w:rsid w:val="00F1360F"/>
    <w:rsid w:val="00F15A0A"/>
    <w:rsid w:val="00F16450"/>
    <w:rsid w:val="00F168ED"/>
    <w:rsid w:val="00F16E3F"/>
    <w:rsid w:val="00F20EE1"/>
    <w:rsid w:val="00F213FC"/>
    <w:rsid w:val="00F24A35"/>
    <w:rsid w:val="00F24E01"/>
    <w:rsid w:val="00F25196"/>
    <w:rsid w:val="00F26D63"/>
    <w:rsid w:val="00F26D9D"/>
    <w:rsid w:val="00F2746C"/>
    <w:rsid w:val="00F314FE"/>
    <w:rsid w:val="00F318D5"/>
    <w:rsid w:val="00F31A6B"/>
    <w:rsid w:val="00F327EA"/>
    <w:rsid w:val="00F32F29"/>
    <w:rsid w:val="00F35A27"/>
    <w:rsid w:val="00F35C5D"/>
    <w:rsid w:val="00F36ADC"/>
    <w:rsid w:val="00F37D88"/>
    <w:rsid w:val="00F40498"/>
    <w:rsid w:val="00F431B9"/>
    <w:rsid w:val="00F43E8C"/>
    <w:rsid w:val="00F4439B"/>
    <w:rsid w:val="00F44660"/>
    <w:rsid w:val="00F4575B"/>
    <w:rsid w:val="00F50274"/>
    <w:rsid w:val="00F53D1F"/>
    <w:rsid w:val="00F550C5"/>
    <w:rsid w:val="00F5584A"/>
    <w:rsid w:val="00F566B0"/>
    <w:rsid w:val="00F57359"/>
    <w:rsid w:val="00F60C0A"/>
    <w:rsid w:val="00F60C64"/>
    <w:rsid w:val="00F6245C"/>
    <w:rsid w:val="00F65918"/>
    <w:rsid w:val="00F65B18"/>
    <w:rsid w:val="00F6724F"/>
    <w:rsid w:val="00F70EF6"/>
    <w:rsid w:val="00F71251"/>
    <w:rsid w:val="00F71E7C"/>
    <w:rsid w:val="00F72FDD"/>
    <w:rsid w:val="00F75106"/>
    <w:rsid w:val="00F75163"/>
    <w:rsid w:val="00F76F85"/>
    <w:rsid w:val="00F816D2"/>
    <w:rsid w:val="00F829C3"/>
    <w:rsid w:val="00F83424"/>
    <w:rsid w:val="00F85E72"/>
    <w:rsid w:val="00F86DE7"/>
    <w:rsid w:val="00F87347"/>
    <w:rsid w:val="00F87B20"/>
    <w:rsid w:val="00F90383"/>
    <w:rsid w:val="00F922B2"/>
    <w:rsid w:val="00F926C2"/>
    <w:rsid w:val="00F928E0"/>
    <w:rsid w:val="00F95320"/>
    <w:rsid w:val="00FA1B2D"/>
    <w:rsid w:val="00FA1B8D"/>
    <w:rsid w:val="00FA45BE"/>
    <w:rsid w:val="00FA6864"/>
    <w:rsid w:val="00FA70E7"/>
    <w:rsid w:val="00FA7BCD"/>
    <w:rsid w:val="00FB2131"/>
    <w:rsid w:val="00FB2299"/>
    <w:rsid w:val="00FB31D2"/>
    <w:rsid w:val="00FB407A"/>
    <w:rsid w:val="00FB4C7C"/>
    <w:rsid w:val="00FB5F81"/>
    <w:rsid w:val="00FB62C4"/>
    <w:rsid w:val="00FB71DD"/>
    <w:rsid w:val="00FC026F"/>
    <w:rsid w:val="00FC03D6"/>
    <w:rsid w:val="00FC4C91"/>
    <w:rsid w:val="00FC7D26"/>
    <w:rsid w:val="00FD017B"/>
    <w:rsid w:val="00FD304F"/>
    <w:rsid w:val="00FD3E11"/>
    <w:rsid w:val="00FD7323"/>
    <w:rsid w:val="00FD73DB"/>
    <w:rsid w:val="00FD7771"/>
    <w:rsid w:val="00FD7F1B"/>
    <w:rsid w:val="00FE0A31"/>
    <w:rsid w:val="00FE2FC3"/>
    <w:rsid w:val="00FE4BF7"/>
    <w:rsid w:val="00FE5660"/>
    <w:rsid w:val="00FE73DD"/>
    <w:rsid w:val="00FE7E02"/>
    <w:rsid w:val="00FF1C49"/>
    <w:rsid w:val="00FF24D7"/>
    <w:rsid w:val="00FF4298"/>
    <w:rsid w:val="00FF46A1"/>
    <w:rsid w:val="00FF4AFD"/>
    <w:rsid w:val="00FF7B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110C7"/>
  <w15:docId w15:val="{3A6F9571-8ED6-436A-9529-C3169C37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185553"/>
    <w:rPr>
      <w:color w:val="808080"/>
    </w:rPr>
  </w:style>
  <w:style w:type="paragraph" w:styleId="Revisie">
    <w:name w:val="Revision"/>
    <w:hidden/>
    <w:uiPriority w:val="99"/>
    <w:semiHidden/>
    <w:rsid w:val="003D1CF1"/>
    <w:rPr>
      <w:rFonts w:ascii="Univers" w:hAnsi="Univers"/>
      <w:sz w:val="22"/>
      <w:szCs w:val="24"/>
    </w:rPr>
  </w:style>
  <w:style w:type="paragraph" w:styleId="Voetnoottekst">
    <w:name w:val="footnote text"/>
    <w:basedOn w:val="Standaard"/>
    <w:link w:val="VoetnoottekstChar"/>
    <w:uiPriority w:val="99"/>
    <w:semiHidden/>
    <w:unhideWhenUsed/>
    <w:rsid w:val="004817D7"/>
    <w:rPr>
      <w:sz w:val="20"/>
      <w:szCs w:val="20"/>
    </w:rPr>
  </w:style>
  <w:style w:type="character" w:customStyle="1" w:styleId="VoetnoottekstChar">
    <w:name w:val="Voetnoottekst Char"/>
    <w:basedOn w:val="Standaardalinea-lettertype"/>
    <w:link w:val="Voetnoottekst"/>
    <w:uiPriority w:val="99"/>
    <w:semiHidden/>
    <w:rsid w:val="004817D7"/>
    <w:rPr>
      <w:rFonts w:ascii="Univers" w:hAnsi="Univers"/>
    </w:rPr>
  </w:style>
  <w:style w:type="character" w:styleId="Voetnootmarkering">
    <w:name w:val="footnote reference"/>
    <w:basedOn w:val="Standaardalinea-lettertype"/>
    <w:uiPriority w:val="99"/>
    <w:semiHidden/>
    <w:unhideWhenUsed/>
    <w:rsid w:val="004817D7"/>
    <w:rPr>
      <w:vertAlign w:val="superscript"/>
    </w:rPr>
  </w:style>
  <w:style w:type="paragraph" w:styleId="Lijstalinea">
    <w:name w:val="List Paragraph"/>
    <w:basedOn w:val="Standaard"/>
    <w:uiPriority w:val="34"/>
    <w:qFormat/>
    <w:rsid w:val="002A4723"/>
    <w:pPr>
      <w:ind w:left="720"/>
      <w:contextualSpacing/>
    </w:pPr>
  </w:style>
  <w:style w:type="character" w:styleId="Hyperlink">
    <w:name w:val="Hyperlink"/>
    <w:basedOn w:val="Standaardalinea-lettertype"/>
    <w:uiPriority w:val="99"/>
    <w:unhideWhenUsed/>
    <w:rsid w:val="002061D7"/>
    <w:rPr>
      <w:color w:val="0000FF" w:themeColor="hyperlink"/>
      <w:u w:val="single"/>
    </w:rPr>
  </w:style>
  <w:style w:type="character" w:styleId="Onopgelostemelding">
    <w:name w:val="Unresolved Mention"/>
    <w:basedOn w:val="Standaardalinea-lettertype"/>
    <w:uiPriority w:val="99"/>
    <w:rsid w:val="002061D7"/>
    <w:rPr>
      <w:color w:val="605E5C"/>
      <w:shd w:val="clear" w:color="auto" w:fill="E1DFDD"/>
    </w:rPr>
  </w:style>
  <w:style w:type="character" w:styleId="Verwijzingopmerking">
    <w:name w:val="annotation reference"/>
    <w:basedOn w:val="Standaardalinea-lettertype"/>
    <w:uiPriority w:val="99"/>
    <w:semiHidden/>
    <w:unhideWhenUsed/>
    <w:rsid w:val="00B5619F"/>
    <w:rPr>
      <w:sz w:val="16"/>
      <w:szCs w:val="16"/>
    </w:rPr>
  </w:style>
  <w:style w:type="paragraph" w:styleId="Tekstopmerking">
    <w:name w:val="annotation text"/>
    <w:basedOn w:val="Standaard"/>
    <w:link w:val="TekstopmerkingChar"/>
    <w:uiPriority w:val="99"/>
    <w:unhideWhenUsed/>
    <w:rsid w:val="00B5619F"/>
    <w:rPr>
      <w:sz w:val="20"/>
      <w:szCs w:val="20"/>
    </w:rPr>
  </w:style>
  <w:style w:type="character" w:customStyle="1" w:styleId="TekstopmerkingChar">
    <w:name w:val="Tekst opmerking Char"/>
    <w:basedOn w:val="Standaardalinea-lettertype"/>
    <w:link w:val="Tekstopmerking"/>
    <w:uiPriority w:val="99"/>
    <w:rsid w:val="00B5619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B5619F"/>
    <w:rPr>
      <w:b/>
      <w:bCs/>
    </w:rPr>
  </w:style>
  <w:style w:type="character" w:customStyle="1" w:styleId="OnderwerpvanopmerkingChar">
    <w:name w:val="Onderwerp van opmerking Char"/>
    <w:basedOn w:val="TekstopmerkingChar"/>
    <w:link w:val="Onderwerpvanopmerking"/>
    <w:uiPriority w:val="99"/>
    <w:semiHidden/>
    <w:rsid w:val="00B5619F"/>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3663E95-392C-4F6E-B152-9C33902A5753}"/>
      </w:docPartPr>
      <w:docPartBody>
        <w:p w:rsidR="00690CC5" w:rsidRDefault="00690CC5">
          <w:r w:rsidRPr="004D379A">
            <w:rPr>
              <w:rStyle w:val="Tekstvantijdelijkeaanduiding"/>
            </w:rPr>
            <w:t>Klik of tik om tekst in te voeren.</w:t>
          </w:r>
        </w:p>
      </w:docPartBody>
    </w:docPart>
    <w:docPart>
      <w:docPartPr>
        <w:name w:val="755957A1C5E94B3981F51B8027FE4130"/>
        <w:category>
          <w:name w:val="Algemeen"/>
          <w:gallery w:val="placeholder"/>
        </w:category>
        <w:types>
          <w:type w:val="bbPlcHdr"/>
        </w:types>
        <w:behaviors>
          <w:behavior w:val="content"/>
        </w:behaviors>
        <w:guid w:val="{84E5B36C-5FB8-4293-8798-AE3A91281C36}"/>
      </w:docPartPr>
      <w:docPartBody>
        <w:p w:rsidR="00743076" w:rsidRDefault="009B790D">
          <w:r>
            <w:t>De Afdeling advisering van de Raad van State heeft een aantal bezwaren bij het voorstel en adviseert het voorstel niet bij de Tweede Kamer der Staten-Generaal in te dienen, tenzij het is aangepast.</w:t>
          </w:r>
          <w:r>
            <w:br/>
          </w:r>
          <w:r>
            <w:br/>
          </w:r>
          <w:r>
            <w:br/>
          </w:r>
          <w:r>
            <w:br/>
          </w:r>
          <w:r>
            <w:br/>
          </w:r>
          <w:r>
            <w:br/>
            <w:t>De vice-president van de Raad van State,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C5"/>
    <w:rsid w:val="00013CC3"/>
    <w:rsid w:val="00073DD8"/>
    <w:rsid w:val="00345722"/>
    <w:rsid w:val="004F09BD"/>
    <w:rsid w:val="00582402"/>
    <w:rsid w:val="00590178"/>
    <w:rsid w:val="006243D9"/>
    <w:rsid w:val="00690CC5"/>
    <w:rsid w:val="00743076"/>
    <w:rsid w:val="007B4FE1"/>
    <w:rsid w:val="00813F78"/>
    <w:rsid w:val="009B790D"/>
    <w:rsid w:val="00B00F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90C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1974</ap:Words>
  <ap:Characters>11897</ap:Characters>
  <ap:DocSecurity>4</ap:DocSecurity>
  <ap:Lines>99</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2024-08-13T15:22:00.0000000Z</lastPrinted>
  <dcterms:created xsi:type="dcterms:W3CDTF">2024-09-23T10:02:00.0000000Z</dcterms:created>
  <dcterms:modified xsi:type="dcterms:W3CDTF">2024-09-23T10:02:00.0000000Z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W11.24.00166/IV</vt:lpwstr>
  </property>
  <property fmtid="{D5CDD505-2E9C-101B-9397-08002B2CF9AE}" pid="5" name="zaaktype">
    <vt:lpwstr>WET</vt:lpwstr>
  </property>
  <property fmtid="{D5CDD505-2E9C-101B-9397-08002B2CF9AE}" pid="6" name="ContentTypeId">
    <vt:lpwstr>0x010100FA5A77795FEADA4EA512273036134446000BB8F42995A2F64A955B55E73B038A49</vt:lpwstr>
  </property>
  <property fmtid="{D5CDD505-2E9C-101B-9397-08002B2CF9AE}" pid="7" name="Bestemming">
    <vt:lpwstr>2;#Corsa|a7721b99-8166-4953-a37e-7c8574fb4b8b</vt:lpwstr>
  </property>
  <property fmtid="{D5CDD505-2E9C-101B-9397-08002B2CF9AE}" pid="8" name="_dlc_DocIdItemGuid">
    <vt:lpwstr>a9862642-73b6-48bc-9371-38029070c958</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4de96c15,76f47711,510fb2e8</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ies>
</file>