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D49BF" w:rsidTr="00BD49BF" w14:paraId="25C9E2B6" w14:textId="77777777">
        <w:sdt>
          <w:sdtPr>
            <w:tag w:val="bmZaakNummerAdvies"/>
            <w:id w:val="1295709610"/>
            <w:lock w:val="sdtLocked"/>
            <w:placeholder>
              <w:docPart w:val="DefaultPlaceholder_-1854013440"/>
            </w:placeholder>
          </w:sdtPr>
          <w:sdtEndPr/>
          <w:sdtContent>
            <w:tc>
              <w:tcPr>
                <w:tcW w:w="4251" w:type="dxa"/>
              </w:tcPr>
              <w:p w:rsidR="00BD49BF" w:rsidRDefault="00BD49BF" w14:paraId="44369E5B" w14:textId="312AE52A">
                <w:r>
                  <w:t>No. W12.24.00148/III</w:t>
                </w:r>
              </w:p>
            </w:tc>
          </w:sdtContent>
        </w:sdt>
        <w:sdt>
          <w:sdtPr>
            <w:tag w:val="bmDatumAdvies"/>
            <w:id w:val="899717358"/>
            <w:lock w:val="sdtLocked"/>
            <w:placeholder>
              <w:docPart w:val="DefaultPlaceholder_-1854013440"/>
            </w:placeholder>
          </w:sdtPr>
          <w:sdtEndPr/>
          <w:sdtContent>
            <w:tc>
              <w:tcPr>
                <w:tcW w:w="4252" w:type="dxa"/>
              </w:tcPr>
              <w:p w:rsidR="00BD49BF" w:rsidRDefault="00BD49BF" w14:paraId="7E65E332" w14:textId="7316E2FF">
                <w:r>
                  <w:t>'s-Gravenhage, 2</w:t>
                </w:r>
                <w:r w:rsidR="00B233B8">
                  <w:t>4</w:t>
                </w:r>
                <w:r>
                  <w:t xml:space="preserve"> juli 2024</w:t>
                </w:r>
              </w:p>
            </w:tc>
          </w:sdtContent>
        </w:sdt>
      </w:tr>
    </w:tbl>
    <w:p w:rsidR="00BD49BF" w:rsidRDefault="00BD49BF" w14:paraId="36568F29" w14:textId="77777777"/>
    <w:p w:rsidR="00BD49BF" w:rsidRDefault="00BD49BF" w14:paraId="03D11C0B" w14:textId="77777777"/>
    <w:p w:rsidR="001978DD" w:rsidRDefault="007F6A97" w14:paraId="711E704B" w14:textId="40363D10">
      <w:sdt>
        <w:sdtPr>
          <w:tag w:val="bmAanhef"/>
          <w:id w:val="-692447990"/>
          <w:lock w:val="sdtLocked"/>
          <w:placeholder>
            <w:docPart w:val="DefaultPlaceholder_-1854013440"/>
          </w:placeholder>
        </w:sdtPr>
        <w:sdtEndPr/>
        <w:sdtContent>
          <w:r w:rsidR="00BD49BF">
            <w:rPr>
              <w:color w:val="000000"/>
            </w:rPr>
            <w:t>Bij Kabinetsmissive van 26 juni 2024, no.2024001531, heeft Uwe Majesteit, op voordracht van de Minister voor Armoedebeleid, Participatie en Pensioenen</w:t>
          </w:r>
          <w:r w:rsidR="000E484C">
            <w:rPr>
              <w:rStyle w:val="Voetnootmarkering"/>
              <w:color w:val="000000"/>
            </w:rPr>
            <w:footnoteReference w:id="2"/>
          </w:r>
          <w:r w:rsidR="00BD49BF">
            <w:rPr>
              <w:color w:val="000000"/>
            </w:rPr>
            <w:t>, bij de Afdeling advisering van de Raad van State ter overweging aanhangig gemaakt het voorstel van wet tot wijziging van de Participatiewet inzake een tijdelijke regeling voor een tegemoetkoming in verband met de alleenverdienersproblematiek (Wet tijdelijke regeling alleenverdienersproblematiek), met memorie van toelichting.</w:t>
          </w:r>
        </w:sdtContent>
      </w:sdt>
    </w:p>
    <w:p w:rsidR="001978DD" w:rsidRDefault="001978DD" w14:paraId="711E704C" w14:textId="77777777"/>
    <w:sdt>
      <w:sdtPr>
        <w:tag w:val="bmVrijeTekst1"/>
        <w:id w:val="580262554"/>
        <w:lock w:val="sdtLocked"/>
        <w:placeholder>
          <w:docPart w:val="DefaultPlaceholder_-1854013440"/>
        </w:placeholder>
      </w:sdtPr>
      <w:sdtEndPr/>
      <w:sdtContent>
        <w:p w:rsidRPr="0042408D" w:rsidR="0042408D" w:rsidP="0042408D" w:rsidRDefault="00D97BCE" w14:paraId="4BF30D99" w14:textId="73722AC8">
          <w:r w:rsidRPr="00D97BCE">
            <w:t>Het wetsvoorstel voorziet in een tijdelijke oplossing voor de zogenaamde ‘alleenverdienersproblematiek’</w:t>
          </w:r>
          <w:r w:rsidR="00FA647E">
            <w:t xml:space="preserve">. </w:t>
          </w:r>
          <w:r w:rsidR="00353C3D">
            <w:t>Dat huishoudens met een alleenverdiener onder omstandigheden een lager besteedbaar inkomen hebben dan vergelijkbare huishoudens in de bijstand,</w:t>
          </w:r>
          <w:r w:rsidR="00FA647E">
            <w:t xml:space="preserve"> speelt al geruime tijd. </w:t>
          </w:r>
          <w:r w:rsidR="00554B43">
            <w:t>In</w:t>
          </w:r>
          <w:r w:rsidRPr="00D97BCE">
            <w:t xml:space="preserve"> de Participatiewet</w:t>
          </w:r>
          <w:r w:rsidR="00554B43">
            <w:t xml:space="preserve"> wordt</w:t>
          </w:r>
          <w:r w:rsidRPr="00D97BCE">
            <w:t xml:space="preserve"> </w:t>
          </w:r>
          <w:r w:rsidR="00FA647E">
            <w:t>nu g</w:t>
          </w:r>
          <w:r w:rsidRPr="00D97BCE">
            <w:t xml:space="preserve">eregeld dat het college </w:t>
          </w:r>
          <w:r w:rsidR="004E37C1">
            <w:t xml:space="preserve">van burgemeester en wethouders </w:t>
          </w:r>
          <w:r w:rsidRPr="00D97BCE">
            <w:t xml:space="preserve">ambtshalve of op aanvraag een tegemoetkoming kan toekennen aan </w:t>
          </w:r>
          <w:r w:rsidR="00073CDA">
            <w:t xml:space="preserve">een </w:t>
          </w:r>
          <w:r w:rsidR="006E0BF6">
            <w:t xml:space="preserve">afgebakende </w:t>
          </w:r>
          <w:r w:rsidR="00135466">
            <w:t xml:space="preserve">doelgroep van </w:t>
          </w:r>
          <w:r w:rsidR="00073CDA">
            <w:t>alleenverdiener</w:t>
          </w:r>
          <w:r w:rsidR="00135466">
            <w:t>s</w:t>
          </w:r>
          <w:r w:rsidR="003A43FC">
            <w:t xml:space="preserve">. </w:t>
          </w:r>
          <w:r w:rsidR="00FA647E">
            <w:t xml:space="preserve">Een </w:t>
          </w:r>
          <w:r w:rsidRPr="00272E9B" w:rsidR="00272E9B">
            <w:t>structurele oplossing</w:t>
          </w:r>
          <w:r w:rsidR="00A001F0">
            <w:t xml:space="preserve"> </w:t>
          </w:r>
          <w:r w:rsidR="00A335B0">
            <w:t>wo</w:t>
          </w:r>
          <w:r w:rsidRPr="00272E9B" w:rsidR="00272E9B">
            <w:t>rdt voorzien voor 2028.</w:t>
          </w:r>
        </w:p>
        <w:p w:rsidR="00A001F0" w:rsidP="0042408D" w:rsidRDefault="00A001F0" w14:paraId="5E0CA0BA" w14:textId="77777777"/>
        <w:p w:rsidR="0007227D" w:rsidP="0042408D" w:rsidRDefault="00A001F0" w14:paraId="38A7EDA3" w14:textId="3165004A">
          <w:r>
            <w:t xml:space="preserve">De Afdeling </w:t>
          </w:r>
          <w:r w:rsidR="0072159E">
            <w:t xml:space="preserve">advisering van de Raad van State </w:t>
          </w:r>
          <w:r w:rsidRPr="005B7A2C" w:rsidR="005B7A2C">
            <w:t>begrijpt</w:t>
          </w:r>
          <w:r w:rsidR="005B7A2C">
            <w:t xml:space="preserve"> de </w:t>
          </w:r>
          <w:r w:rsidRPr="005B7A2C" w:rsidR="005B7A2C">
            <w:t>wens om</w:t>
          </w:r>
          <w:r w:rsidR="005B7A2C">
            <w:t xml:space="preserve">, </w:t>
          </w:r>
          <w:r w:rsidRPr="005B7A2C" w:rsidR="005B7A2C">
            <w:t>in afwachting van een definitieve oplossing voor de</w:t>
          </w:r>
          <w:r w:rsidR="002012A8">
            <w:t>ze problematiek</w:t>
          </w:r>
          <w:r w:rsidR="005B7A2C">
            <w:t>,</w:t>
          </w:r>
          <w:r w:rsidRPr="005B7A2C" w:rsidR="005B7A2C">
            <w:t xml:space="preserve"> te voorzien in een tijdelijke regeling. </w:t>
          </w:r>
          <w:r w:rsidR="000D72E8">
            <w:t xml:space="preserve">Het is ook begrijpelijk </w:t>
          </w:r>
          <w:r w:rsidRPr="005B7A2C" w:rsidR="005B7A2C">
            <w:t>dat is gekozen voor uitvoering</w:t>
          </w:r>
          <w:r w:rsidR="00885F67">
            <w:t xml:space="preserve"> van deze tijdelijke regeling</w:t>
          </w:r>
          <w:r w:rsidRPr="005B7A2C" w:rsidR="005B7A2C">
            <w:t xml:space="preserve"> door gemeenten en dat de vormgeving van de regeling is afgestemd op de beperkte mogelijkheden die gemeenten in dat kader hebben. </w:t>
          </w:r>
          <w:r w:rsidR="00FD124F">
            <w:t xml:space="preserve">Uitvoering op </w:t>
          </w:r>
          <w:r w:rsidR="00080E09">
            <w:t xml:space="preserve">centraal </w:t>
          </w:r>
          <w:r w:rsidR="00FD124F">
            <w:t xml:space="preserve">niveau is immers niet mogelijk gebleken. </w:t>
          </w:r>
        </w:p>
        <w:p w:rsidR="0007227D" w:rsidP="0042408D" w:rsidRDefault="0007227D" w14:paraId="5FC948BE" w14:textId="77777777"/>
        <w:p w:rsidR="0007227D" w:rsidP="0042408D" w:rsidRDefault="005B7A2C" w14:paraId="2B7D6D92" w14:textId="7713E402">
          <w:r w:rsidRPr="005B7A2C">
            <w:t xml:space="preserve">De voorgestelde regeling roept </w:t>
          </w:r>
          <w:r w:rsidR="00885F67">
            <w:t>desondanks</w:t>
          </w:r>
          <w:r w:rsidR="0007227D">
            <w:t xml:space="preserve"> </w:t>
          </w:r>
          <w:r w:rsidRPr="005B7A2C">
            <w:t>veel nieuwe (juridische) vragen op, terwijl deze de gesignaleerde knelpunten niet volledig wegneemt</w:t>
          </w:r>
          <w:r w:rsidR="002036F7">
            <w:t>.</w:t>
          </w:r>
          <w:r w:rsidR="0007227D">
            <w:t xml:space="preserve"> </w:t>
          </w:r>
          <w:r w:rsidR="007515C4">
            <w:t xml:space="preserve">Daarbij </w:t>
          </w:r>
          <w:r w:rsidR="00B87087">
            <w:t xml:space="preserve">merkt </w:t>
          </w:r>
          <w:r w:rsidR="007515C4">
            <w:t xml:space="preserve">de Afdeling </w:t>
          </w:r>
          <w:r w:rsidR="00B87087">
            <w:t>op</w:t>
          </w:r>
          <w:r w:rsidR="007515C4">
            <w:t xml:space="preserve"> dat </w:t>
          </w:r>
          <w:r w:rsidR="00C76B91">
            <w:t xml:space="preserve">geen sprake is van </w:t>
          </w:r>
          <w:r w:rsidR="007515C4">
            <w:t>een door externe factoren veroorzaakte noodsituatie</w:t>
          </w:r>
          <w:r w:rsidR="00CB4903">
            <w:t>, maar</w:t>
          </w:r>
          <w:r w:rsidR="00C76B91">
            <w:t xml:space="preserve"> van</w:t>
          </w:r>
          <w:r w:rsidR="00CB4903">
            <w:t xml:space="preserve"> ee</w:t>
          </w:r>
          <w:r w:rsidR="007515C4">
            <w:t xml:space="preserve">n (voorzienbaar) gevolg van een samenloop van </w:t>
          </w:r>
          <w:r w:rsidR="00E73BED">
            <w:t>nationale</w:t>
          </w:r>
          <w:r w:rsidDel="0002273C" w:rsidR="007515C4">
            <w:t xml:space="preserve"> </w:t>
          </w:r>
          <w:r w:rsidR="0002273C">
            <w:t>beleids</w:t>
          </w:r>
          <w:r w:rsidR="007515C4">
            <w:t xml:space="preserve">maatregelen. </w:t>
          </w:r>
          <w:r w:rsidRPr="0042408D" w:rsidR="003B7B86">
            <w:t xml:space="preserve">Het past </w:t>
          </w:r>
          <w:r w:rsidR="003B7B86">
            <w:t xml:space="preserve">ook </w:t>
          </w:r>
          <w:r w:rsidRPr="0042408D" w:rsidR="003B7B86">
            <w:t xml:space="preserve">niet </w:t>
          </w:r>
          <w:r w:rsidR="003B7B86">
            <w:t>goed in de interbestuurlijke verhoudingen</w:t>
          </w:r>
          <w:r w:rsidRPr="0042408D" w:rsidR="003B7B86">
            <w:t xml:space="preserve"> om gemeenten </w:t>
          </w:r>
          <w:r w:rsidR="003B7B86">
            <w:t xml:space="preserve">te belasten met </w:t>
          </w:r>
          <w:r w:rsidRPr="0042408D" w:rsidR="003B7B86">
            <w:t xml:space="preserve">oplossingen voor </w:t>
          </w:r>
          <w:r w:rsidR="00663F27">
            <w:t>problemen</w:t>
          </w:r>
          <w:r w:rsidR="006F1471">
            <w:t xml:space="preserve"> die </w:t>
          </w:r>
          <w:r w:rsidR="001B2BDA">
            <w:t xml:space="preserve">op </w:t>
          </w:r>
          <w:r w:rsidR="005F2103">
            <w:t>nationaal</w:t>
          </w:r>
          <w:r w:rsidR="00EB1B55">
            <w:t xml:space="preserve"> </w:t>
          </w:r>
          <w:r w:rsidR="001B2BDA">
            <w:t>niveau</w:t>
          </w:r>
          <w:r w:rsidR="00D87C31">
            <w:t xml:space="preserve"> zijn ontstaan</w:t>
          </w:r>
          <w:r w:rsidRPr="0042408D" w:rsidR="003B7B86">
            <w:t>.</w:t>
          </w:r>
          <w:r w:rsidR="003B7B86">
            <w:t xml:space="preserve"> </w:t>
          </w:r>
          <w:r w:rsidR="007515C4">
            <w:t>De voorgestelde oplossing</w:t>
          </w:r>
          <w:r w:rsidR="00336FA1">
            <w:t xml:space="preserve"> is dus</w:t>
          </w:r>
          <w:r w:rsidR="00432153">
            <w:t xml:space="preserve"> in verschillende opzichten</w:t>
          </w:r>
          <w:r w:rsidR="007515C4">
            <w:t xml:space="preserve"> gebrekkig</w:t>
          </w:r>
          <w:r w:rsidR="00336FA1">
            <w:t xml:space="preserve">, hetgeen </w:t>
          </w:r>
          <w:r w:rsidR="007515C4">
            <w:t>de Afdeling problematisch</w:t>
          </w:r>
          <w:r w:rsidR="00336FA1">
            <w:t xml:space="preserve"> acht</w:t>
          </w:r>
          <w:r w:rsidR="002426BB">
            <w:t xml:space="preserve">. </w:t>
          </w:r>
        </w:p>
        <w:p w:rsidR="0007227D" w:rsidP="0042408D" w:rsidRDefault="0007227D" w14:paraId="02AE7F8B" w14:textId="77777777"/>
        <w:p w:rsidR="00314B35" w:rsidP="0042408D" w:rsidRDefault="00E17B87" w14:paraId="7C740658" w14:textId="7BBFAFFB">
          <w:r>
            <w:t>De Afdeling adviseer</w:t>
          </w:r>
          <w:r w:rsidR="00D958CE">
            <w:t>t</w:t>
          </w:r>
          <w:r>
            <w:t xml:space="preserve"> om waar mogelijk </w:t>
          </w:r>
          <w:r w:rsidRPr="0042408D" w:rsidR="002D5084">
            <w:t xml:space="preserve">de </w:t>
          </w:r>
          <w:r w:rsidR="006105FB">
            <w:t xml:space="preserve">tijdelijke </w:t>
          </w:r>
          <w:r w:rsidRPr="0042408D" w:rsidR="002D5084">
            <w:t>regeling nog op onderdelen</w:t>
          </w:r>
          <w:r>
            <w:t xml:space="preserve"> te </w:t>
          </w:r>
          <w:r w:rsidRPr="0042408D" w:rsidR="006105FB">
            <w:t>verbeter</w:t>
          </w:r>
          <w:r w:rsidR="002441A4">
            <w:t xml:space="preserve">en. Omdat </w:t>
          </w:r>
          <w:r w:rsidR="00BE6FA7">
            <w:t>het niet mogelijk</w:t>
          </w:r>
          <w:r w:rsidR="002441A4">
            <w:t xml:space="preserve"> zal zijn</w:t>
          </w:r>
          <w:r w:rsidR="00BE6FA7">
            <w:t xml:space="preserve"> om alle bezwaren weg te nemen</w:t>
          </w:r>
          <w:r w:rsidR="002441A4">
            <w:t>,</w:t>
          </w:r>
          <w:r w:rsidRPr="0042408D" w:rsidR="002D5084">
            <w:t xml:space="preserve"> </w:t>
          </w:r>
          <w:r w:rsidR="00F31B60">
            <w:t>is het noodzakelijk dat d</w:t>
          </w:r>
          <w:r w:rsidRPr="0042408D" w:rsidR="002D5084">
            <w:t>e</w:t>
          </w:r>
          <w:r w:rsidR="00BE6FA7">
            <w:t xml:space="preserve"> regeling </w:t>
          </w:r>
          <w:r w:rsidR="00A51441">
            <w:t>zeker</w:t>
          </w:r>
          <w:r w:rsidRPr="0042408D" w:rsidR="002D5084">
            <w:t xml:space="preserve"> </w:t>
          </w:r>
          <w:r w:rsidR="002D5084">
            <w:t xml:space="preserve">niet langer </w:t>
          </w:r>
          <w:r w:rsidR="00A51441">
            <w:t>zal worden t</w:t>
          </w:r>
          <w:r w:rsidR="004E4645">
            <w:t>o</w:t>
          </w:r>
          <w:r w:rsidR="00A51441">
            <w:t>egepast</w:t>
          </w:r>
          <w:r w:rsidR="002D5084">
            <w:t xml:space="preserve"> dan nu beoogd.</w:t>
          </w:r>
          <w:r w:rsidRPr="0042408D" w:rsidR="002D5084">
            <w:t xml:space="preserve"> </w:t>
          </w:r>
        </w:p>
        <w:p w:rsidR="002C3EF9" w:rsidP="0042408D" w:rsidRDefault="002C3EF9" w14:paraId="44C800C3" w14:textId="77777777"/>
        <w:p w:rsidRPr="0042408D" w:rsidR="002C3EF9" w:rsidP="0042408D" w:rsidRDefault="002C3EF9" w14:paraId="43E0F194" w14:textId="614FABE8">
          <w:r>
            <w:t xml:space="preserve">In verband hiermee is aanpassing </w:t>
          </w:r>
          <w:r w:rsidR="00FD124F">
            <w:t xml:space="preserve">wenselijk </w:t>
          </w:r>
          <w:r>
            <w:t xml:space="preserve">van de </w:t>
          </w:r>
          <w:r w:rsidR="00C227A3">
            <w:t xml:space="preserve">toelichting en zo nodig </w:t>
          </w:r>
          <w:r w:rsidR="00FD124F">
            <w:t xml:space="preserve">van </w:t>
          </w:r>
          <w:r w:rsidR="00C227A3">
            <w:t xml:space="preserve">het </w:t>
          </w:r>
          <w:r w:rsidR="00FD124F">
            <w:t>wets</w:t>
          </w:r>
          <w:r w:rsidR="00C227A3">
            <w:t>voorstel.</w:t>
          </w:r>
        </w:p>
        <w:p w:rsidR="0042408D" w:rsidP="0042408D" w:rsidRDefault="0042408D" w14:paraId="13297FD0" w14:textId="77777777"/>
        <w:p w:rsidR="00AE7A79" w:rsidP="0042408D" w:rsidRDefault="00AE7A79" w14:paraId="3121CF7F" w14:textId="77777777"/>
        <w:p w:rsidRPr="0042408D" w:rsidR="00AE7A79" w:rsidP="0042408D" w:rsidRDefault="00AE7A79" w14:paraId="2705209D" w14:textId="77777777"/>
        <w:p w:rsidRPr="0042408D" w:rsidR="0042408D" w:rsidP="0042408D" w:rsidRDefault="0042408D" w14:paraId="3A191A8A" w14:textId="77777777">
          <w:pPr>
            <w:rPr>
              <w:u w:val="single"/>
            </w:rPr>
          </w:pPr>
          <w:r w:rsidRPr="0042408D">
            <w:t>1.</w:t>
          </w:r>
          <w:r w:rsidRPr="0042408D">
            <w:tab/>
          </w:r>
          <w:r w:rsidRPr="0042408D">
            <w:rPr>
              <w:u w:val="single"/>
            </w:rPr>
            <w:t>Achtergrond en inhoud voorstel</w:t>
          </w:r>
        </w:p>
        <w:p w:rsidRPr="0042408D" w:rsidR="0042408D" w:rsidP="0042408D" w:rsidRDefault="0042408D" w14:paraId="701C0103" w14:textId="77777777"/>
        <w:p w:rsidRPr="0042408D" w:rsidR="0042408D" w:rsidP="0042408D" w:rsidRDefault="004A7BCE" w14:paraId="7D5FCAF8" w14:textId="3C9651A6">
          <w:r>
            <w:t>Als gevolg van verschillende afbouwpaden</w:t>
          </w:r>
          <w:r w:rsidRPr="0042408D" w:rsidR="0042408D">
            <w:t xml:space="preserve"> van de </w:t>
          </w:r>
          <w:r w:rsidR="006E40AC">
            <w:t>dubbele</w:t>
          </w:r>
          <w:r w:rsidRPr="0042408D" w:rsidR="0042408D">
            <w:t xml:space="preserve"> algemene heffingskorting </w:t>
          </w:r>
          <w:r w:rsidR="006E40AC">
            <w:t>in de inkomstenbelasting en de bijstand</w:t>
          </w:r>
          <w:r w:rsidRPr="0042408D" w:rsidR="0042408D">
            <w:t xml:space="preserve"> betalen huishoudens met een alleenverdiener meer inkomstenbelasting dan huishoudens met </w:t>
          </w:r>
          <w:r w:rsidR="00C2019D">
            <w:t xml:space="preserve">eenzelfde inkomen </w:t>
          </w:r>
          <w:r w:rsidRPr="0042408D" w:rsidR="0042408D">
            <w:t xml:space="preserve">waarbij beide partners een bijstandsuitkering ontvangen. Bij een vergelijkbaar netto-inkomen ontvangen huishoudens met een alleenverdiener bovendien minder hoge toeslagen, doordat hun bruto-inkomen hoger is. Onder omstandigheden hebben huishoudens met een alleenverdiener daardoor een lager besteedbaar inkomen dan vergelijkbare huishoudens in de bijstand. </w:t>
          </w:r>
        </w:p>
        <w:p w:rsidRPr="0042408D" w:rsidR="0042408D" w:rsidP="0042408D" w:rsidRDefault="0042408D" w14:paraId="5EFA8819" w14:textId="77777777"/>
        <w:p w:rsidRPr="0042408D" w:rsidR="0042408D" w:rsidP="0042408D" w:rsidRDefault="0042408D" w14:paraId="4C441899" w14:textId="02935BF5">
          <w:r w:rsidRPr="0042408D">
            <w:t>Deze zogenaamde ‘alleenverdienersproblematiek’ speelt al geruime tijd.</w:t>
          </w:r>
          <w:r w:rsidRPr="0042408D">
            <w:rPr>
              <w:vertAlign w:val="superscript"/>
            </w:rPr>
            <w:footnoteReference w:id="3"/>
          </w:r>
          <w:r w:rsidRPr="0042408D">
            <w:t xml:space="preserve"> De complexe samenloop van de verschillende toepasselijke regelingen is hiervan de oorzaak</w:t>
          </w:r>
          <w:r w:rsidR="008654F5">
            <w:t>. Deze</w:t>
          </w:r>
          <w:r w:rsidRPr="0042408D">
            <w:t xml:space="preserve"> blijkt ook een belemmering te </w:t>
          </w:r>
          <w:r w:rsidR="00563B16">
            <w:t>zijn</w:t>
          </w:r>
          <w:r w:rsidRPr="0042408D">
            <w:t xml:space="preserve"> voor een structurele oplossing die het probleem bij de bron aanpakt. In 2022 oordeelde de Centrale Raad van Beroep (CRvB) evenwel dat het college </w:t>
          </w:r>
          <w:r w:rsidR="00FB1DA6">
            <w:t xml:space="preserve">van </w:t>
          </w:r>
          <w:r w:rsidR="00A04CF3">
            <w:t>b</w:t>
          </w:r>
          <w:r w:rsidR="00FB1DA6">
            <w:t xml:space="preserve">urgemeester en wethouders </w:t>
          </w:r>
          <w:r w:rsidR="00331612">
            <w:t xml:space="preserve">(hierna: het college) </w:t>
          </w:r>
          <w:r w:rsidRPr="0042408D">
            <w:t>het verschil tussen het inkomen van een huishouden met een alleenverdiener en dat van een echtpaar in de bijstand moet compenseren door aanvullend bijstand op grond van de Participatiewet toe te kennen.</w:t>
          </w:r>
          <w:r w:rsidRPr="0042408D">
            <w:rPr>
              <w:vertAlign w:val="superscript"/>
            </w:rPr>
            <w:footnoteReference w:id="4"/>
          </w:r>
        </w:p>
        <w:p w:rsidRPr="0042408D" w:rsidR="0042408D" w:rsidP="0042408D" w:rsidRDefault="0042408D" w14:paraId="6B708689" w14:textId="77777777"/>
        <w:p w:rsidRPr="0042408D" w:rsidR="0042408D" w:rsidP="0042408D" w:rsidRDefault="0042408D" w14:paraId="56E6379F" w14:textId="0E51E845">
          <w:r w:rsidRPr="0042408D">
            <w:t xml:space="preserve">Het verstrekken van een inkomensaanvulling uit de algemene bijstand </w:t>
          </w:r>
          <w:r w:rsidR="00E5729C">
            <w:t>blijkt</w:t>
          </w:r>
          <w:r w:rsidRPr="0042408D">
            <w:t xml:space="preserve"> in de praktijk echter geen adequate en werkbare oplossing</w:t>
          </w:r>
          <w:r w:rsidR="00E5729C">
            <w:t xml:space="preserve"> te zijn</w:t>
          </w:r>
          <w:r w:rsidRPr="0042408D">
            <w:t>.</w:t>
          </w:r>
          <w:r w:rsidRPr="0042408D">
            <w:rPr>
              <w:vertAlign w:val="superscript"/>
            </w:rPr>
            <w:footnoteReference w:id="5"/>
          </w:r>
          <w:r w:rsidRPr="0042408D">
            <w:t xml:space="preserve"> Ditzelfde geldt voor een inkomensaanvulling uit de bijzondere bijstand. Daarbij speelt (opnieuw) een belangrijke rol hoe de regels inzake de bijstand en die van de toeslagen op elkaar inwerken. Als gevolg daarvan is een inkomensaanvulling uit de bijstand voor zowel gemeenten als huishoudens met een alleenverdiener zeer belastend. Naar aanleiding van de uitspraak van de CRvB is daarom gezocht naar andere, beter uitvoerbare oplossingen. </w:t>
          </w:r>
        </w:p>
        <w:p w:rsidRPr="0042408D" w:rsidR="0042408D" w:rsidP="0042408D" w:rsidRDefault="0042408D" w14:paraId="58F0A05C" w14:textId="77777777"/>
        <w:p w:rsidRPr="0042408D" w:rsidR="0042408D" w:rsidP="0042408D" w:rsidRDefault="0042408D" w14:paraId="2244BBD8" w14:textId="179C5683">
          <w:r w:rsidRPr="0042408D">
            <w:t>Uit de toelichting blijkt dat voor een definitieve oplossing</w:t>
          </w:r>
          <w:r w:rsidR="00E5729C">
            <w:t xml:space="preserve"> inmiddels</w:t>
          </w:r>
          <w:r w:rsidRPr="0042408D">
            <w:t xml:space="preserve"> is gekozen voor een aanpassing in de fiscale regelgeving.</w:t>
          </w:r>
          <w:r w:rsidRPr="0042408D">
            <w:rPr>
              <w:vertAlign w:val="superscript"/>
            </w:rPr>
            <w:footnoteReference w:id="6"/>
          </w:r>
          <w:r w:rsidRPr="0042408D">
            <w:t xml:space="preserve"> De invoering daarvan is voorzien in 2028. Voor de tussentijd voorziet het wetsvoorstel in een tijdelijke regeling in de Participatiewet. Bij de vormgeving </w:t>
          </w:r>
          <w:r w:rsidR="00E5729C">
            <w:t xml:space="preserve">daarvan </w:t>
          </w:r>
          <w:r w:rsidRPr="0042408D">
            <w:t xml:space="preserve">is rekening gehouden met de uitvoeringscapaciteit van gemeenten en </w:t>
          </w:r>
          <w:r w:rsidR="00E5729C">
            <w:t xml:space="preserve">met </w:t>
          </w:r>
          <w:r w:rsidRPr="0042408D">
            <w:t xml:space="preserve">het doenvermogen van de betrokken huishoudens. De voorgestelde voorziening betreft een </w:t>
          </w:r>
          <w:r w:rsidR="00C12E08">
            <w:t>jaarlijkse,</w:t>
          </w:r>
          <w:r w:rsidRPr="0042408D">
            <w:t xml:space="preserve"> forfaitaire tegemoetkoming die door het college </w:t>
          </w:r>
          <w:r w:rsidR="007D43D2">
            <w:t xml:space="preserve">ambtshalve of op aanvraag </w:t>
          </w:r>
          <w:r w:rsidRPr="0042408D">
            <w:t>kan worden verstrekt aan huishoudens die aan de wettelijke voorwaarden voldoen (hierna: alleenverdieners).</w:t>
          </w:r>
        </w:p>
        <w:p w:rsidR="0042408D" w:rsidP="0042408D" w:rsidRDefault="0042408D" w14:paraId="41E71FD1" w14:textId="77777777"/>
        <w:p w:rsidR="00AE7A79" w:rsidP="0042408D" w:rsidRDefault="00AE7A79" w14:paraId="252992A4" w14:textId="77777777"/>
        <w:p w:rsidRPr="0042408D" w:rsidR="00AE7A79" w:rsidP="0042408D" w:rsidRDefault="00AE7A79" w14:paraId="4F8DF55B" w14:textId="77777777"/>
        <w:p w:rsidRPr="0042408D" w:rsidR="0042408D" w:rsidP="0042408D" w:rsidRDefault="0042408D" w14:paraId="5ABC604D" w14:textId="77777777">
          <w:r w:rsidRPr="0042408D">
            <w:t xml:space="preserve">2. </w:t>
          </w:r>
          <w:r w:rsidRPr="0042408D">
            <w:tab/>
          </w:r>
          <w:r w:rsidRPr="0042408D">
            <w:rPr>
              <w:u w:val="single"/>
            </w:rPr>
            <w:t>Beoordeling voorstel</w:t>
          </w:r>
        </w:p>
        <w:p w:rsidRPr="0042408D" w:rsidR="0042408D" w:rsidP="0042408D" w:rsidRDefault="0042408D" w14:paraId="07C75FD7" w14:textId="77777777"/>
        <w:p w:rsidRPr="0042408D" w:rsidR="0042408D" w:rsidP="0042408D" w:rsidRDefault="0042408D" w14:paraId="06B463DF" w14:textId="4E4F3223">
          <w:r w:rsidRPr="0042408D">
            <w:t xml:space="preserve">Tegen de hiervoor geschetste achtergrond begrijpt de Afdeling de wens om, in afwachting van een definitieve oplossing, te voorzien in een tijdelijke regeling in de Participatiewet. Deze overbruggingsregeling is niet zozeer gericht op het wegnemen van (de oorzaken van) de alleenverdienersproblematiek als zodanig, maar veeleer op het zoveel mogelijk wegnemen van de gevolgen ervan voor huishoudens. Omdat het niet gaat om een vorm van bijstand op grond van de Participatiewet, wordt gesproken van een tegemoetkoming. Het </w:t>
          </w:r>
          <w:r w:rsidR="006E6FAB">
            <w:t>jaarlijkse</w:t>
          </w:r>
          <w:r w:rsidRPr="0042408D">
            <w:t xml:space="preserve"> bedrag, dat door de minister wordt vastgesteld, is voor de hele doelgroep gelijk.</w:t>
          </w:r>
        </w:p>
        <w:p w:rsidRPr="0042408D" w:rsidR="0042408D" w:rsidP="0042408D" w:rsidRDefault="0042408D" w14:paraId="51680E4B" w14:textId="77777777"/>
        <w:p w:rsidRPr="0042408D" w:rsidR="0042408D" w:rsidP="0042408D" w:rsidRDefault="0042408D" w14:paraId="1FF93A80" w14:textId="26AF7918">
          <w:r w:rsidRPr="0042408D">
            <w:t>De opzet van de tegemoetkomingsregeling vertoont gelijkenissen met eerdere inkomensondersteuningsregelingen, zoals opgesteld naar aanleiding van de COVID-19-crisis en de energiecrisis. Ook bij die regelingen was sprake van een zekere ruwheid en waren met het oog op de uitvoerbaarheid vergaande concessies gedaan in precisie.</w:t>
          </w:r>
          <w:r w:rsidRPr="0042408D">
            <w:rPr>
              <w:vertAlign w:val="superscript"/>
            </w:rPr>
            <w:footnoteReference w:id="7"/>
          </w:r>
          <w:r w:rsidRPr="0042408D">
            <w:t xml:space="preserve"> Bedacht moet echter worden dat in die gevallen sprake was van onverwachte, externe gebeurtenissen, waarbij met urgentie moest worden gehandeld. Dan is het begrijpelijk, en welhaast onvermijdelijk, dat regelingen ten behoeve van een snelle uitvoering grofmazig zijn. Een dergelijke situatie is hier niet aan de orde. Hoewel de rechter gemeenten en de wetgever nu voor deze opgave heeft gesteld, </w:t>
          </w:r>
          <w:r w:rsidR="001A13D1">
            <w:t>was</w:t>
          </w:r>
          <w:r w:rsidRPr="0042408D">
            <w:t xml:space="preserve"> de problematiek al lange tijd bekend</w:t>
          </w:r>
          <w:r w:rsidR="00DB7099">
            <w:t xml:space="preserve"> </w:t>
          </w:r>
          <w:r w:rsidR="00B03A31">
            <w:t>en</w:t>
          </w:r>
          <w:r w:rsidR="00AA003F">
            <w:t xml:space="preserve"> heeft</w:t>
          </w:r>
          <w:r w:rsidRPr="0042408D">
            <w:t xml:space="preserve"> de wetgever </w:t>
          </w:r>
          <w:r w:rsidR="00C46041">
            <w:t xml:space="preserve">steeds afgezien </w:t>
          </w:r>
          <w:r w:rsidR="00B01764">
            <w:t>van</w:t>
          </w:r>
          <w:r w:rsidR="00F83FAC">
            <w:t xml:space="preserve"> het treffen van</w:t>
          </w:r>
          <w:r w:rsidR="00DB7099">
            <w:t xml:space="preserve"> </w:t>
          </w:r>
          <w:r w:rsidR="00503AAB">
            <w:t>maatregelen</w:t>
          </w:r>
          <w:r w:rsidRPr="0042408D">
            <w:t xml:space="preserve">. </w:t>
          </w:r>
        </w:p>
        <w:p w:rsidRPr="0042408D" w:rsidR="0042408D" w:rsidP="0042408D" w:rsidRDefault="0042408D" w14:paraId="3745FF84" w14:textId="77777777"/>
        <w:p w:rsidRPr="0042408D" w:rsidR="0042408D" w:rsidP="0042408D" w:rsidRDefault="0042408D" w14:paraId="13683B94" w14:textId="6A3C5A1C">
          <w:r w:rsidRPr="0042408D">
            <w:t xml:space="preserve">De </w:t>
          </w:r>
          <w:r w:rsidR="00F34867">
            <w:t>nu voorgestelde</w:t>
          </w:r>
          <w:r w:rsidRPr="0042408D" w:rsidR="00F34867">
            <w:t xml:space="preserve"> </w:t>
          </w:r>
          <w:r w:rsidR="00C3220A">
            <w:t xml:space="preserve">tijdelijke </w:t>
          </w:r>
          <w:r w:rsidR="00F34867">
            <w:t>regeling</w:t>
          </w:r>
          <w:r w:rsidRPr="0042408D">
            <w:t xml:space="preserve"> roept een aantal vragen op. </w:t>
          </w:r>
        </w:p>
        <w:p w:rsidRPr="0042408D" w:rsidR="0042408D" w:rsidP="0042408D" w:rsidRDefault="0042408D" w14:paraId="20C26154" w14:textId="77777777"/>
        <w:p w:rsidRPr="0042408D" w:rsidR="0042408D" w:rsidP="0042408D" w:rsidRDefault="0042408D" w14:paraId="5C1C8EB5" w14:textId="77777777">
          <w:r w:rsidRPr="0042408D">
            <w:t xml:space="preserve">a. </w:t>
          </w:r>
          <w:r w:rsidRPr="0042408D">
            <w:tab/>
          </w:r>
          <w:r w:rsidRPr="0042408D">
            <w:rPr>
              <w:i/>
              <w:iCs/>
            </w:rPr>
            <w:t>Karakter regeling en effectiviteit</w:t>
          </w:r>
        </w:p>
        <w:p w:rsidR="0096522C" w:rsidP="0042408D" w:rsidRDefault="0042408D" w14:paraId="78BC882E" w14:textId="18889FAE">
          <w:r w:rsidRPr="0042408D">
            <w:t xml:space="preserve">De tijdelijke regeling is opgezet als een tegemoetkoming met een forfaitair karakter. Deze opzet staat op gespannen voet met de inkomenspolitieke achtergrond ervan. De omvang van het nadeel van een huishouden met een alleenverdiener ten opzichte van een vergelijkbaar huishouden in de bijstand als gevolg van de samenloop van regelingen, kan </w:t>
          </w:r>
          <w:r w:rsidR="00871E3C">
            <w:t xml:space="preserve">ook per geval </w:t>
          </w:r>
          <w:r w:rsidRPr="0042408D">
            <w:t xml:space="preserve">worden berekend. Omwille van de uitvoerbaarheid ontvangen </w:t>
          </w:r>
          <w:r w:rsidR="00871E3C">
            <w:t xml:space="preserve">echter </w:t>
          </w:r>
          <w:r w:rsidRPr="0042408D">
            <w:t xml:space="preserve">alle alleenverdieners </w:t>
          </w:r>
          <w:r w:rsidR="001A005F">
            <w:t>een</w:t>
          </w:r>
          <w:r w:rsidR="00D75578">
            <w:t xml:space="preserve"> uniform</w:t>
          </w:r>
          <w:r w:rsidRPr="0042408D">
            <w:t xml:space="preserve"> bedrag. </w:t>
          </w:r>
        </w:p>
        <w:p w:rsidR="0096522C" w:rsidP="0042408D" w:rsidRDefault="0096522C" w14:paraId="16F56B9C" w14:textId="77777777"/>
        <w:p w:rsidRPr="0042408D" w:rsidR="0042408D" w:rsidP="0042408D" w:rsidRDefault="007E0B47" w14:paraId="4E9BA2A0" w14:textId="7E3FC9F9">
          <w:r>
            <w:t>D</w:t>
          </w:r>
          <w:r w:rsidRPr="0042408D" w:rsidR="0042408D">
            <w:t xml:space="preserve">e hoogte van de tegemoetkoming </w:t>
          </w:r>
          <w:r w:rsidR="006109E9">
            <w:t xml:space="preserve">wordt </w:t>
          </w:r>
          <w:r w:rsidRPr="0042408D" w:rsidR="0042408D">
            <w:t xml:space="preserve">zodanig gekozen dat de meeste alleenverdieners </w:t>
          </w:r>
          <w:r w:rsidR="00744401">
            <w:t>worden overgecompenseerd</w:t>
          </w:r>
          <w:r w:rsidR="006109E9">
            <w:t>.</w:t>
          </w:r>
          <w:r w:rsidR="005F434D">
            <w:rPr>
              <w:rStyle w:val="Voetnootmarkering"/>
            </w:rPr>
            <w:footnoteReference w:id="8"/>
          </w:r>
          <w:r w:rsidR="006109E9">
            <w:t xml:space="preserve"> </w:t>
          </w:r>
          <w:r w:rsidR="00BD067B">
            <w:t xml:space="preserve">De huishoudens </w:t>
          </w:r>
          <w:r w:rsidR="00822F5F">
            <w:t>in de bijstand waarmee de alleenverdieners worden vergeleken, ontvangen deze overcompensatie</w:t>
          </w:r>
          <w:r w:rsidRPr="0042408D" w:rsidR="0042408D">
            <w:t xml:space="preserve"> niet</w:t>
          </w:r>
          <w:r w:rsidR="00822F5F">
            <w:t xml:space="preserve">. </w:t>
          </w:r>
          <w:r w:rsidR="00C15ADE">
            <w:t xml:space="preserve">Bovendien </w:t>
          </w:r>
          <w:r w:rsidR="0021087C">
            <w:t>zal een deel van de</w:t>
          </w:r>
          <w:r w:rsidRPr="0042408D" w:rsidR="0042408D">
            <w:t xml:space="preserve"> alleenverdieners met deze regeling maar tot op zekere hoogte zijn geholpen. Tot slot is onduidelijk of met de voorgestelde afbakening van de doelgroep is verzekerd dat alle huishoudens die </w:t>
          </w:r>
          <w:r w:rsidRPr="0042408D" w:rsidR="0042408D">
            <w:lastRenderedPageBreak/>
            <w:t>met deze problematiek worden geconfronteerd, voor de tegemoetkoming in aanmerking komen.</w:t>
          </w:r>
          <w:r w:rsidRPr="0042408D" w:rsidR="0042408D">
            <w:rPr>
              <w:vertAlign w:val="superscript"/>
            </w:rPr>
            <w:footnoteReference w:id="9"/>
          </w:r>
          <w:r w:rsidRPr="0042408D" w:rsidR="0042408D">
            <w:t xml:space="preserve"> </w:t>
          </w:r>
        </w:p>
        <w:p w:rsidRPr="0042408D" w:rsidR="0042408D" w:rsidP="0042408D" w:rsidRDefault="0042408D" w14:paraId="43BAAB0B" w14:textId="77777777"/>
        <w:p w:rsidRPr="0042408D" w:rsidR="0042408D" w:rsidP="0042408D" w:rsidRDefault="0042408D" w14:paraId="6B409372" w14:textId="614F4EF7">
          <w:r w:rsidRPr="0042408D">
            <w:t xml:space="preserve">Het gevolg is dat de voorgestelde </w:t>
          </w:r>
          <w:r w:rsidR="003C721B">
            <w:t xml:space="preserve">tijdelijke </w:t>
          </w:r>
          <w:r w:rsidRPr="0042408D">
            <w:t xml:space="preserve">regeling de onderliggende problematiek </w:t>
          </w:r>
          <w:r w:rsidR="00EA2C7E">
            <w:t xml:space="preserve">slechts </w:t>
          </w:r>
          <w:r w:rsidRPr="0042408D">
            <w:t xml:space="preserve">beperkt wegneemt en bovendien nieuwe vragen oproept. De karakterisering van de regeling als tegemoetkoming kan dit niet wegnemen. De Afdeling heeft begrip voor de overwegingen inzake de uitvoerbaarheid die ten grondslag liggen aan de gemaakte keuzes, maar </w:t>
          </w:r>
          <w:r w:rsidR="006A44B6">
            <w:t xml:space="preserve">sluit </w:t>
          </w:r>
          <w:r w:rsidR="002D1A26">
            <w:t>bij</w:t>
          </w:r>
          <w:r w:rsidRPr="0042408D">
            <w:t xml:space="preserve"> de voorgestelde opzet van de regeling juridische risico’s </w:t>
          </w:r>
          <w:r w:rsidR="006A44B6">
            <w:t>niet uit</w:t>
          </w:r>
          <w:r w:rsidRPr="0042408D">
            <w:t>.</w:t>
          </w:r>
          <w:r w:rsidRPr="0042408D">
            <w:rPr>
              <w:vertAlign w:val="superscript"/>
            </w:rPr>
            <w:footnoteReference w:id="10"/>
          </w:r>
        </w:p>
        <w:p w:rsidRPr="0042408D" w:rsidR="0042408D" w:rsidP="0042408D" w:rsidRDefault="0042408D" w14:paraId="27655D13" w14:textId="77777777"/>
        <w:p w:rsidRPr="0042408D" w:rsidR="0042408D" w:rsidP="0042408D" w:rsidRDefault="0042408D" w14:paraId="76B061AA" w14:textId="17ACAC74">
          <w:pPr>
            <w:rPr>
              <w:i/>
              <w:iCs/>
            </w:rPr>
          </w:pPr>
          <w:r w:rsidRPr="0042408D">
            <w:t xml:space="preserve">b. </w:t>
          </w:r>
          <w:r w:rsidRPr="0042408D">
            <w:tab/>
          </w:r>
          <w:r w:rsidR="000C58EB">
            <w:rPr>
              <w:i/>
              <w:iCs/>
            </w:rPr>
            <w:t>Discretionaire b</w:t>
          </w:r>
          <w:r w:rsidRPr="0042408D">
            <w:rPr>
              <w:i/>
              <w:iCs/>
            </w:rPr>
            <w:t>evoegdheid</w:t>
          </w:r>
          <w:r w:rsidR="000C58EB">
            <w:rPr>
              <w:i/>
              <w:iCs/>
            </w:rPr>
            <w:t xml:space="preserve"> gemeenten</w:t>
          </w:r>
        </w:p>
        <w:p w:rsidRPr="0042408D" w:rsidR="0042408D" w:rsidP="0042408D" w:rsidRDefault="0042408D" w14:paraId="679FA6B3" w14:textId="7EEBB659">
          <w:r w:rsidRPr="0042408D">
            <w:t>Het wetsvoorstel geeft het college een discretionaire bevoegdheid tot het verlenen van een tegemoetkoming aan een huishouden dat aan de gestelde voorwaarden voldoet (</w:t>
          </w:r>
          <w:r w:rsidR="007C5EFC">
            <w:t>‘</w:t>
          </w:r>
          <w:r w:rsidRPr="0042408D">
            <w:t>kan-bepaling</w:t>
          </w:r>
          <w:r w:rsidR="007C5EFC">
            <w:t>’</w:t>
          </w:r>
          <w:r w:rsidRPr="0042408D">
            <w:t>).</w:t>
          </w:r>
          <w:r w:rsidRPr="0042408D">
            <w:rPr>
              <w:vertAlign w:val="superscript"/>
            </w:rPr>
            <w:footnoteReference w:id="11"/>
          </w:r>
          <w:r w:rsidRPr="0042408D">
            <w:t xml:space="preserve"> Uit de toelichting maakt de Afdeling op dat een uniforme regeling wordt beoogd wat betreft de afbakening van de doelgroep en de hoogte van de tegemoetkoming, maar dat beleidsruimte </w:t>
          </w:r>
          <w:r w:rsidR="00162A89">
            <w:t>bestaat</w:t>
          </w:r>
          <w:r w:rsidRPr="0042408D">
            <w:t xml:space="preserve"> op het punt van de vermogenstoets en de wijze waarop de toetsing van het actuele inkomen moet plaatsvinden. De toelichting vermeldt dat een zekere beleidsruimte inherent is aan het gekozen instrument van de Participatiewet.</w:t>
          </w:r>
          <w:r w:rsidRPr="0042408D">
            <w:rPr>
              <w:vertAlign w:val="superscript"/>
            </w:rPr>
            <w:footnoteReference w:id="12"/>
          </w:r>
          <w:r w:rsidRPr="0042408D">
            <w:t xml:space="preserve"> </w:t>
          </w:r>
        </w:p>
        <w:p w:rsidRPr="0042408D" w:rsidR="0042408D" w:rsidP="0042408D" w:rsidRDefault="0042408D" w14:paraId="72CB0940" w14:textId="77777777"/>
        <w:p w:rsidRPr="0042408D" w:rsidR="0042408D" w:rsidP="0042408D" w:rsidRDefault="0042408D" w14:paraId="722ECF7D" w14:textId="45B3F35C">
          <w:bookmarkStart w:name="_Hlk171437386" w:id="0"/>
          <w:r w:rsidRPr="0042408D">
            <w:t>De Afdeling merkt op dat</w:t>
          </w:r>
          <w:r w:rsidR="00F016DB">
            <w:t xml:space="preserve"> </w:t>
          </w:r>
          <w:r w:rsidR="00CB5117">
            <w:t xml:space="preserve">in </w:t>
          </w:r>
          <w:r w:rsidRPr="0042408D">
            <w:t xml:space="preserve">de </w:t>
          </w:r>
          <w:r w:rsidR="00CB5117">
            <w:t>hoofdlijn</w:t>
          </w:r>
          <w:r w:rsidRPr="0042408D">
            <w:t xml:space="preserve"> van de </w:t>
          </w:r>
          <w:r w:rsidR="00C3220A">
            <w:t xml:space="preserve">tijdelijke </w:t>
          </w:r>
          <w:r w:rsidRPr="0042408D">
            <w:t xml:space="preserve">regeling sprake is van een uniforme regeling, waarbij een recht op tegemoetkoming bestaat indien aan de wettelijke voorwaarden wordt voldaan. </w:t>
          </w:r>
          <w:r w:rsidR="00CE4838">
            <w:t>Het is belangrijk dat een kan-bepaling, om welke reden hiervoor ook gekozen is, hieraan niet in de weg staat.</w:t>
          </w:r>
          <w:r w:rsidR="003730E9">
            <w:t xml:space="preserve"> </w:t>
          </w:r>
          <w:r w:rsidR="00E66AF3">
            <w:t>D</w:t>
          </w:r>
          <w:r w:rsidR="00863B90">
            <w:t xml:space="preserve">e </w:t>
          </w:r>
          <w:r w:rsidR="00296492">
            <w:t xml:space="preserve">beleidsruimte die gemeenten op onderdelen </w:t>
          </w:r>
          <w:r w:rsidR="00CB5117">
            <w:t xml:space="preserve">van de regeling </w:t>
          </w:r>
          <w:r w:rsidR="00296492">
            <w:t>hebben</w:t>
          </w:r>
          <w:r w:rsidR="00E66AF3">
            <w:t xml:space="preserve"> </w:t>
          </w:r>
          <w:r w:rsidR="00603DEA">
            <w:t>kan</w:t>
          </w:r>
          <w:r w:rsidR="00C61580">
            <w:t xml:space="preserve"> dus </w:t>
          </w:r>
          <w:r w:rsidR="00603DEA">
            <w:t xml:space="preserve">niet anders dan </w:t>
          </w:r>
          <w:r w:rsidR="00C61580">
            <w:t>beperkt</w:t>
          </w:r>
          <w:r w:rsidR="00603DEA">
            <w:t xml:space="preserve"> zijn</w:t>
          </w:r>
          <w:r w:rsidR="00C61580">
            <w:t xml:space="preserve">. </w:t>
          </w:r>
          <w:bookmarkEnd w:id="0"/>
        </w:p>
        <w:p w:rsidRPr="0042408D" w:rsidR="0042408D" w:rsidP="0042408D" w:rsidRDefault="0042408D" w14:paraId="08DAD657" w14:textId="77777777"/>
        <w:p w:rsidRPr="0042408D" w:rsidR="0042408D" w:rsidP="0042408D" w:rsidRDefault="0042408D" w14:paraId="4E5D78AF" w14:textId="6376D250">
          <w:pPr>
            <w:rPr>
              <w:i/>
              <w:iCs/>
            </w:rPr>
          </w:pPr>
          <w:r w:rsidRPr="0042408D">
            <w:t xml:space="preserve">c. </w:t>
          </w:r>
          <w:r w:rsidRPr="0042408D">
            <w:tab/>
          </w:r>
          <w:r w:rsidRPr="0042408D">
            <w:rPr>
              <w:i/>
              <w:iCs/>
            </w:rPr>
            <w:t>Peildatum</w:t>
          </w:r>
          <w:r w:rsidR="002E3E40">
            <w:rPr>
              <w:i/>
              <w:iCs/>
            </w:rPr>
            <w:t xml:space="preserve"> doelgroep</w:t>
          </w:r>
        </w:p>
        <w:p w:rsidRPr="0042408D" w:rsidR="0042408D" w:rsidP="0042408D" w:rsidRDefault="0042408D" w14:paraId="72EBAA70" w14:textId="6D44DB32">
          <w:r w:rsidRPr="0042408D">
            <w:t xml:space="preserve">In </w:t>
          </w:r>
          <w:r w:rsidR="0025098F">
            <w:t>het</w:t>
          </w:r>
          <w:r w:rsidRPr="0042408D" w:rsidR="0025098F">
            <w:t xml:space="preserve"> </w:t>
          </w:r>
          <w:r w:rsidRPr="0042408D">
            <w:t>wet</w:t>
          </w:r>
          <w:r w:rsidR="0025098F">
            <w:t>svoorstel</w:t>
          </w:r>
          <w:r w:rsidRPr="0042408D">
            <w:t xml:space="preserve"> is</w:t>
          </w:r>
          <w:r w:rsidR="00C61580">
            <w:t xml:space="preserve"> </w:t>
          </w:r>
          <w:r w:rsidRPr="0042408D">
            <w:t>de te hanteren peildatum voor de tegemoetkoming</w:t>
          </w:r>
          <w:r w:rsidR="006A44B6">
            <w:t xml:space="preserve"> niet geregeld</w:t>
          </w:r>
          <w:r w:rsidRPr="0042408D">
            <w:t xml:space="preserve">. Uit de toelichting blijkt </w:t>
          </w:r>
          <w:r w:rsidR="00CB1F22">
            <w:t>dat</w:t>
          </w:r>
          <w:r w:rsidRPr="0042408D">
            <w:t xml:space="preserve"> de Belastingdienst aan gemeenten een lijst zal verstrekken met alleenverdieners die in aanmerking komen voor een – ambtshalve te verstrekken – tegemoetkoming.</w:t>
          </w:r>
          <w:r w:rsidRPr="0042408D">
            <w:rPr>
              <w:vertAlign w:val="superscript"/>
            </w:rPr>
            <w:footnoteReference w:id="13"/>
          </w:r>
          <w:r w:rsidRPr="0042408D">
            <w:t xml:space="preserve"> Deze lijst heeft als peildatum het jaar t-2, omdat de inkomensgegevens van dat jaar definitief zijn en dus beschikbaar bij de Belastingdienst. Uit de toelichting blijkt echter ook dat alleenverdieners die niet op de lijst staan, maar in het lopende jaar wel tot de </w:t>
          </w:r>
          <w:r w:rsidRPr="0042408D">
            <w:lastRenderedPageBreak/>
            <w:t>doelgroep behoren, tevens in aanmerking komen voor de tegemoetkoming. D</w:t>
          </w:r>
          <w:r w:rsidR="000E4D09">
            <w:t>it stelt d</w:t>
          </w:r>
          <w:r w:rsidRPr="0042408D">
            <w:t xml:space="preserve">e gemeente </w:t>
          </w:r>
          <w:r w:rsidR="006A3693">
            <w:t>op aanvraag</w:t>
          </w:r>
          <w:r w:rsidRPr="0042408D">
            <w:t xml:space="preserve"> vast op basis van </w:t>
          </w:r>
          <w:r w:rsidR="00B0591F">
            <w:t>actuele inkomensgegevens</w:t>
          </w:r>
          <w:r w:rsidRPr="0042408D">
            <w:t>.</w:t>
          </w:r>
          <w:r w:rsidRPr="0042408D">
            <w:rPr>
              <w:vertAlign w:val="superscript"/>
            </w:rPr>
            <w:footnoteReference w:id="14"/>
          </w:r>
        </w:p>
        <w:p w:rsidRPr="0042408D" w:rsidR="0042408D" w:rsidP="0042408D" w:rsidRDefault="0042408D" w14:paraId="55F674DC" w14:textId="77777777"/>
        <w:p w:rsidRPr="0042408D" w:rsidR="0042408D" w:rsidP="0042408D" w:rsidRDefault="0042408D" w14:paraId="6AEE0498" w14:textId="06A3EA1D">
          <w:r w:rsidRPr="0042408D">
            <w:t xml:space="preserve">De Afdeling merkt op dat de voorgestelde wijze van uitvoering </w:t>
          </w:r>
          <w:r w:rsidR="00BB4B4E">
            <w:t>meebrengt</w:t>
          </w:r>
          <w:r w:rsidRPr="0042408D">
            <w:t xml:space="preserve"> dat in de praktijk verschillende voorwaarden gelden waaronder alleenverdieners in aanmerking komen voor de tegemoetkoming. Ook leidt deze aanpak tot overcompensatie, doordat alleenverdieners die wel op de lijst staan, maar in het lopende jaar niet tot de doelgroep behoren, toch ambtshalve een tegemoetkoming ontvangen. Het gaat daarbij om een niet te verwaarlozen percentage van 40 tot 50 procent van de lijst.</w:t>
          </w:r>
          <w:r w:rsidRPr="0042408D">
            <w:rPr>
              <w:vertAlign w:val="superscript"/>
            </w:rPr>
            <w:footnoteReference w:id="15"/>
          </w:r>
          <w:r w:rsidRPr="0042408D">
            <w:t xml:space="preserve"> </w:t>
          </w:r>
          <w:r w:rsidR="008C368C">
            <w:t xml:space="preserve">Dat </w:t>
          </w:r>
          <w:r w:rsidR="009632DB">
            <w:t>op</w:t>
          </w:r>
          <w:r w:rsidR="00BB4A02">
            <w:t xml:space="preserve"> de </w:t>
          </w:r>
          <w:r w:rsidR="00A02C94">
            <w:t>‘ambtshalve-</w:t>
          </w:r>
          <w:r w:rsidR="00BB4A02">
            <w:t>lijst</w:t>
          </w:r>
          <w:r w:rsidR="00A02C94">
            <w:t>’</w:t>
          </w:r>
          <w:r w:rsidR="00BB4A02">
            <w:t xml:space="preserve"> </w:t>
          </w:r>
          <w:r w:rsidR="008C368C">
            <w:t>een aanzienlijk deel van</w:t>
          </w:r>
          <w:r w:rsidRPr="00321E40" w:rsidR="00321E40">
            <w:t xml:space="preserve"> de </w:t>
          </w:r>
          <w:r w:rsidR="009632DB">
            <w:t xml:space="preserve">actuele </w:t>
          </w:r>
          <w:r w:rsidRPr="00321E40" w:rsidR="00321E40">
            <w:t xml:space="preserve">doelgroep </w:t>
          </w:r>
          <w:r w:rsidR="008C368C">
            <w:t xml:space="preserve">niet </w:t>
          </w:r>
          <w:r w:rsidR="009632DB">
            <w:t>voorkomt</w:t>
          </w:r>
          <w:r w:rsidR="00014D2E">
            <w:t>,</w:t>
          </w:r>
          <w:r w:rsidDel="00D521EB" w:rsidR="00A1080D">
            <w:t xml:space="preserve"> </w:t>
          </w:r>
          <w:r w:rsidR="003F1AF8">
            <w:t xml:space="preserve">heeft ook gevolgen voor </w:t>
          </w:r>
          <w:r w:rsidR="00A1080D">
            <w:t>de uitvoer</w:t>
          </w:r>
          <w:r w:rsidR="00502778">
            <w:t>inglast</w:t>
          </w:r>
          <w:r w:rsidR="00692A86">
            <w:t xml:space="preserve"> voor gemeenten. Er zullen </w:t>
          </w:r>
          <w:r w:rsidR="004C790D">
            <w:t>hierdoor</w:t>
          </w:r>
          <w:r w:rsidR="00444406">
            <w:t xml:space="preserve"> </w:t>
          </w:r>
          <w:r w:rsidR="000C6865">
            <w:t xml:space="preserve">ook </w:t>
          </w:r>
          <w:r w:rsidR="00DA2B3B">
            <w:t xml:space="preserve">nog </w:t>
          </w:r>
          <w:r w:rsidR="004C790D">
            <w:t xml:space="preserve">veel </w:t>
          </w:r>
          <w:r w:rsidR="005A4E80">
            <w:t xml:space="preserve">aanvragen </w:t>
          </w:r>
          <w:r w:rsidR="006A77C2">
            <w:t>voor een tegemoetkoming moeten worden beoordeeld</w:t>
          </w:r>
          <w:r w:rsidR="002450EF">
            <w:t>.</w:t>
          </w:r>
        </w:p>
        <w:p w:rsidRPr="0042408D" w:rsidR="0042408D" w:rsidP="0042408D" w:rsidRDefault="0042408D" w14:paraId="483331E8" w14:textId="77777777"/>
        <w:p w:rsidRPr="0042408D" w:rsidR="0042408D" w:rsidP="0042408D" w:rsidRDefault="0042408D" w14:paraId="6F0E6054" w14:textId="77777777">
          <w:pPr>
            <w:rPr>
              <w:i/>
              <w:iCs/>
            </w:rPr>
          </w:pPr>
          <w:r w:rsidRPr="0042408D">
            <w:t xml:space="preserve">d. </w:t>
          </w:r>
          <w:r w:rsidRPr="0042408D">
            <w:tab/>
          </w:r>
          <w:r w:rsidRPr="0042408D">
            <w:rPr>
              <w:i/>
              <w:iCs/>
            </w:rPr>
            <w:t>Geen terugvordering</w:t>
          </w:r>
        </w:p>
        <w:p w:rsidRPr="0042408D" w:rsidR="0042408D" w:rsidP="0042408D" w:rsidRDefault="0042408D" w14:paraId="1592688F" w14:textId="27427785">
          <w:r w:rsidRPr="0042408D">
            <w:t>De Afdeling merkt op dat overcompensatie ook plaatsvindt doordat een tegemoetkoming waarvan op enig moment blijkt dat deze ten onrechte is verstrekt, niet kan worden teruggevorderd.</w:t>
          </w:r>
          <w:r w:rsidRPr="0042408D">
            <w:rPr>
              <w:vertAlign w:val="superscript"/>
            </w:rPr>
            <w:footnoteReference w:id="16"/>
          </w:r>
          <w:r w:rsidRPr="0042408D">
            <w:t xml:space="preserve"> Dit betekent dat fouten niet (kunnen) worden hersteld, ook als evident is dat de tegemoetkoming ten onrechte is verleend. </w:t>
          </w:r>
          <w:r w:rsidR="00EC0608">
            <w:t xml:space="preserve">Daarbij </w:t>
          </w:r>
          <w:r w:rsidR="00996789">
            <w:t>is</w:t>
          </w:r>
          <w:r w:rsidR="00581296">
            <w:t xml:space="preserve"> een </w:t>
          </w:r>
          <w:r w:rsidR="00996789">
            <w:t>extra complicatie</w:t>
          </w:r>
          <w:r w:rsidR="00692FA4">
            <w:t xml:space="preserve"> </w:t>
          </w:r>
          <w:r w:rsidR="00286235">
            <w:t xml:space="preserve">dat </w:t>
          </w:r>
          <w:r w:rsidR="00FF5E29">
            <w:t xml:space="preserve">bij </w:t>
          </w:r>
          <w:r w:rsidR="00BC2E55">
            <w:t xml:space="preserve">de beoordeling van </w:t>
          </w:r>
          <w:r w:rsidR="00B97885">
            <w:t xml:space="preserve">een aanvraag </w:t>
          </w:r>
          <w:r w:rsidR="00C228E4">
            <w:t xml:space="preserve">voor een tegemoetkoming </w:t>
          </w:r>
          <w:r w:rsidRPr="0042408D">
            <w:t xml:space="preserve">op basis van schattingen </w:t>
          </w:r>
          <w:r w:rsidR="002E3842">
            <w:t xml:space="preserve">van het </w:t>
          </w:r>
          <w:r w:rsidR="001A6C74">
            <w:t>actuele</w:t>
          </w:r>
          <w:r w:rsidR="002E3842">
            <w:t xml:space="preserve"> jaarinkomen zal </w:t>
          </w:r>
          <w:r w:rsidR="00506214">
            <w:t>moeten</w:t>
          </w:r>
          <w:r w:rsidRPr="0042408D">
            <w:t xml:space="preserve"> worden be</w:t>
          </w:r>
          <w:r w:rsidR="000A3E32">
            <w:t>slist</w:t>
          </w:r>
          <w:r w:rsidRPr="0042408D">
            <w:t xml:space="preserve"> of aan de voorwaarden wordt voldaan. </w:t>
          </w:r>
        </w:p>
        <w:p w:rsidRPr="0042408D" w:rsidR="0042408D" w:rsidP="0042408D" w:rsidRDefault="0042408D" w14:paraId="2CC1FB1C" w14:textId="77777777"/>
        <w:p w:rsidRPr="0042408D" w:rsidR="0042408D" w:rsidP="0042408D" w:rsidRDefault="0042408D" w14:paraId="28CB2DC0" w14:textId="77777777">
          <w:r w:rsidRPr="0042408D">
            <w:t xml:space="preserve">e. </w:t>
          </w:r>
          <w:r w:rsidRPr="0042408D">
            <w:tab/>
          </w:r>
          <w:r w:rsidRPr="0042408D">
            <w:rPr>
              <w:i/>
              <w:iCs/>
            </w:rPr>
            <w:t>Conclusie</w:t>
          </w:r>
        </w:p>
        <w:p w:rsidR="0003772C" w:rsidP="0042408D" w:rsidRDefault="0025098F" w14:paraId="4524A4FA" w14:textId="487777C1">
          <w:r>
            <w:t>M</w:t>
          </w:r>
          <w:r w:rsidRPr="0042408D" w:rsidR="0042408D">
            <w:t xml:space="preserve">ede in het licht van de uitspraak van de CRvB, </w:t>
          </w:r>
          <w:r>
            <w:t xml:space="preserve">begrijpt de Afdeling </w:t>
          </w:r>
          <w:r w:rsidRPr="0042408D" w:rsidR="0042408D">
            <w:t xml:space="preserve">de wens om in afwachting van een definitieve oplossing voor de alleenverdienersproblematiek te voorzien in een tijdelijke regeling. Ook begrijpt zij dat, gegeven dat uitvoering op </w:t>
          </w:r>
          <w:r w:rsidR="00DA2B3B">
            <w:t xml:space="preserve">centraal </w:t>
          </w:r>
          <w:r w:rsidRPr="0042408D" w:rsidR="0042408D">
            <w:t xml:space="preserve">niveau niet mogelijk is gebleken, is gekozen voor uitvoering </w:t>
          </w:r>
          <w:r w:rsidR="00BB4A02">
            <w:t xml:space="preserve">van deze tijdelijke regeling </w:t>
          </w:r>
          <w:r w:rsidRPr="0042408D" w:rsidR="0042408D">
            <w:t xml:space="preserve">door gemeenten en dat de vormgeving van de regeling is afgestemd op de beperkte mogelijkheden die gemeenten in dat kader hebben. </w:t>
          </w:r>
        </w:p>
        <w:p w:rsidR="0003772C" w:rsidP="0042408D" w:rsidRDefault="0003772C" w14:paraId="6ACB6CAB" w14:textId="77777777"/>
        <w:p w:rsidR="00044F34" w:rsidP="0042408D" w:rsidRDefault="0042408D" w14:paraId="630842B1" w14:textId="0F49AC1C">
          <w:r w:rsidRPr="0042408D">
            <w:t xml:space="preserve">De voorgestelde regeling roept </w:t>
          </w:r>
          <w:r w:rsidR="0003772C">
            <w:t>desondanks</w:t>
          </w:r>
          <w:r w:rsidRPr="0042408D">
            <w:t xml:space="preserve"> veel nieuwe (juridische) vragen op, terwijl deze de gesignaleerde knelpunten niet volledig wegneemt. </w:t>
          </w:r>
          <w:bookmarkStart w:name="_Hlk171672066" w:id="1"/>
          <w:r w:rsidRPr="0042408D">
            <w:t xml:space="preserve">Daarbij </w:t>
          </w:r>
          <w:r w:rsidR="007A10CC">
            <w:t>merkt</w:t>
          </w:r>
          <w:r w:rsidRPr="0042408D" w:rsidR="007A10CC">
            <w:t xml:space="preserve"> </w:t>
          </w:r>
          <w:r w:rsidRPr="0042408D">
            <w:t xml:space="preserve">de Afdeling </w:t>
          </w:r>
          <w:r w:rsidR="007A10CC">
            <w:t>op</w:t>
          </w:r>
          <w:r w:rsidRPr="0042408D">
            <w:t xml:space="preserve"> dat de problematiek waarvoor het voorstel een oplossing beoogt te bieden, niet voortkomt uit een door externe factoren veroorzaakte noodsituatie. De alleenverdienersproblematiek is </w:t>
          </w:r>
          <w:r w:rsidR="00A307DA">
            <w:t>daarentegen</w:t>
          </w:r>
          <w:r w:rsidR="00223ADF">
            <w:t xml:space="preserve"> </w:t>
          </w:r>
          <w:r w:rsidRPr="0042408D">
            <w:t xml:space="preserve">een (voorzienbaar) gevolg van </w:t>
          </w:r>
          <w:r w:rsidR="00C21B6B">
            <w:t xml:space="preserve">een </w:t>
          </w:r>
          <w:r w:rsidR="00D86DB8">
            <w:t>samenloop</w:t>
          </w:r>
          <w:r w:rsidR="00C21B6B">
            <w:t xml:space="preserve"> van</w:t>
          </w:r>
          <w:r w:rsidRPr="0042408D">
            <w:t xml:space="preserve"> </w:t>
          </w:r>
          <w:r w:rsidR="00947A01">
            <w:t>nationale</w:t>
          </w:r>
          <w:r w:rsidRPr="0042408D" w:rsidDel="0002273C">
            <w:t xml:space="preserve"> </w:t>
          </w:r>
          <w:r w:rsidR="0002273C">
            <w:t>beleids</w:t>
          </w:r>
          <w:r w:rsidRPr="0042408D">
            <w:t xml:space="preserve">maatregelen. </w:t>
          </w:r>
          <w:r w:rsidRPr="0042408D" w:rsidR="00951A7F">
            <w:t xml:space="preserve">Het past </w:t>
          </w:r>
          <w:r w:rsidR="00951A7F">
            <w:t xml:space="preserve">ook </w:t>
          </w:r>
          <w:r w:rsidRPr="0042408D" w:rsidR="00951A7F">
            <w:t xml:space="preserve">niet </w:t>
          </w:r>
          <w:r w:rsidR="00951A7F">
            <w:lastRenderedPageBreak/>
            <w:t>goed in de interbestuurlijke verhoudingen</w:t>
          </w:r>
          <w:r w:rsidRPr="0042408D" w:rsidR="00951A7F">
            <w:t xml:space="preserve"> om gemeenten </w:t>
          </w:r>
          <w:r w:rsidR="00951A7F">
            <w:t>te belasten met</w:t>
          </w:r>
          <w:r w:rsidRPr="0042408D" w:rsidR="00951A7F">
            <w:t xml:space="preserve"> oplossingen voor </w:t>
          </w:r>
          <w:r w:rsidR="00837786">
            <w:t xml:space="preserve">de problemen die </w:t>
          </w:r>
          <w:r w:rsidR="00947A01">
            <w:t xml:space="preserve">op </w:t>
          </w:r>
          <w:r w:rsidR="00C50BDE">
            <w:t>nationaal</w:t>
          </w:r>
          <w:r w:rsidR="00947A01">
            <w:t xml:space="preserve"> niveau</w:t>
          </w:r>
          <w:r w:rsidR="00015E23">
            <w:t xml:space="preserve"> zijn ontstaan</w:t>
          </w:r>
          <w:r w:rsidRPr="0042408D" w:rsidR="00951A7F">
            <w:t>.</w:t>
          </w:r>
          <w:r w:rsidR="00951A7F">
            <w:t xml:space="preserve"> </w:t>
          </w:r>
        </w:p>
        <w:p w:rsidR="00044F34" w:rsidP="0042408D" w:rsidRDefault="00044F34" w14:paraId="56C828A4" w14:textId="77777777"/>
        <w:p w:rsidRPr="0042408D" w:rsidR="0042408D" w:rsidP="0042408D" w:rsidRDefault="0042408D" w14:paraId="312D8858" w14:textId="0F417076">
          <w:r w:rsidRPr="0042408D">
            <w:t xml:space="preserve">De voorgestelde oplossing </w:t>
          </w:r>
          <w:r w:rsidR="00BA618A">
            <w:t xml:space="preserve">is dus in </w:t>
          </w:r>
          <w:r w:rsidR="00D85149">
            <w:t>verschillende</w:t>
          </w:r>
          <w:r w:rsidR="00BA618A">
            <w:t xml:space="preserve"> </w:t>
          </w:r>
          <w:r w:rsidR="00354B4A">
            <w:t xml:space="preserve">opzichten </w:t>
          </w:r>
          <w:r w:rsidRPr="0042408D">
            <w:t xml:space="preserve">gebrekkig, </w:t>
          </w:r>
          <w:r w:rsidR="00354B4A">
            <w:t xml:space="preserve">hetgeen </w:t>
          </w:r>
          <w:r w:rsidRPr="0042408D">
            <w:t>de Afdeling problematisch</w:t>
          </w:r>
          <w:r w:rsidR="00354B4A">
            <w:t xml:space="preserve"> acht</w:t>
          </w:r>
          <w:r w:rsidRPr="0042408D">
            <w:t xml:space="preserve">. Dit geldt temeer nu het risico bestaat dat de tijdelijke regeling langer </w:t>
          </w:r>
          <w:r w:rsidR="00DD71A4">
            <w:t xml:space="preserve">van toepassing </w:t>
          </w:r>
          <w:r w:rsidR="00010A30">
            <w:t>zal zijn</w:t>
          </w:r>
          <w:r w:rsidRPr="0042408D">
            <w:t xml:space="preserve"> dan </w:t>
          </w:r>
          <w:r w:rsidR="00AE4FE8">
            <w:t xml:space="preserve">nu </w:t>
          </w:r>
          <w:r w:rsidRPr="0042408D">
            <w:t xml:space="preserve">beoogd, </w:t>
          </w:r>
          <w:r w:rsidR="0008612E">
            <w:t>doordat</w:t>
          </w:r>
          <w:r w:rsidRPr="0042408D">
            <w:t xml:space="preserve"> de definitieve oplossing langer op zich laat wachten dan </w:t>
          </w:r>
          <w:r w:rsidR="003108C2">
            <w:t xml:space="preserve">nu </w:t>
          </w:r>
          <w:r w:rsidR="00147041">
            <w:t xml:space="preserve">wordt </w:t>
          </w:r>
          <w:r w:rsidR="003108C2">
            <w:t>voorzien</w:t>
          </w:r>
          <w:r w:rsidRPr="0042408D">
            <w:t>.</w:t>
          </w:r>
          <w:r w:rsidRPr="0042408D">
            <w:rPr>
              <w:vertAlign w:val="superscript"/>
            </w:rPr>
            <w:footnoteReference w:id="17"/>
          </w:r>
          <w:r w:rsidRPr="0042408D">
            <w:t xml:space="preserve"> Ook als de </w:t>
          </w:r>
          <w:r w:rsidR="0046488E">
            <w:t>tijdelijke</w:t>
          </w:r>
          <w:r w:rsidRPr="0042408D">
            <w:t xml:space="preserve"> regeling nog op onderdelen kan worden</w:t>
          </w:r>
          <w:r w:rsidR="00457748">
            <w:t xml:space="preserve"> verbeterd</w:t>
          </w:r>
          <w:r w:rsidRPr="0042408D">
            <w:t xml:space="preserve">, </w:t>
          </w:r>
          <w:r w:rsidR="00876AF1">
            <w:t>is</w:t>
          </w:r>
          <w:r w:rsidRPr="0042408D">
            <w:t xml:space="preserve"> het noodzakelijk dat </w:t>
          </w:r>
          <w:r w:rsidR="004C160D">
            <w:t>al</w:t>
          </w:r>
          <w:r w:rsidRPr="0042408D">
            <w:t xml:space="preserve"> het </w:t>
          </w:r>
          <w:r w:rsidR="004C160D">
            <w:t>mogelijk</w:t>
          </w:r>
          <w:r w:rsidR="00BD61EC">
            <w:t>e</w:t>
          </w:r>
          <w:r w:rsidRPr="0042408D" w:rsidR="004C160D">
            <w:t xml:space="preserve"> </w:t>
          </w:r>
          <w:r w:rsidRPr="0042408D">
            <w:t>wordt</w:t>
          </w:r>
          <w:r w:rsidRPr="0042408D" w:rsidDel="0056490E">
            <w:t xml:space="preserve"> </w:t>
          </w:r>
          <w:r w:rsidRPr="0042408D" w:rsidR="0056490E">
            <w:t>ge</w:t>
          </w:r>
          <w:r w:rsidR="0056490E">
            <w:t>daan</w:t>
          </w:r>
          <w:r w:rsidRPr="0042408D">
            <w:t xml:space="preserve"> om de looptijd van de regeling zo kort mogelijk te laten zijn. </w:t>
          </w:r>
        </w:p>
        <w:bookmarkEnd w:id="1"/>
        <w:p w:rsidRPr="0042408D" w:rsidR="0042408D" w:rsidP="0042408D" w:rsidRDefault="0042408D" w14:paraId="3AD46033" w14:textId="77777777"/>
        <w:p w:rsidR="001978DD" w:rsidRDefault="0042408D" w14:paraId="711E704D" w14:textId="1ED2AFE1">
          <w:r w:rsidRPr="0042408D">
            <w:t xml:space="preserve">Gelet </w:t>
          </w:r>
          <w:r w:rsidR="00926932">
            <w:t>hier</w:t>
          </w:r>
          <w:r w:rsidRPr="0042408D">
            <w:t>op adviseert de Afdeling in de toelichting nader op het vo</w:t>
          </w:r>
          <w:r w:rsidR="00926932">
            <w:t>org</w:t>
          </w:r>
          <w:r w:rsidRPr="0042408D">
            <w:t xml:space="preserve">aande in te gaan en zo nodig het </w:t>
          </w:r>
          <w:r w:rsidR="00926932">
            <w:t>wets</w:t>
          </w:r>
          <w:r w:rsidRPr="0042408D">
            <w:t xml:space="preserve">voorstel aan te passen. </w:t>
          </w:r>
        </w:p>
      </w:sdtContent>
    </w:sdt>
    <w:p w:rsidR="00E450D9" w:rsidRDefault="00E450D9" w14:paraId="4440D81A" w14:textId="77777777"/>
    <w:sdt>
      <w:sdtPr>
        <w:tag w:val="bmDictum"/>
        <w:id w:val="-701323589"/>
        <w:lock w:val="sdtLocked"/>
        <w:placeholder>
          <w:docPart w:val="DefaultPlaceholder_-1854013440"/>
        </w:placeholder>
      </w:sdtPr>
      <w:sdtEndPr/>
      <w:sdtContent>
        <w:p w:rsidR="00E450D9" w:rsidRDefault="00E450D9" w14:paraId="5AEC7C2A" w14:textId="79E16AAA">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r w:rsidR="00EF4C11">
            <w:t xml:space="preserve">waarnemend </w:t>
          </w:r>
          <w:r>
            <w:t>vice-president van de Raad van State,</w:t>
          </w:r>
        </w:p>
      </w:sdtContent>
    </w:sdt>
    <w:sectPr w:rsidR="00E450D9" w:rsidSect="00BD49BF">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9B9EF" w14:textId="77777777" w:rsidR="00D479CA" w:rsidRDefault="00D479CA">
      <w:r>
        <w:separator/>
      </w:r>
    </w:p>
  </w:endnote>
  <w:endnote w:type="continuationSeparator" w:id="0">
    <w:p w14:paraId="4E06090E" w14:textId="77777777" w:rsidR="00D479CA" w:rsidRDefault="00D479CA">
      <w:r>
        <w:continuationSeparator/>
      </w:r>
    </w:p>
  </w:endnote>
  <w:endnote w:type="continuationNotice" w:id="1">
    <w:p w14:paraId="1598F486" w14:textId="77777777" w:rsidR="00D479CA" w:rsidRDefault="00D47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5066" w14:textId="77777777" w:rsidR="00BD49BF" w:rsidRDefault="00BD49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06FF2" w14:paraId="711E7055" w14:textId="77777777" w:rsidTr="00D90098">
      <w:tc>
        <w:tcPr>
          <w:tcW w:w="4815" w:type="dxa"/>
        </w:tcPr>
        <w:p w14:paraId="711E7053" w14:textId="77777777" w:rsidR="00D90098" w:rsidRDefault="00D90098" w:rsidP="00D90098">
          <w:pPr>
            <w:pStyle w:val="Voettekst"/>
          </w:pPr>
        </w:p>
      </w:tc>
      <w:tc>
        <w:tcPr>
          <w:tcW w:w="4247" w:type="dxa"/>
        </w:tcPr>
        <w:p w14:paraId="711E7054" w14:textId="77777777" w:rsidR="00D90098" w:rsidRDefault="00D90098" w:rsidP="00D90098">
          <w:pPr>
            <w:pStyle w:val="Voettekst"/>
            <w:jc w:val="right"/>
          </w:pPr>
        </w:p>
      </w:tc>
    </w:tr>
  </w:tbl>
  <w:p w14:paraId="711E7056"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1EC7" w14:textId="5B6683C8" w:rsidR="00BD49BF" w:rsidRPr="00BD49BF" w:rsidRDefault="00BD49BF">
    <w:pPr>
      <w:pStyle w:val="Voettekst"/>
      <w:rPr>
        <w:rFonts w:ascii="Bembo" w:hAnsi="Bembo"/>
        <w:sz w:val="32"/>
      </w:rPr>
    </w:pPr>
    <w:r w:rsidRPr="00BD49BF">
      <w:rPr>
        <w:rFonts w:ascii="Bembo" w:hAnsi="Bembo"/>
        <w:sz w:val="32"/>
      </w:rPr>
      <w:t>AAN DE KONING</w:t>
    </w:r>
  </w:p>
  <w:p w14:paraId="6171E58A" w14:textId="77777777" w:rsidR="00BD49BF" w:rsidRDefault="00BD49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C2F3" w14:textId="77777777" w:rsidR="00D479CA" w:rsidRDefault="00D479CA">
      <w:r>
        <w:separator/>
      </w:r>
    </w:p>
  </w:footnote>
  <w:footnote w:type="continuationSeparator" w:id="0">
    <w:p w14:paraId="71CB94A5" w14:textId="77777777" w:rsidR="00D479CA" w:rsidRDefault="00D479CA">
      <w:r>
        <w:continuationSeparator/>
      </w:r>
    </w:p>
  </w:footnote>
  <w:footnote w:type="continuationNotice" w:id="1">
    <w:p w14:paraId="235B7928" w14:textId="77777777" w:rsidR="00D479CA" w:rsidRDefault="00D479CA"/>
  </w:footnote>
  <w:footnote w:id="2">
    <w:p w14:paraId="7BD17829" w14:textId="4ABBF15E" w:rsidR="000E484C" w:rsidRDefault="000E484C">
      <w:pPr>
        <w:pStyle w:val="Voetnoottekst"/>
      </w:pPr>
      <w:r>
        <w:rPr>
          <w:rStyle w:val="Voetnootmarkering"/>
        </w:rPr>
        <w:footnoteRef/>
      </w:r>
      <w:r>
        <w:t xml:space="preserve"> </w:t>
      </w:r>
      <w:r w:rsidR="000B2112">
        <w:t xml:space="preserve">In verband met de kabinetswisseling wordt het advies gezonden aan de </w:t>
      </w:r>
      <w:r w:rsidR="006064D2">
        <w:t>Staatssecretaris Participatie en Integratie.</w:t>
      </w:r>
    </w:p>
  </w:footnote>
  <w:footnote w:id="3">
    <w:p w14:paraId="6FCC8CFE" w14:textId="77777777" w:rsidR="0042408D" w:rsidRDefault="0042408D" w:rsidP="0042408D">
      <w:pPr>
        <w:pStyle w:val="Voetnoottekst"/>
      </w:pPr>
      <w:r>
        <w:rPr>
          <w:rStyle w:val="Voetnootmarkering"/>
        </w:rPr>
        <w:footnoteRef/>
      </w:r>
      <w:r>
        <w:t xml:space="preserve"> Zie bijvoorbeeld Aanhangsel Handelingen II 2019/20, nr. 2819, Kamerstukken II 2021/22, 31066, nr. 898 en Kamerstukken II 2021/22, 31066, nr. 927.</w:t>
      </w:r>
    </w:p>
  </w:footnote>
  <w:footnote w:id="4">
    <w:p w14:paraId="1549D97C" w14:textId="77777777" w:rsidR="0042408D" w:rsidRPr="0076557B" w:rsidRDefault="0042408D" w:rsidP="0042408D">
      <w:pPr>
        <w:pStyle w:val="Voetnoottekst"/>
        <w:rPr>
          <w:lang w:val="en-GB"/>
        </w:rPr>
      </w:pPr>
      <w:r>
        <w:rPr>
          <w:rStyle w:val="Voetnootmarkering"/>
        </w:rPr>
        <w:footnoteRef/>
      </w:r>
      <w:r w:rsidRPr="0076557B">
        <w:rPr>
          <w:lang w:val="en-GB"/>
        </w:rPr>
        <w:t xml:space="preserve"> </w:t>
      </w:r>
      <w:r w:rsidRPr="00BC427E">
        <w:rPr>
          <w:lang w:val="en-US"/>
        </w:rPr>
        <w:t xml:space="preserve">CRvB 27 september 2022, </w:t>
      </w:r>
      <w:r w:rsidRPr="0076557B">
        <w:rPr>
          <w:lang w:val="en-GB"/>
        </w:rPr>
        <w:t>ECLI:NL:CRvB:2022:1952</w:t>
      </w:r>
      <w:r>
        <w:rPr>
          <w:lang w:val="en-GB"/>
        </w:rPr>
        <w:t>.</w:t>
      </w:r>
    </w:p>
  </w:footnote>
  <w:footnote w:id="5">
    <w:p w14:paraId="4D2926D0" w14:textId="77777777" w:rsidR="0042408D" w:rsidRDefault="0042408D" w:rsidP="0042408D">
      <w:pPr>
        <w:pStyle w:val="Voetnoottekst"/>
      </w:pPr>
      <w:r>
        <w:rPr>
          <w:rStyle w:val="Voetnootmarkering"/>
        </w:rPr>
        <w:footnoteRef/>
      </w:r>
      <w:r>
        <w:t xml:space="preserve"> Memorie van toelichting, paragraaf 1.1.</w:t>
      </w:r>
    </w:p>
  </w:footnote>
  <w:footnote w:id="6">
    <w:p w14:paraId="3EC2DF51" w14:textId="60A97B84" w:rsidR="0042408D" w:rsidRDefault="0042408D" w:rsidP="0042408D">
      <w:pPr>
        <w:pStyle w:val="Voetnoottekst"/>
      </w:pPr>
      <w:r>
        <w:rPr>
          <w:rStyle w:val="Voetnootmarkering"/>
        </w:rPr>
        <w:footnoteRef/>
      </w:r>
      <w:r>
        <w:t xml:space="preserve"> Memorie van toelichting, paragraaf 1.1. Zie ook Kamerstukken II 2023/24, 26448, nr. 728</w:t>
      </w:r>
      <w:r w:rsidR="00A8545F">
        <w:t xml:space="preserve"> en </w:t>
      </w:r>
      <w:r w:rsidR="00AD2B83">
        <w:t xml:space="preserve">nr. </w:t>
      </w:r>
      <w:r w:rsidR="005B6B81">
        <w:t>763</w:t>
      </w:r>
      <w:r>
        <w:t xml:space="preserve">. </w:t>
      </w:r>
    </w:p>
  </w:footnote>
  <w:footnote w:id="7">
    <w:p w14:paraId="54FDF387" w14:textId="77777777" w:rsidR="0042408D" w:rsidRDefault="0042408D" w:rsidP="0042408D">
      <w:pPr>
        <w:pStyle w:val="Voetnoottekst"/>
      </w:pPr>
      <w:r>
        <w:rPr>
          <w:rStyle w:val="Voetnootmarkering"/>
        </w:rPr>
        <w:footnoteRef/>
      </w:r>
      <w:r>
        <w:t xml:space="preserve"> Zie bijvoorbeeld de </w:t>
      </w:r>
      <w:r w:rsidRPr="00C25B1F">
        <w:t xml:space="preserve">Monitor uitvoering energietoeslag Meting </w:t>
      </w:r>
      <w:r>
        <w:t xml:space="preserve">1 (bijlage bij Kamerstukken II 2022/23, 24515, nr. 701). </w:t>
      </w:r>
    </w:p>
  </w:footnote>
  <w:footnote w:id="8">
    <w:p w14:paraId="74FE4058" w14:textId="1B59C9CF" w:rsidR="005F434D" w:rsidRDefault="005F434D">
      <w:pPr>
        <w:pStyle w:val="Voetnoottekst"/>
      </w:pPr>
      <w:r>
        <w:rPr>
          <w:rStyle w:val="Voetnootmarkering"/>
        </w:rPr>
        <w:footnoteRef/>
      </w:r>
      <w:r>
        <w:t xml:space="preserve"> Memorie van toelichting, paragraaf 2.1.2.</w:t>
      </w:r>
      <w:r w:rsidR="009C7638">
        <w:t xml:space="preserve"> en 8.1.</w:t>
      </w:r>
    </w:p>
  </w:footnote>
  <w:footnote w:id="9">
    <w:p w14:paraId="2D74585D" w14:textId="76D7CCF7" w:rsidR="0042408D" w:rsidRDefault="0042408D" w:rsidP="0042408D">
      <w:pPr>
        <w:pStyle w:val="Voetnoottekst"/>
      </w:pPr>
      <w:r>
        <w:rPr>
          <w:rStyle w:val="Voetnootmarkering"/>
        </w:rPr>
        <w:footnoteRef/>
      </w:r>
      <w:r>
        <w:t xml:space="preserve"> </w:t>
      </w:r>
      <w:r w:rsidR="00E44BA0">
        <w:t>V</w:t>
      </w:r>
      <w:r>
        <w:t xml:space="preserve">oorgesteld artikel 78gg, eerste lid, Participatiewet </w:t>
      </w:r>
      <w:r w:rsidR="00E44BA0">
        <w:t>beperkt</w:t>
      </w:r>
      <w:r>
        <w:t xml:space="preserve"> de doelgroep tot alleenverdieners die een inkomen hebben uit een uitkering, niet zijnde een bijstandsuitkering. Uit toelichting blijkt niet </w:t>
      </w:r>
      <w:r w:rsidR="008433E2">
        <w:t xml:space="preserve">duidelijk </w:t>
      </w:r>
      <w:r>
        <w:t xml:space="preserve">waarom een alleenverdiener met </w:t>
      </w:r>
      <w:r w:rsidR="001875DE">
        <w:t>bijvoorbeeld</w:t>
      </w:r>
      <w:r>
        <w:t xml:space="preserve"> een inkomen uit </w:t>
      </w:r>
      <w:r w:rsidR="00141E86">
        <w:t>loon</w:t>
      </w:r>
      <w:r w:rsidR="00ED2C44">
        <w:t xml:space="preserve"> of uit overig </w:t>
      </w:r>
      <w:r>
        <w:t>werk niet in aanmerking kan komen voor de tegemoetkoming.</w:t>
      </w:r>
    </w:p>
  </w:footnote>
  <w:footnote w:id="10">
    <w:p w14:paraId="636EA4DA" w14:textId="2D6CE4AB" w:rsidR="0042408D" w:rsidRDefault="0042408D" w:rsidP="0042408D">
      <w:pPr>
        <w:pStyle w:val="Voetnoottekst"/>
      </w:pPr>
      <w:r>
        <w:rPr>
          <w:rStyle w:val="Voetnootmarkering"/>
        </w:rPr>
        <w:footnoteRef/>
      </w:r>
      <w:r>
        <w:t xml:space="preserve"> Zie </w:t>
      </w:r>
      <w:r w:rsidR="00976987">
        <w:t xml:space="preserve">bijvoorbeeld </w:t>
      </w:r>
      <w:r>
        <w:t xml:space="preserve">HR 6 juni 2024, </w:t>
      </w:r>
      <w:r w:rsidRPr="00C157E4">
        <w:t>ECLI:NL:HR:2024:704</w:t>
      </w:r>
      <w:r>
        <w:t xml:space="preserve">. </w:t>
      </w:r>
    </w:p>
  </w:footnote>
  <w:footnote w:id="11">
    <w:p w14:paraId="26B71A76" w14:textId="77777777" w:rsidR="0042408D" w:rsidRDefault="0042408D" w:rsidP="0042408D">
      <w:pPr>
        <w:pStyle w:val="Voetnoottekst"/>
      </w:pPr>
      <w:r>
        <w:rPr>
          <w:rStyle w:val="Voetnootmarkering"/>
        </w:rPr>
        <w:footnoteRef/>
      </w:r>
      <w:r>
        <w:t xml:space="preserve"> Voorgesteld artikel 78gg, eerste lid, aanhef, Participatiewet.</w:t>
      </w:r>
    </w:p>
  </w:footnote>
  <w:footnote w:id="12">
    <w:p w14:paraId="597EDD7C" w14:textId="77777777" w:rsidR="0042408D" w:rsidRDefault="0042408D" w:rsidP="0042408D">
      <w:pPr>
        <w:pStyle w:val="Voetnoottekst"/>
      </w:pPr>
      <w:r>
        <w:rPr>
          <w:rStyle w:val="Voetnootmarkering"/>
        </w:rPr>
        <w:footnoteRef/>
      </w:r>
      <w:r>
        <w:t xml:space="preserve"> Memorie van toelichting, paragraaf 10.2.</w:t>
      </w:r>
    </w:p>
  </w:footnote>
  <w:footnote w:id="13">
    <w:p w14:paraId="7303B5DC" w14:textId="32F9E6F6" w:rsidR="0042408D" w:rsidRDefault="0042408D" w:rsidP="0042408D">
      <w:pPr>
        <w:pStyle w:val="Voetnoottekst"/>
      </w:pPr>
      <w:r>
        <w:rPr>
          <w:rStyle w:val="Voetnootmarkering"/>
        </w:rPr>
        <w:footnoteRef/>
      </w:r>
      <w:r>
        <w:t xml:space="preserve"> Memorie van toelichting, paragraaf 2.1.4. </w:t>
      </w:r>
    </w:p>
  </w:footnote>
  <w:footnote w:id="14">
    <w:p w14:paraId="7064B4A0" w14:textId="44B25432" w:rsidR="0042408D" w:rsidRDefault="0042408D" w:rsidP="0042408D">
      <w:pPr>
        <w:pStyle w:val="Voetnoottekst"/>
      </w:pPr>
      <w:r>
        <w:rPr>
          <w:rStyle w:val="Voetnootmarkering"/>
        </w:rPr>
        <w:footnoteRef/>
      </w:r>
      <w:r>
        <w:t xml:space="preserve"> </w:t>
      </w:r>
      <w:r w:rsidR="00FE756D">
        <w:t>Deze huishoudens moeten een aanvraag indienen voor de</w:t>
      </w:r>
      <w:r w:rsidR="00260458">
        <w:t xml:space="preserve"> tegemoetkoming.</w:t>
      </w:r>
      <w:r w:rsidR="00FE756D">
        <w:t xml:space="preserve"> </w:t>
      </w:r>
      <w:r w:rsidR="00260458">
        <w:t xml:space="preserve">Het advies aan </w:t>
      </w:r>
      <w:r w:rsidR="00BF6F47">
        <w:t>gemeenten is</w:t>
      </w:r>
      <w:r>
        <w:t xml:space="preserve"> </w:t>
      </w:r>
      <w:r w:rsidRPr="00A76CB3">
        <w:t xml:space="preserve">om </w:t>
      </w:r>
      <w:r w:rsidR="00101D27">
        <w:t>het gemis aan toeslagen</w:t>
      </w:r>
      <w:r w:rsidRPr="00A76CB3">
        <w:t xml:space="preserve"> te </w:t>
      </w:r>
      <w:r w:rsidR="00A01EFE">
        <w:t>bepalen</w:t>
      </w:r>
      <w:r w:rsidR="00A01EFE" w:rsidRPr="00A76CB3">
        <w:t xml:space="preserve"> </w:t>
      </w:r>
      <w:r w:rsidR="00605D92">
        <w:t>door</w:t>
      </w:r>
      <w:r w:rsidRPr="00A76CB3">
        <w:t xml:space="preserve"> zo recent mogelijke inkomensgegevens</w:t>
      </w:r>
      <w:r w:rsidR="000262C5">
        <w:t>,</w:t>
      </w:r>
      <w:r w:rsidRPr="00A76CB3">
        <w:t xml:space="preserve"> op basis van een referteperiode van één maand</w:t>
      </w:r>
      <w:r w:rsidR="000262C5">
        <w:t>, te extrapoleren</w:t>
      </w:r>
      <w:r w:rsidR="00180306">
        <w:t xml:space="preserve"> naar een jaarinkomen</w:t>
      </w:r>
      <w:r w:rsidR="007E3860">
        <w:t>. Zie de m</w:t>
      </w:r>
      <w:r>
        <w:t>emorie van toelichting, paragraaf 2.1.4</w:t>
      </w:r>
      <w:r w:rsidR="007E3860">
        <w:t>.</w:t>
      </w:r>
      <w:r>
        <w:t xml:space="preserve"> </w:t>
      </w:r>
    </w:p>
  </w:footnote>
  <w:footnote w:id="15">
    <w:p w14:paraId="62725A21" w14:textId="3273A7DF" w:rsidR="0042408D" w:rsidRDefault="0042408D" w:rsidP="0042408D">
      <w:pPr>
        <w:pStyle w:val="Voetnoottekst"/>
      </w:pPr>
      <w:r>
        <w:rPr>
          <w:rStyle w:val="Voetnootmarkering"/>
        </w:rPr>
        <w:footnoteRef/>
      </w:r>
      <w:r>
        <w:t xml:space="preserve"> Memorie van toelichting, paragraaf 2.1.4 en 8.1. </w:t>
      </w:r>
      <w:r w:rsidR="00944EF9">
        <w:t xml:space="preserve">Het gaat </w:t>
      </w:r>
      <w:r w:rsidR="00534C40">
        <w:t>daarbij</w:t>
      </w:r>
      <w:r w:rsidR="00944EF9">
        <w:t xml:space="preserve"> om 2.000 tot 3.000 huishoudens per jaar.</w:t>
      </w:r>
    </w:p>
  </w:footnote>
  <w:footnote w:id="16">
    <w:p w14:paraId="57F89581" w14:textId="77777777" w:rsidR="0042408D" w:rsidRDefault="0042408D" w:rsidP="0042408D">
      <w:pPr>
        <w:pStyle w:val="Voetnoottekst"/>
      </w:pPr>
      <w:r>
        <w:rPr>
          <w:rStyle w:val="Voetnootmarkering"/>
        </w:rPr>
        <w:footnoteRef/>
      </w:r>
      <w:r>
        <w:t xml:space="preserve"> Voorgesteld artikel 78gg, zesde lid, Participatiewet.</w:t>
      </w:r>
    </w:p>
  </w:footnote>
  <w:footnote w:id="17">
    <w:p w14:paraId="768C56D1" w14:textId="7E213148" w:rsidR="0042408D" w:rsidRDefault="0042408D" w:rsidP="0042408D">
      <w:pPr>
        <w:pStyle w:val="Voetnoottekst"/>
      </w:pPr>
      <w:r>
        <w:rPr>
          <w:rStyle w:val="Voetnootmarkering"/>
        </w:rPr>
        <w:footnoteRef/>
      </w:r>
      <w:r>
        <w:t xml:space="preserve"> De regelmatige</w:t>
      </w:r>
      <w:r w:rsidR="008F43EE">
        <w:t xml:space="preserve"> temporisering of</w:t>
      </w:r>
      <w:r>
        <w:t xml:space="preserve"> bevriezing van de afbouw van de dubbele algemene heffingskorting in de bijstand (en daaraan gerelateerde uitkeringen) draagt </w:t>
      </w:r>
      <w:r w:rsidR="006E6C3B">
        <w:t>evenmin</w:t>
      </w:r>
      <w:r>
        <w:t xml:space="preserve"> </w:t>
      </w:r>
      <w:r w:rsidR="003156BD">
        <w:t xml:space="preserve">bij </w:t>
      </w:r>
      <w:r>
        <w:t xml:space="preserve">aan het oplossen van de alleenverdienersproblematiek. Zie bijvoorbeeld Stb. 2023, 490.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7981" w14:textId="77777777" w:rsidR="00BD49BF" w:rsidRDefault="00BD49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7051" w14:textId="77777777" w:rsidR="00FA7BCD" w:rsidRDefault="008C62F4"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7057" w14:textId="77777777" w:rsidR="00DA0CDA" w:rsidRDefault="008C62F4"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11E7058" w14:textId="77777777" w:rsidR="00993C75" w:rsidRDefault="008C62F4">
    <w:pPr>
      <w:pStyle w:val="Koptekst"/>
    </w:pPr>
    <w:r>
      <w:rPr>
        <w:noProof/>
      </w:rPr>
      <w:drawing>
        <wp:anchor distT="0" distB="0" distL="114300" distR="114300" simplePos="0" relativeHeight="251658240" behindDoc="1" locked="0" layoutInCell="1" allowOverlap="1" wp14:anchorId="711E7063" wp14:editId="711E706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F2"/>
    <w:rsid w:val="00010A30"/>
    <w:rsid w:val="00010D69"/>
    <w:rsid w:val="00012EC8"/>
    <w:rsid w:val="00014D2E"/>
    <w:rsid w:val="00015E23"/>
    <w:rsid w:val="00016B14"/>
    <w:rsid w:val="00017C54"/>
    <w:rsid w:val="0002273C"/>
    <w:rsid w:val="0002390D"/>
    <w:rsid w:val="000262C5"/>
    <w:rsid w:val="00027794"/>
    <w:rsid w:val="00031199"/>
    <w:rsid w:val="00037261"/>
    <w:rsid w:val="0003772C"/>
    <w:rsid w:val="00043909"/>
    <w:rsid w:val="00044D80"/>
    <w:rsid w:val="00044F34"/>
    <w:rsid w:val="00052889"/>
    <w:rsid w:val="000564BE"/>
    <w:rsid w:val="00057C68"/>
    <w:rsid w:val="00061866"/>
    <w:rsid w:val="00061894"/>
    <w:rsid w:val="00063A7F"/>
    <w:rsid w:val="00064386"/>
    <w:rsid w:val="0007124B"/>
    <w:rsid w:val="0007227D"/>
    <w:rsid w:val="00072610"/>
    <w:rsid w:val="00072D70"/>
    <w:rsid w:val="00073CDA"/>
    <w:rsid w:val="00075B78"/>
    <w:rsid w:val="00080918"/>
    <w:rsid w:val="00080E09"/>
    <w:rsid w:val="00083762"/>
    <w:rsid w:val="00084BDF"/>
    <w:rsid w:val="00084D6F"/>
    <w:rsid w:val="0008612E"/>
    <w:rsid w:val="0008624A"/>
    <w:rsid w:val="000872A9"/>
    <w:rsid w:val="00087663"/>
    <w:rsid w:val="00087CD9"/>
    <w:rsid w:val="00095359"/>
    <w:rsid w:val="00095681"/>
    <w:rsid w:val="000A1D4E"/>
    <w:rsid w:val="000A30E9"/>
    <w:rsid w:val="000A3E32"/>
    <w:rsid w:val="000A5B6C"/>
    <w:rsid w:val="000A7F0D"/>
    <w:rsid w:val="000B2112"/>
    <w:rsid w:val="000B5525"/>
    <w:rsid w:val="000B5671"/>
    <w:rsid w:val="000C21E6"/>
    <w:rsid w:val="000C3DBF"/>
    <w:rsid w:val="000C58EB"/>
    <w:rsid w:val="000C5DEC"/>
    <w:rsid w:val="000C6865"/>
    <w:rsid w:val="000D5FD5"/>
    <w:rsid w:val="000D72E8"/>
    <w:rsid w:val="000E3160"/>
    <w:rsid w:val="000E3E68"/>
    <w:rsid w:val="000E484C"/>
    <w:rsid w:val="000E4D09"/>
    <w:rsid w:val="000F00D7"/>
    <w:rsid w:val="000F3563"/>
    <w:rsid w:val="000F4080"/>
    <w:rsid w:val="000F4B04"/>
    <w:rsid w:val="000F7162"/>
    <w:rsid w:val="000F7736"/>
    <w:rsid w:val="001000B2"/>
    <w:rsid w:val="00100E5F"/>
    <w:rsid w:val="00101D27"/>
    <w:rsid w:val="001126DB"/>
    <w:rsid w:val="00112BFA"/>
    <w:rsid w:val="00113878"/>
    <w:rsid w:val="00115A41"/>
    <w:rsid w:val="0011655C"/>
    <w:rsid w:val="00117DA3"/>
    <w:rsid w:val="00120A42"/>
    <w:rsid w:val="0012412D"/>
    <w:rsid w:val="00131E69"/>
    <w:rsid w:val="001328D5"/>
    <w:rsid w:val="00135126"/>
    <w:rsid w:val="00135466"/>
    <w:rsid w:val="00141E86"/>
    <w:rsid w:val="00142C28"/>
    <w:rsid w:val="00147041"/>
    <w:rsid w:val="00147B79"/>
    <w:rsid w:val="00151C28"/>
    <w:rsid w:val="00153440"/>
    <w:rsid w:val="00160F65"/>
    <w:rsid w:val="00162A89"/>
    <w:rsid w:val="00165843"/>
    <w:rsid w:val="001664B0"/>
    <w:rsid w:val="00167369"/>
    <w:rsid w:val="001702B3"/>
    <w:rsid w:val="00172770"/>
    <w:rsid w:val="00180306"/>
    <w:rsid w:val="00183F21"/>
    <w:rsid w:val="00187354"/>
    <w:rsid w:val="001875DE"/>
    <w:rsid w:val="001944CA"/>
    <w:rsid w:val="00194528"/>
    <w:rsid w:val="001978DD"/>
    <w:rsid w:val="001A005F"/>
    <w:rsid w:val="001A13D1"/>
    <w:rsid w:val="001A1BE3"/>
    <w:rsid w:val="001A1D1F"/>
    <w:rsid w:val="001A2098"/>
    <w:rsid w:val="001A28E4"/>
    <w:rsid w:val="001A396C"/>
    <w:rsid w:val="001A6C74"/>
    <w:rsid w:val="001B2BDA"/>
    <w:rsid w:val="001B3C16"/>
    <w:rsid w:val="001B4AE3"/>
    <w:rsid w:val="001B5744"/>
    <w:rsid w:val="001B7AB4"/>
    <w:rsid w:val="001B7E4C"/>
    <w:rsid w:val="001C6960"/>
    <w:rsid w:val="001C70CC"/>
    <w:rsid w:val="001E19FC"/>
    <w:rsid w:val="001E2A3B"/>
    <w:rsid w:val="001E46CE"/>
    <w:rsid w:val="001F1E12"/>
    <w:rsid w:val="001F1EBA"/>
    <w:rsid w:val="001F3721"/>
    <w:rsid w:val="002012A8"/>
    <w:rsid w:val="00202C73"/>
    <w:rsid w:val="00202ED5"/>
    <w:rsid w:val="002036F7"/>
    <w:rsid w:val="00203883"/>
    <w:rsid w:val="00205BE6"/>
    <w:rsid w:val="00210407"/>
    <w:rsid w:val="0021087C"/>
    <w:rsid w:val="00212AD7"/>
    <w:rsid w:val="00215812"/>
    <w:rsid w:val="00216092"/>
    <w:rsid w:val="002160C4"/>
    <w:rsid w:val="00216B48"/>
    <w:rsid w:val="002201CA"/>
    <w:rsid w:val="002204B9"/>
    <w:rsid w:val="002239EA"/>
    <w:rsid w:val="00223ADF"/>
    <w:rsid w:val="00235F34"/>
    <w:rsid w:val="002368D0"/>
    <w:rsid w:val="00242511"/>
    <w:rsid w:val="002426BB"/>
    <w:rsid w:val="002441A4"/>
    <w:rsid w:val="002450EF"/>
    <w:rsid w:val="0024595A"/>
    <w:rsid w:val="00247445"/>
    <w:rsid w:val="00247EC1"/>
    <w:rsid w:val="0025098F"/>
    <w:rsid w:val="002529C3"/>
    <w:rsid w:val="00253355"/>
    <w:rsid w:val="00260458"/>
    <w:rsid w:val="00261869"/>
    <w:rsid w:val="00264C19"/>
    <w:rsid w:val="0027107A"/>
    <w:rsid w:val="00272E9B"/>
    <w:rsid w:val="00277503"/>
    <w:rsid w:val="00285C6B"/>
    <w:rsid w:val="00286235"/>
    <w:rsid w:val="002868B3"/>
    <w:rsid w:val="0029395A"/>
    <w:rsid w:val="00294815"/>
    <w:rsid w:val="00296492"/>
    <w:rsid w:val="00297C2D"/>
    <w:rsid w:val="002A2B64"/>
    <w:rsid w:val="002A4EBF"/>
    <w:rsid w:val="002C3EF9"/>
    <w:rsid w:val="002D150A"/>
    <w:rsid w:val="002D1A26"/>
    <w:rsid w:val="002D46A2"/>
    <w:rsid w:val="002D4FE6"/>
    <w:rsid w:val="002D5084"/>
    <w:rsid w:val="002E19CE"/>
    <w:rsid w:val="002E3842"/>
    <w:rsid w:val="002E3E40"/>
    <w:rsid w:val="002E4836"/>
    <w:rsid w:val="002E5523"/>
    <w:rsid w:val="002E6208"/>
    <w:rsid w:val="002E6BF1"/>
    <w:rsid w:val="002F25CD"/>
    <w:rsid w:val="002F42F3"/>
    <w:rsid w:val="002F4A10"/>
    <w:rsid w:val="002F4D13"/>
    <w:rsid w:val="002F7C21"/>
    <w:rsid w:val="0030084E"/>
    <w:rsid w:val="003019E1"/>
    <w:rsid w:val="003108C2"/>
    <w:rsid w:val="00310B12"/>
    <w:rsid w:val="00310B7F"/>
    <w:rsid w:val="00314B35"/>
    <w:rsid w:val="003156BD"/>
    <w:rsid w:val="00321484"/>
    <w:rsid w:val="00321E40"/>
    <w:rsid w:val="003258C8"/>
    <w:rsid w:val="00327711"/>
    <w:rsid w:val="00330747"/>
    <w:rsid w:val="00331612"/>
    <w:rsid w:val="00331A89"/>
    <w:rsid w:val="00336FA1"/>
    <w:rsid w:val="003415C7"/>
    <w:rsid w:val="003417CE"/>
    <w:rsid w:val="0034454F"/>
    <w:rsid w:val="00344744"/>
    <w:rsid w:val="00353A2C"/>
    <w:rsid w:val="00353C3D"/>
    <w:rsid w:val="00354B4A"/>
    <w:rsid w:val="003552C8"/>
    <w:rsid w:val="0035742B"/>
    <w:rsid w:val="00370FAE"/>
    <w:rsid w:val="003730E9"/>
    <w:rsid w:val="003737CA"/>
    <w:rsid w:val="003801B0"/>
    <w:rsid w:val="003817EC"/>
    <w:rsid w:val="00383BA7"/>
    <w:rsid w:val="003842BA"/>
    <w:rsid w:val="003879D2"/>
    <w:rsid w:val="003923CB"/>
    <w:rsid w:val="00395A19"/>
    <w:rsid w:val="0039730D"/>
    <w:rsid w:val="003A2F11"/>
    <w:rsid w:val="003A43FC"/>
    <w:rsid w:val="003A499F"/>
    <w:rsid w:val="003A616D"/>
    <w:rsid w:val="003B02BB"/>
    <w:rsid w:val="003B20C2"/>
    <w:rsid w:val="003B326B"/>
    <w:rsid w:val="003B42F4"/>
    <w:rsid w:val="003B6785"/>
    <w:rsid w:val="003B7B86"/>
    <w:rsid w:val="003C721B"/>
    <w:rsid w:val="003D21EA"/>
    <w:rsid w:val="003D6991"/>
    <w:rsid w:val="003D75C2"/>
    <w:rsid w:val="003D7BFD"/>
    <w:rsid w:val="003E37D3"/>
    <w:rsid w:val="003E3A34"/>
    <w:rsid w:val="003E3D4E"/>
    <w:rsid w:val="003E6E21"/>
    <w:rsid w:val="003F1AF8"/>
    <w:rsid w:val="003F4ACC"/>
    <w:rsid w:val="003F53B9"/>
    <w:rsid w:val="003F716A"/>
    <w:rsid w:val="003F7ADD"/>
    <w:rsid w:val="00401EF9"/>
    <w:rsid w:val="00403EBE"/>
    <w:rsid w:val="00410ABC"/>
    <w:rsid w:val="0041159F"/>
    <w:rsid w:val="0041350A"/>
    <w:rsid w:val="0041471D"/>
    <w:rsid w:val="00414926"/>
    <w:rsid w:val="00415574"/>
    <w:rsid w:val="0042408D"/>
    <w:rsid w:val="00424E40"/>
    <w:rsid w:val="00430B38"/>
    <w:rsid w:val="00432153"/>
    <w:rsid w:val="004353A8"/>
    <w:rsid w:val="00444406"/>
    <w:rsid w:val="00444A6D"/>
    <w:rsid w:val="00444F76"/>
    <w:rsid w:val="004518E8"/>
    <w:rsid w:val="00452F5D"/>
    <w:rsid w:val="004532B4"/>
    <w:rsid w:val="0045594E"/>
    <w:rsid w:val="00457748"/>
    <w:rsid w:val="0046024A"/>
    <w:rsid w:val="004602F7"/>
    <w:rsid w:val="00461280"/>
    <w:rsid w:val="0046488E"/>
    <w:rsid w:val="00471DB7"/>
    <w:rsid w:val="00475DAC"/>
    <w:rsid w:val="00483B5E"/>
    <w:rsid w:val="004A003D"/>
    <w:rsid w:val="004A7BCE"/>
    <w:rsid w:val="004B6476"/>
    <w:rsid w:val="004C160D"/>
    <w:rsid w:val="004C342A"/>
    <w:rsid w:val="004C369C"/>
    <w:rsid w:val="004C3F99"/>
    <w:rsid w:val="004C72DF"/>
    <w:rsid w:val="004C790D"/>
    <w:rsid w:val="004D1383"/>
    <w:rsid w:val="004D1BF1"/>
    <w:rsid w:val="004D76F2"/>
    <w:rsid w:val="004E37C1"/>
    <w:rsid w:val="004E4645"/>
    <w:rsid w:val="004F7102"/>
    <w:rsid w:val="004F7D93"/>
    <w:rsid w:val="00502778"/>
    <w:rsid w:val="00503AAB"/>
    <w:rsid w:val="00504B75"/>
    <w:rsid w:val="00506214"/>
    <w:rsid w:val="005108BD"/>
    <w:rsid w:val="00521A49"/>
    <w:rsid w:val="00521CD9"/>
    <w:rsid w:val="00521D55"/>
    <w:rsid w:val="00524F50"/>
    <w:rsid w:val="005267F0"/>
    <w:rsid w:val="00527E5B"/>
    <w:rsid w:val="00534C40"/>
    <w:rsid w:val="00535EAA"/>
    <w:rsid w:val="00537EAB"/>
    <w:rsid w:val="005521A6"/>
    <w:rsid w:val="005531F9"/>
    <w:rsid w:val="00553FE0"/>
    <w:rsid w:val="0055476A"/>
    <w:rsid w:val="00554B3D"/>
    <w:rsid w:val="00554B43"/>
    <w:rsid w:val="00556B01"/>
    <w:rsid w:val="00556EED"/>
    <w:rsid w:val="00560078"/>
    <w:rsid w:val="00563B16"/>
    <w:rsid w:val="00564060"/>
    <w:rsid w:val="0056490E"/>
    <w:rsid w:val="0056527D"/>
    <w:rsid w:val="00565D1B"/>
    <w:rsid w:val="00576EBB"/>
    <w:rsid w:val="00581296"/>
    <w:rsid w:val="00581B6C"/>
    <w:rsid w:val="0058299D"/>
    <w:rsid w:val="005838C1"/>
    <w:rsid w:val="00584F59"/>
    <w:rsid w:val="00584FF7"/>
    <w:rsid w:val="0059628F"/>
    <w:rsid w:val="005A4E80"/>
    <w:rsid w:val="005A54D8"/>
    <w:rsid w:val="005B23E7"/>
    <w:rsid w:val="005B3237"/>
    <w:rsid w:val="005B3714"/>
    <w:rsid w:val="005B476E"/>
    <w:rsid w:val="005B5A76"/>
    <w:rsid w:val="005B6B81"/>
    <w:rsid w:val="005B71D4"/>
    <w:rsid w:val="005B7A2C"/>
    <w:rsid w:val="005B7C29"/>
    <w:rsid w:val="005C7B50"/>
    <w:rsid w:val="005D1A1B"/>
    <w:rsid w:val="005D21E1"/>
    <w:rsid w:val="005D24A0"/>
    <w:rsid w:val="005D4D0E"/>
    <w:rsid w:val="005D6A51"/>
    <w:rsid w:val="005E0D19"/>
    <w:rsid w:val="005E55DC"/>
    <w:rsid w:val="005E6FB0"/>
    <w:rsid w:val="005E7D84"/>
    <w:rsid w:val="005E7EF8"/>
    <w:rsid w:val="005F1E95"/>
    <w:rsid w:val="005F2103"/>
    <w:rsid w:val="005F3D6C"/>
    <w:rsid w:val="005F434D"/>
    <w:rsid w:val="005F6AE5"/>
    <w:rsid w:val="005F755E"/>
    <w:rsid w:val="006011DD"/>
    <w:rsid w:val="00603DEA"/>
    <w:rsid w:val="00605D92"/>
    <w:rsid w:val="00606445"/>
    <w:rsid w:val="006064D2"/>
    <w:rsid w:val="006105FB"/>
    <w:rsid w:val="006109E9"/>
    <w:rsid w:val="00611E04"/>
    <w:rsid w:val="006142D5"/>
    <w:rsid w:val="00614DF2"/>
    <w:rsid w:val="00624042"/>
    <w:rsid w:val="0062431E"/>
    <w:rsid w:val="00624FC6"/>
    <w:rsid w:val="00630015"/>
    <w:rsid w:val="00631ADE"/>
    <w:rsid w:val="0063563E"/>
    <w:rsid w:val="00636949"/>
    <w:rsid w:val="00642965"/>
    <w:rsid w:val="0064458D"/>
    <w:rsid w:val="00650637"/>
    <w:rsid w:val="00655C6A"/>
    <w:rsid w:val="00661A8F"/>
    <w:rsid w:val="00663F27"/>
    <w:rsid w:val="0067031F"/>
    <w:rsid w:val="00674062"/>
    <w:rsid w:val="006819B8"/>
    <w:rsid w:val="0068367A"/>
    <w:rsid w:val="00686668"/>
    <w:rsid w:val="00692A86"/>
    <w:rsid w:val="00692FA4"/>
    <w:rsid w:val="006A00F3"/>
    <w:rsid w:val="006A3693"/>
    <w:rsid w:val="006A44B6"/>
    <w:rsid w:val="006A77C2"/>
    <w:rsid w:val="006B06F4"/>
    <w:rsid w:val="006B34BE"/>
    <w:rsid w:val="006B57EC"/>
    <w:rsid w:val="006B69D5"/>
    <w:rsid w:val="006C1D7B"/>
    <w:rsid w:val="006D0F40"/>
    <w:rsid w:val="006D696C"/>
    <w:rsid w:val="006E0BF6"/>
    <w:rsid w:val="006E40AC"/>
    <w:rsid w:val="006E6C3B"/>
    <w:rsid w:val="006E6FAB"/>
    <w:rsid w:val="006F1471"/>
    <w:rsid w:val="006F5D9D"/>
    <w:rsid w:val="006F7DA8"/>
    <w:rsid w:val="007049DD"/>
    <w:rsid w:val="00705AB7"/>
    <w:rsid w:val="00707E95"/>
    <w:rsid w:val="00710AEB"/>
    <w:rsid w:val="0071624C"/>
    <w:rsid w:val="0072159E"/>
    <w:rsid w:val="0072386C"/>
    <w:rsid w:val="007242F7"/>
    <w:rsid w:val="00724ABE"/>
    <w:rsid w:val="007304CB"/>
    <w:rsid w:val="00735B34"/>
    <w:rsid w:val="00736F11"/>
    <w:rsid w:val="007371E3"/>
    <w:rsid w:val="00741B11"/>
    <w:rsid w:val="007421E7"/>
    <w:rsid w:val="00742364"/>
    <w:rsid w:val="00744401"/>
    <w:rsid w:val="00746606"/>
    <w:rsid w:val="0074764F"/>
    <w:rsid w:val="007502E4"/>
    <w:rsid w:val="007515C4"/>
    <w:rsid w:val="00754376"/>
    <w:rsid w:val="0076240F"/>
    <w:rsid w:val="007642CF"/>
    <w:rsid w:val="0076544C"/>
    <w:rsid w:val="00766C60"/>
    <w:rsid w:val="00767AF2"/>
    <w:rsid w:val="00770CED"/>
    <w:rsid w:val="00774943"/>
    <w:rsid w:val="0077520B"/>
    <w:rsid w:val="00782FAB"/>
    <w:rsid w:val="0078307E"/>
    <w:rsid w:val="00785E6E"/>
    <w:rsid w:val="00787594"/>
    <w:rsid w:val="00791576"/>
    <w:rsid w:val="007917A7"/>
    <w:rsid w:val="00791E84"/>
    <w:rsid w:val="007A10CC"/>
    <w:rsid w:val="007A1E97"/>
    <w:rsid w:val="007B1DE3"/>
    <w:rsid w:val="007B1E1B"/>
    <w:rsid w:val="007B2C59"/>
    <w:rsid w:val="007B49BF"/>
    <w:rsid w:val="007B5111"/>
    <w:rsid w:val="007B6F91"/>
    <w:rsid w:val="007C2B1E"/>
    <w:rsid w:val="007C5EFC"/>
    <w:rsid w:val="007D26E1"/>
    <w:rsid w:val="007D43D2"/>
    <w:rsid w:val="007D4ADE"/>
    <w:rsid w:val="007D73AD"/>
    <w:rsid w:val="007D76C7"/>
    <w:rsid w:val="007E0B47"/>
    <w:rsid w:val="007E211B"/>
    <w:rsid w:val="007E3860"/>
    <w:rsid w:val="007F0CBD"/>
    <w:rsid w:val="007F0E63"/>
    <w:rsid w:val="007F314A"/>
    <w:rsid w:val="007F6A97"/>
    <w:rsid w:val="008025EF"/>
    <w:rsid w:val="008050D1"/>
    <w:rsid w:val="00806FF2"/>
    <w:rsid w:val="0081368A"/>
    <w:rsid w:val="00813CF4"/>
    <w:rsid w:val="0082002E"/>
    <w:rsid w:val="00820F6E"/>
    <w:rsid w:val="00821EDD"/>
    <w:rsid w:val="00822B3B"/>
    <w:rsid w:val="00822F5F"/>
    <w:rsid w:val="00830C29"/>
    <w:rsid w:val="00831C4D"/>
    <w:rsid w:val="00835703"/>
    <w:rsid w:val="008363FE"/>
    <w:rsid w:val="00836BB3"/>
    <w:rsid w:val="00837786"/>
    <w:rsid w:val="00841129"/>
    <w:rsid w:val="00842813"/>
    <w:rsid w:val="008433E2"/>
    <w:rsid w:val="00844BE5"/>
    <w:rsid w:val="00846607"/>
    <w:rsid w:val="00846BC4"/>
    <w:rsid w:val="00855340"/>
    <w:rsid w:val="00856158"/>
    <w:rsid w:val="00856355"/>
    <w:rsid w:val="00857BC0"/>
    <w:rsid w:val="0086031E"/>
    <w:rsid w:val="00863B90"/>
    <w:rsid w:val="0086417F"/>
    <w:rsid w:val="00864A89"/>
    <w:rsid w:val="008654F5"/>
    <w:rsid w:val="00871E3C"/>
    <w:rsid w:val="00871FE0"/>
    <w:rsid w:val="00876027"/>
    <w:rsid w:val="00876AF1"/>
    <w:rsid w:val="00885F67"/>
    <w:rsid w:val="00885F6C"/>
    <w:rsid w:val="00887E43"/>
    <w:rsid w:val="00893F35"/>
    <w:rsid w:val="008A0AF7"/>
    <w:rsid w:val="008A2C2B"/>
    <w:rsid w:val="008B3B2C"/>
    <w:rsid w:val="008B5E02"/>
    <w:rsid w:val="008B6977"/>
    <w:rsid w:val="008B7ACB"/>
    <w:rsid w:val="008B7EC4"/>
    <w:rsid w:val="008C0912"/>
    <w:rsid w:val="008C119C"/>
    <w:rsid w:val="008C368C"/>
    <w:rsid w:val="008C495E"/>
    <w:rsid w:val="008C5576"/>
    <w:rsid w:val="008C62F4"/>
    <w:rsid w:val="008D264C"/>
    <w:rsid w:val="008D3664"/>
    <w:rsid w:val="008E6219"/>
    <w:rsid w:val="008E66B9"/>
    <w:rsid w:val="008E7969"/>
    <w:rsid w:val="008E7CAD"/>
    <w:rsid w:val="008E7D04"/>
    <w:rsid w:val="008F43EE"/>
    <w:rsid w:val="008F521B"/>
    <w:rsid w:val="008F6444"/>
    <w:rsid w:val="008F6732"/>
    <w:rsid w:val="0090045C"/>
    <w:rsid w:val="00900594"/>
    <w:rsid w:val="00902D94"/>
    <w:rsid w:val="0090362B"/>
    <w:rsid w:val="00904B6F"/>
    <w:rsid w:val="009234A1"/>
    <w:rsid w:val="00923B3E"/>
    <w:rsid w:val="00924FE9"/>
    <w:rsid w:val="0092608C"/>
    <w:rsid w:val="00926932"/>
    <w:rsid w:val="00926B33"/>
    <w:rsid w:val="0093021F"/>
    <w:rsid w:val="0093095F"/>
    <w:rsid w:val="009365A3"/>
    <w:rsid w:val="00936666"/>
    <w:rsid w:val="0093766C"/>
    <w:rsid w:val="0094293C"/>
    <w:rsid w:val="00944EF9"/>
    <w:rsid w:val="00945852"/>
    <w:rsid w:val="00947A01"/>
    <w:rsid w:val="00951A7F"/>
    <w:rsid w:val="00957D73"/>
    <w:rsid w:val="009632DB"/>
    <w:rsid w:val="00963623"/>
    <w:rsid w:val="0096522C"/>
    <w:rsid w:val="00965D43"/>
    <w:rsid w:val="009664E3"/>
    <w:rsid w:val="00970E0C"/>
    <w:rsid w:val="00976987"/>
    <w:rsid w:val="009829C8"/>
    <w:rsid w:val="00985A1D"/>
    <w:rsid w:val="00990299"/>
    <w:rsid w:val="0099107B"/>
    <w:rsid w:val="00992806"/>
    <w:rsid w:val="00993175"/>
    <w:rsid w:val="00993C75"/>
    <w:rsid w:val="009954CD"/>
    <w:rsid w:val="00995867"/>
    <w:rsid w:val="00996789"/>
    <w:rsid w:val="009A0DCA"/>
    <w:rsid w:val="009A0EF5"/>
    <w:rsid w:val="009A4711"/>
    <w:rsid w:val="009A47D2"/>
    <w:rsid w:val="009A60E5"/>
    <w:rsid w:val="009B32F7"/>
    <w:rsid w:val="009B37F2"/>
    <w:rsid w:val="009B7535"/>
    <w:rsid w:val="009C0D13"/>
    <w:rsid w:val="009C36C2"/>
    <w:rsid w:val="009C7638"/>
    <w:rsid w:val="009D64BC"/>
    <w:rsid w:val="009D671F"/>
    <w:rsid w:val="009D7F66"/>
    <w:rsid w:val="009E0A06"/>
    <w:rsid w:val="009E565A"/>
    <w:rsid w:val="009E717B"/>
    <w:rsid w:val="009F43C4"/>
    <w:rsid w:val="009F462C"/>
    <w:rsid w:val="009F76CE"/>
    <w:rsid w:val="00A001F0"/>
    <w:rsid w:val="00A01890"/>
    <w:rsid w:val="00A01EFE"/>
    <w:rsid w:val="00A02C94"/>
    <w:rsid w:val="00A03670"/>
    <w:rsid w:val="00A03A7A"/>
    <w:rsid w:val="00A04632"/>
    <w:rsid w:val="00A04CF3"/>
    <w:rsid w:val="00A06D12"/>
    <w:rsid w:val="00A06E00"/>
    <w:rsid w:val="00A1080D"/>
    <w:rsid w:val="00A10D76"/>
    <w:rsid w:val="00A1375E"/>
    <w:rsid w:val="00A1474C"/>
    <w:rsid w:val="00A14A00"/>
    <w:rsid w:val="00A15BF2"/>
    <w:rsid w:val="00A1626C"/>
    <w:rsid w:val="00A16995"/>
    <w:rsid w:val="00A2491D"/>
    <w:rsid w:val="00A266FD"/>
    <w:rsid w:val="00A27828"/>
    <w:rsid w:val="00A27C2F"/>
    <w:rsid w:val="00A307DA"/>
    <w:rsid w:val="00A3157D"/>
    <w:rsid w:val="00A335B0"/>
    <w:rsid w:val="00A417B5"/>
    <w:rsid w:val="00A42358"/>
    <w:rsid w:val="00A4309C"/>
    <w:rsid w:val="00A473E3"/>
    <w:rsid w:val="00A47CB0"/>
    <w:rsid w:val="00A51441"/>
    <w:rsid w:val="00A519CD"/>
    <w:rsid w:val="00A530B0"/>
    <w:rsid w:val="00A612AE"/>
    <w:rsid w:val="00A61492"/>
    <w:rsid w:val="00A62202"/>
    <w:rsid w:val="00A65AAC"/>
    <w:rsid w:val="00A72F8F"/>
    <w:rsid w:val="00A74701"/>
    <w:rsid w:val="00A77C8B"/>
    <w:rsid w:val="00A8545F"/>
    <w:rsid w:val="00A90996"/>
    <w:rsid w:val="00AA003F"/>
    <w:rsid w:val="00AA077D"/>
    <w:rsid w:val="00AA168C"/>
    <w:rsid w:val="00AA288B"/>
    <w:rsid w:val="00AA4097"/>
    <w:rsid w:val="00AB1041"/>
    <w:rsid w:val="00AB1D8C"/>
    <w:rsid w:val="00AB2792"/>
    <w:rsid w:val="00AB2FB3"/>
    <w:rsid w:val="00AB47AB"/>
    <w:rsid w:val="00AB4BBE"/>
    <w:rsid w:val="00AB4E57"/>
    <w:rsid w:val="00AB54A6"/>
    <w:rsid w:val="00AC2C06"/>
    <w:rsid w:val="00AC2CC2"/>
    <w:rsid w:val="00AD2B83"/>
    <w:rsid w:val="00AE3295"/>
    <w:rsid w:val="00AE35AE"/>
    <w:rsid w:val="00AE4FE8"/>
    <w:rsid w:val="00AE7A79"/>
    <w:rsid w:val="00AE7FEF"/>
    <w:rsid w:val="00AF1DBA"/>
    <w:rsid w:val="00AF55FA"/>
    <w:rsid w:val="00B01154"/>
    <w:rsid w:val="00B0169B"/>
    <w:rsid w:val="00B01764"/>
    <w:rsid w:val="00B03A31"/>
    <w:rsid w:val="00B0591F"/>
    <w:rsid w:val="00B12C9B"/>
    <w:rsid w:val="00B12D29"/>
    <w:rsid w:val="00B13459"/>
    <w:rsid w:val="00B212F8"/>
    <w:rsid w:val="00B233B8"/>
    <w:rsid w:val="00B25A95"/>
    <w:rsid w:val="00B26ED5"/>
    <w:rsid w:val="00B34124"/>
    <w:rsid w:val="00B35C85"/>
    <w:rsid w:val="00B36068"/>
    <w:rsid w:val="00B37219"/>
    <w:rsid w:val="00B37796"/>
    <w:rsid w:val="00B40A6D"/>
    <w:rsid w:val="00B47067"/>
    <w:rsid w:val="00B5123B"/>
    <w:rsid w:val="00B5638E"/>
    <w:rsid w:val="00B62208"/>
    <w:rsid w:val="00B63261"/>
    <w:rsid w:val="00B6695B"/>
    <w:rsid w:val="00B706A6"/>
    <w:rsid w:val="00B71646"/>
    <w:rsid w:val="00B72B0B"/>
    <w:rsid w:val="00B75003"/>
    <w:rsid w:val="00B77E5D"/>
    <w:rsid w:val="00B84602"/>
    <w:rsid w:val="00B84A5E"/>
    <w:rsid w:val="00B853A7"/>
    <w:rsid w:val="00B861B2"/>
    <w:rsid w:val="00B87087"/>
    <w:rsid w:val="00B87943"/>
    <w:rsid w:val="00B91201"/>
    <w:rsid w:val="00B97885"/>
    <w:rsid w:val="00BA100C"/>
    <w:rsid w:val="00BA1D6D"/>
    <w:rsid w:val="00BA3E87"/>
    <w:rsid w:val="00BA618A"/>
    <w:rsid w:val="00BA7503"/>
    <w:rsid w:val="00BB2ED9"/>
    <w:rsid w:val="00BB2EDB"/>
    <w:rsid w:val="00BB4A02"/>
    <w:rsid w:val="00BB4B4E"/>
    <w:rsid w:val="00BC2E55"/>
    <w:rsid w:val="00BC427E"/>
    <w:rsid w:val="00BC730B"/>
    <w:rsid w:val="00BC7E58"/>
    <w:rsid w:val="00BD067B"/>
    <w:rsid w:val="00BD49BF"/>
    <w:rsid w:val="00BD61EC"/>
    <w:rsid w:val="00BE2932"/>
    <w:rsid w:val="00BE5299"/>
    <w:rsid w:val="00BE6C27"/>
    <w:rsid w:val="00BE6FA7"/>
    <w:rsid w:val="00BF1855"/>
    <w:rsid w:val="00BF6F47"/>
    <w:rsid w:val="00BF7E43"/>
    <w:rsid w:val="00C0359D"/>
    <w:rsid w:val="00C03B44"/>
    <w:rsid w:val="00C03CE1"/>
    <w:rsid w:val="00C05558"/>
    <w:rsid w:val="00C12E08"/>
    <w:rsid w:val="00C15ADE"/>
    <w:rsid w:val="00C16F13"/>
    <w:rsid w:val="00C2019D"/>
    <w:rsid w:val="00C20F73"/>
    <w:rsid w:val="00C21B6B"/>
    <w:rsid w:val="00C21DFE"/>
    <w:rsid w:val="00C226F5"/>
    <w:rsid w:val="00C227A3"/>
    <w:rsid w:val="00C228E4"/>
    <w:rsid w:val="00C23587"/>
    <w:rsid w:val="00C31368"/>
    <w:rsid w:val="00C3220A"/>
    <w:rsid w:val="00C338E0"/>
    <w:rsid w:val="00C37C98"/>
    <w:rsid w:val="00C400B5"/>
    <w:rsid w:val="00C417C4"/>
    <w:rsid w:val="00C43EBF"/>
    <w:rsid w:val="00C45D34"/>
    <w:rsid w:val="00C46041"/>
    <w:rsid w:val="00C47820"/>
    <w:rsid w:val="00C50BDE"/>
    <w:rsid w:val="00C54D7C"/>
    <w:rsid w:val="00C60AC3"/>
    <w:rsid w:val="00C61580"/>
    <w:rsid w:val="00C67C2F"/>
    <w:rsid w:val="00C7154A"/>
    <w:rsid w:val="00C766F6"/>
    <w:rsid w:val="00C76B91"/>
    <w:rsid w:val="00C77398"/>
    <w:rsid w:val="00C77C9E"/>
    <w:rsid w:val="00C81F6C"/>
    <w:rsid w:val="00C836E3"/>
    <w:rsid w:val="00C84FAA"/>
    <w:rsid w:val="00C8793A"/>
    <w:rsid w:val="00C91F05"/>
    <w:rsid w:val="00C93418"/>
    <w:rsid w:val="00CA28D0"/>
    <w:rsid w:val="00CA64EA"/>
    <w:rsid w:val="00CA72B1"/>
    <w:rsid w:val="00CA7472"/>
    <w:rsid w:val="00CB1F22"/>
    <w:rsid w:val="00CB4903"/>
    <w:rsid w:val="00CB5117"/>
    <w:rsid w:val="00CC079D"/>
    <w:rsid w:val="00CC12E8"/>
    <w:rsid w:val="00CC4082"/>
    <w:rsid w:val="00CD2E27"/>
    <w:rsid w:val="00CD3DC1"/>
    <w:rsid w:val="00CD3DF8"/>
    <w:rsid w:val="00CD4E98"/>
    <w:rsid w:val="00CD51E3"/>
    <w:rsid w:val="00CD6254"/>
    <w:rsid w:val="00CD63D0"/>
    <w:rsid w:val="00CE4838"/>
    <w:rsid w:val="00CE4C12"/>
    <w:rsid w:val="00CE5B15"/>
    <w:rsid w:val="00CE75C2"/>
    <w:rsid w:val="00CF4D01"/>
    <w:rsid w:val="00D022BF"/>
    <w:rsid w:val="00D0496A"/>
    <w:rsid w:val="00D106F2"/>
    <w:rsid w:val="00D14A42"/>
    <w:rsid w:val="00D162BE"/>
    <w:rsid w:val="00D17555"/>
    <w:rsid w:val="00D214E5"/>
    <w:rsid w:val="00D227B3"/>
    <w:rsid w:val="00D23C18"/>
    <w:rsid w:val="00D31749"/>
    <w:rsid w:val="00D34FB1"/>
    <w:rsid w:val="00D428C1"/>
    <w:rsid w:val="00D42D85"/>
    <w:rsid w:val="00D43051"/>
    <w:rsid w:val="00D43A3F"/>
    <w:rsid w:val="00D43BB7"/>
    <w:rsid w:val="00D44AE8"/>
    <w:rsid w:val="00D479CA"/>
    <w:rsid w:val="00D47A6D"/>
    <w:rsid w:val="00D47BCC"/>
    <w:rsid w:val="00D50B2C"/>
    <w:rsid w:val="00D521EB"/>
    <w:rsid w:val="00D526AA"/>
    <w:rsid w:val="00D6038E"/>
    <w:rsid w:val="00D7457A"/>
    <w:rsid w:val="00D75578"/>
    <w:rsid w:val="00D75EC6"/>
    <w:rsid w:val="00D81C30"/>
    <w:rsid w:val="00D83A49"/>
    <w:rsid w:val="00D85149"/>
    <w:rsid w:val="00D86DB8"/>
    <w:rsid w:val="00D87C31"/>
    <w:rsid w:val="00D90098"/>
    <w:rsid w:val="00D958CE"/>
    <w:rsid w:val="00D96090"/>
    <w:rsid w:val="00D96432"/>
    <w:rsid w:val="00D973A8"/>
    <w:rsid w:val="00D977BE"/>
    <w:rsid w:val="00D97BCE"/>
    <w:rsid w:val="00DA0CDA"/>
    <w:rsid w:val="00DA109C"/>
    <w:rsid w:val="00DA2B3B"/>
    <w:rsid w:val="00DA59DF"/>
    <w:rsid w:val="00DB20D9"/>
    <w:rsid w:val="00DB2D38"/>
    <w:rsid w:val="00DB7099"/>
    <w:rsid w:val="00DC0298"/>
    <w:rsid w:val="00DC2AC9"/>
    <w:rsid w:val="00DC2CC8"/>
    <w:rsid w:val="00DC37EA"/>
    <w:rsid w:val="00DC4F80"/>
    <w:rsid w:val="00DC5063"/>
    <w:rsid w:val="00DD26D7"/>
    <w:rsid w:val="00DD379A"/>
    <w:rsid w:val="00DD71A4"/>
    <w:rsid w:val="00DE66B2"/>
    <w:rsid w:val="00DE68D5"/>
    <w:rsid w:val="00DF06AE"/>
    <w:rsid w:val="00DF0C9B"/>
    <w:rsid w:val="00DF24A7"/>
    <w:rsid w:val="00DF54C8"/>
    <w:rsid w:val="00E03AC0"/>
    <w:rsid w:val="00E04F5D"/>
    <w:rsid w:val="00E121B3"/>
    <w:rsid w:val="00E16C5C"/>
    <w:rsid w:val="00E17B87"/>
    <w:rsid w:val="00E21F8A"/>
    <w:rsid w:val="00E31152"/>
    <w:rsid w:val="00E35440"/>
    <w:rsid w:val="00E37621"/>
    <w:rsid w:val="00E40E62"/>
    <w:rsid w:val="00E419E9"/>
    <w:rsid w:val="00E44BA0"/>
    <w:rsid w:val="00E450D9"/>
    <w:rsid w:val="00E50D3D"/>
    <w:rsid w:val="00E5483A"/>
    <w:rsid w:val="00E5561B"/>
    <w:rsid w:val="00E5729C"/>
    <w:rsid w:val="00E64443"/>
    <w:rsid w:val="00E66AF3"/>
    <w:rsid w:val="00E71F31"/>
    <w:rsid w:val="00E73BED"/>
    <w:rsid w:val="00E83BC4"/>
    <w:rsid w:val="00E83CF0"/>
    <w:rsid w:val="00E869AC"/>
    <w:rsid w:val="00E90975"/>
    <w:rsid w:val="00E93923"/>
    <w:rsid w:val="00E97AA0"/>
    <w:rsid w:val="00EA2BC8"/>
    <w:rsid w:val="00EA2C7E"/>
    <w:rsid w:val="00EA5D3F"/>
    <w:rsid w:val="00EA6E93"/>
    <w:rsid w:val="00EB1238"/>
    <w:rsid w:val="00EB1B55"/>
    <w:rsid w:val="00EB23D8"/>
    <w:rsid w:val="00EB242E"/>
    <w:rsid w:val="00EB36F2"/>
    <w:rsid w:val="00EC0608"/>
    <w:rsid w:val="00EC0677"/>
    <w:rsid w:val="00EC24E4"/>
    <w:rsid w:val="00EC26E4"/>
    <w:rsid w:val="00EC5152"/>
    <w:rsid w:val="00ED0428"/>
    <w:rsid w:val="00ED0D4B"/>
    <w:rsid w:val="00ED0E29"/>
    <w:rsid w:val="00ED0FC1"/>
    <w:rsid w:val="00ED2A79"/>
    <w:rsid w:val="00ED2C44"/>
    <w:rsid w:val="00ED3614"/>
    <w:rsid w:val="00EE1898"/>
    <w:rsid w:val="00EE1AC9"/>
    <w:rsid w:val="00EE5886"/>
    <w:rsid w:val="00EF14B7"/>
    <w:rsid w:val="00EF230C"/>
    <w:rsid w:val="00EF39FA"/>
    <w:rsid w:val="00EF4C11"/>
    <w:rsid w:val="00F016DB"/>
    <w:rsid w:val="00F077B5"/>
    <w:rsid w:val="00F149B6"/>
    <w:rsid w:val="00F155D9"/>
    <w:rsid w:val="00F15622"/>
    <w:rsid w:val="00F162AA"/>
    <w:rsid w:val="00F2257E"/>
    <w:rsid w:val="00F23F8D"/>
    <w:rsid w:val="00F31B60"/>
    <w:rsid w:val="00F32944"/>
    <w:rsid w:val="00F33287"/>
    <w:rsid w:val="00F34867"/>
    <w:rsid w:val="00F34A3F"/>
    <w:rsid w:val="00F350F9"/>
    <w:rsid w:val="00F3721F"/>
    <w:rsid w:val="00F40501"/>
    <w:rsid w:val="00F44EA4"/>
    <w:rsid w:val="00F460F9"/>
    <w:rsid w:val="00F473B2"/>
    <w:rsid w:val="00F47B15"/>
    <w:rsid w:val="00F51916"/>
    <w:rsid w:val="00F55895"/>
    <w:rsid w:val="00F661A4"/>
    <w:rsid w:val="00F71BA7"/>
    <w:rsid w:val="00F73271"/>
    <w:rsid w:val="00F76674"/>
    <w:rsid w:val="00F81154"/>
    <w:rsid w:val="00F81686"/>
    <w:rsid w:val="00F83FAC"/>
    <w:rsid w:val="00F8691B"/>
    <w:rsid w:val="00F90617"/>
    <w:rsid w:val="00F920AF"/>
    <w:rsid w:val="00F96AC2"/>
    <w:rsid w:val="00FA3698"/>
    <w:rsid w:val="00FA59DA"/>
    <w:rsid w:val="00FA647E"/>
    <w:rsid w:val="00FA7BCD"/>
    <w:rsid w:val="00FB1DA6"/>
    <w:rsid w:val="00FB23EF"/>
    <w:rsid w:val="00FB39C2"/>
    <w:rsid w:val="00FC02CC"/>
    <w:rsid w:val="00FC047D"/>
    <w:rsid w:val="00FC6D87"/>
    <w:rsid w:val="00FD07BE"/>
    <w:rsid w:val="00FD124F"/>
    <w:rsid w:val="00FD1783"/>
    <w:rsid w:val="00FD1B52"/>
    <w:rsid w:val="00FD3019"/>
    <w:rsid w:val="00FD3A50"/>
    <w:rsid w:val="00FD6FA6"/>
    <w:rsid w:val="00FD770C"/>
    <w:rsid w:val="00FE393A"/>
    <w:rsid w:val="00FE6C79"/>
    <w:rsid w:val="00FE6F95"/>
    <w:rsid w:val="00FE756D"/>
    <w:rsid w:val="00FF5E29"/>
    <w:rsid w:val="00FF692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E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53355"/>
    <w:rPr>
      <w:color w:val="808080"/>
    </w:rPr>
  </w:style>
  <w:style w:type="paragraph" w:styleId="Revisie">
    <w:name w:val="Revision"/>
    <w:hidden/>
    <w:uiPriority w:val="99"/>
    <w:semiHidden/>
    <w:rsid w:val="0042408D"/>
    <w:rPr>
      <w:rFonts w:ascii="Univers" w:hAnsi="Univers"/>
      <w:sz w:val="22"/>
      <w:szCs w:val="24"/>
    </w:rPr>
  </w:style>
  <w:style w:type="paragraph" w:styleId="Voetnoottekst">
    <w:name w:val="footnote text"/>
    <w:basedOn w:val="Standaard"/>
    <w:link w:val="VoetnoottekstChar"/>
    <w:uiPriority w:val="99"/>
    <w:unhideWhenUsed/>
    <w:rsid w:val="0042408D"/>
    <w:rPr>
      <w:kern w:val="2"/>
      <w:sz w:val="20"/>
      <w:szCs w:val="20"/>
      <w14:ligatures w14:val="standardContextual"/>
    </w:rPr>
  </w:style>
  <w:style w:type="character" w:customStyle="1" w:styleId="VoetnoottekstChar">
    <w:name w:val="Voetnoottekst Char"/>
    <w:basedOn w:val="Standaardalinea-lettertype"/>
    <w:link w:val="Voetnoottekst"/>
    <w:uiPriority w:val="99"/>
    <w:rsid w:val="0042408D"/>
    <w:rPr>
      <w:rFonts w:ascii="Univers" w:hAnsi="Univers"/>
      <w:kern w:val="2"/>
      <w14:ligatures w14:val="standardContextual"/>
    </w:rPr>
  </w:style>
  <w:style w:type="character" w:styleId="Voetnootmarkering">
    <w:name w:val="footnote reference"/>
    <w:basedOn w:val="Standaardalinea-lettertype"/>
    <w:uiPriority w:val="99"/>
    <w:semiHidden/>
    <w:unhideWhenUsed/>
    <w:rsid w:val="0042408D"/>
    <w:rPr>
      <w:vertAlign w:val="superscript"/>
    </w:rPr>
  </w:style>
  <w:style w:type="character" w:styleId="Verwijzingopmerking">
    <w:name w:val="annotation reference"/>
    <w:basedOn w:val="Standaardalinea-lettertype"/>
    <w:uiPriority w:val="99"/>
    <w:semiHidden/>
    <w:unhideWhenUsed/>
    <w:rsid w:val="005D21E1"/>
    <w:rPr>
      <w:sz w:val="16"/>
      <w:szCs w:val="16"/>
    </w:rPr>
  </w:style>
  <w:style w:type="paragraph" w:styleId="Tekstopmerking">
    <w:name w:val="annotation text"/>
    <w:basedOn w:val="Standaard"/>
    <w:link w:val="TekstopmerkingChar"/>
    <w:uiPriority w:val="99"/>
    <w:unhideWhenUsed/>
    <w:rsid w:val="005D21E1"/>
    <w:rPr>
      <w:sz w:val="20"/>
      <w:szCs w:val="20"/>
    </w:rPr>
  </w:style>
  <w:style w:type="character" w:customStyle="1" w:styleId="TekstopmerkingChar">
    <w:name w:val="Tekst opmerking Char"/>
    <w:basedOn w:val="Standaardalinea-lettertype"/>
    <w:link w:val="Tekstopmerking"/>
    <w:uiPriority w:val="99"/>
    <w:rsid w:val="005D21E1"/>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5D21E1"/>
    <w:rPr>
      <w:b/>
      <w:bCs/>
    </w:rPr>
  </w:style>
  <w:style w:type="character" w:customStyle="1" w:styleId="OnderwerpvanopmerkingChar">
    <w:name w:val="Onderwerp van opmerking Char"/>
    <w:basedOn w:val="TekstopmerkingChar"/>
    <w:link w:val="Onderwerpvanopmerking"/>
    <w:uiPriority w:val="99"/>
    <w:semiHidden/>
    <w:rsid w:val="005D21E1"/>
    <w:rPr>
      <w:rFonts w:ascii="Univers" w:hAnsi="Univers"/>
      <w:b/>
      <w:bCs/>
    </w:rPr>
  </w:style>
  <w:style w:type="paragraph" w:styleId="Lijstalinea">
    <w:name w:val="List Paragraph"/>
    <w:basedOn w:val="Standaard"/>
    <w:uiPriority w:val="34"/>
    <w:qFormat/>
    <w:rsid w:val="00624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658903D-8E22-4304-8DEB-2F1C599E7EE5}"/>
      </w:docPartPr>
      <w:docPartBody>
        <w:p w:rsidR="003D0520" w:rsidRDefault="003D0520">
          <w:r w:rsidRPr="003A1C6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20"/>
    <w:rsid w:val="00034774"/>
    <w:rsid w:val="003B01E1"/>
    <w:rsid w:val="003D0520"/>
    <w:rsid w:val="00624DE4"/>
    <w:rsid w:val="007E4F5F"/>
    <w:rsid w:val="00A1626C"/>
    <w:rsid w:val="00D95E25"/>
    <w:rsid w:val="00F3529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D05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1860</ap:Words>
  <ap:Characters>11122</ap:Characters>
  <ap:DocSecurity>0</ap:DocSecurity>
  <ap:Lines>92</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2024-07-29T07:22:00.0000000Z</dcterms:created>
  <dcterms:modified xsi:type="dcterms:W3CDTF">2024-09-19T08:46:00.0000000Z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W12.24.00148/III</vt:lpwstr>
  </property>
  <property fmtid="{D5CDD505-2E9C-101B-9397-08002B2CF9AE}" pid="5" name="zaaktype">
    <vt:lpwstr>WET</vt:lpwstr>
  </property>
  <property fmtid="{D5CDD505-2E9C-101B-9397-08002B2CF9AE}" pid="6" name="ContentTypeId">
    <vt:lpwstr>0x010100FA5A77795FEADA4EA5122730361344460028C70169BF49D341BAF86B496AB036B1</vt:lpwstr>
  </property>
  <property fmtid="{D5CDD505-2E9C-101B-9397-08002B2CF9AE}" pid="7" name="Bestemming">
    <vt:lpwstr>2;#Corsa|a7721b99-8166-4953-a37e-7c8574fb4b8b</vt:lpwstr>
  </property>
  <property fmtid="{D5CDD505-2E9C-101B-9397-08002B2CF9AE}" pid="8" name="_dlc_DocIdItemGuid">
    <vt:lpwstr>d9c02355-2cc0-4265-a807-a1c0a050dedc</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