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1E67" w:rsidR="00A828E3" w:rsidRDefault="00E02D08" w14:paraId="1D58C16C" w14:textId="74F7AE7B">
      <w:pPr>
        <w:pStyle w:val="PlatteTekst"/>
        <w:rPr>
          <w:szCs w:val="18"/>
        </w:rPr>
        <w:sectPr w:rsidRPr="00BC1E67"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BC1E67">
        <w:rPr>
          <w:noProof/>
          <w:szCs w:val="18"/>
          <w:lang w:eastAsia="nl-NL"/>
        </w:rPr>
        <mc:AlternateContent>
          <mc:Choice Requires="wps">
            <w:drawing>
              <wp:anchor distT="0" distB="269875" distL="114300" distR="114300" simplePos="0" relativeHeight="251658241"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CD3F0C" w14:paraId="258EB843" w14:textId="118C29E2">
                            <w:pPr>
                              <w:pStyle w:val="Huisstijl-Agendatitel"/>
                              <w:ind w:left="0" w:firstLine="0"/>
                              <w:jc w:val="right"/>
                            </w:pPr>
                            <w:r>
                              <w:t>09</w:t>
                            </w:r>
                            <w:r w:rsidR="00501F98">
                              <w:t xml:space="preserve"> september</w:t>
                            </w:r>
                            <w:r w:rsidR="00AF57CB">
                              <w:t xml:space="preserve"> 2024</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58241;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CD3F0C" w14:paraId="258EB843" w14:textId="118C29E2">
                      <w:pPr>
                        <w:pStyle w:val="Huisstijl-Agendatitel"/>
                        <w:ind w:left="0" w:firstLine="0"/>
                        <w:jc w:val="right"/>
                      </w:pPr>
                      <w:r>
                        <w:t>09</w:t>
                      </w:r>
                      <w:r w:rsidR="00501F98">
                        <w:t xml:space="preserve"> september</w:t>
                      </w:r>
                      <w:r w:rsidR="00AF57CB">
                        <w:t xml:space="preserve"> 2024</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BC1E67" w:rsidR="00F407B0">
        <w:rPr>
          <w:noProof/>
          <w:szCs w:val="18"/>
          <w:lang w:eastAsia="nl-NL"/>
        </w:rPr>
        <mc:AlternateContent>
          <mc:Choice Requires="wps">
            <w:drawing>
              <wp:anchor distT="0" distB="0" distL="114300" distR="114300" simplePos="0" relativeHeight="251658240"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BC1E67" w:rsidR="00E02D08" w:rsidP="00C727FA" w:rsidRDefault="00E02D08" w14:paraId="05CDB571" w14:textId="47CE6B3B">
      <w:pPr>
        <w:rPr>
          <w:b/>
          <w:szCs w:val="18"/>
        </w:rPr>
      </w:pPr>
      <w:r w:rsidRPr="00BC1E67">
        <w:rPr>
          <w:b/>
          <w:szCs w:val="18"/>
        </w:rPr>
        <w:t xml:space="preserve">Lijst van nieuwe EU-voorstellen </w:t>
      </w:r>
    </w:p>
    <w:p w:rsidRPr="00BC1E67" w:rsidR="00E02D08" w:rsidP="00C727FA" w:rsidRDefault="00E02D08" w14:paraId="54F4943E" w14:textId="77777777">
      <w:pPr>
        <w:rPr>
          <w:b/>
          <w:szCs w:val="18"/>
        </w:rPr>
      </w:pPr>
    </w:p>
    <w:p w:rsidRPr="00BC1E67" w:rsidR="005115F8" w:rsidP="005115F8" w:rsidRDefault="005115F8" w14:paraId="3EB199E6" w14:textId="140E4E7F">
      <w:pPr>
        <w:pStyle w:val="Normaalweb"/>
        <w:rPr>
          <w:rFonts w:ascii="Verdana" w:hAnsi="Verdana"/>
          <w:sz w:val="18"/>
          <w:szCs w:val="18"/>
        </w:rPr>
      </w:pPr>
      <w:r w:rsidRPr="00BC1E67">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BC1E67" w:rsidR="00A9227F">
        <w:rPr>
          <w:rStyle w:val="Voetnootmarkering"/>
          <w:rFonts w:ascii="Verdana" w:hAnsi="Verdana"/>
          <w:sz w:val="18"/>
          <w:szCs w:val="18"/>
        </w:rPr>
        <w:footnoteReference w:id="2"/>
      </w:r>
      <w:r w:rsidRPr="00BC1E67">
        <w:rPr>
          <w:rFonts w:ascii="Verdana" w:hAnsi="Verdana"/>
          <w:sz w:val="18"/>
          <w:szCs w:val="18"/>
        </w:rPr>
        <w:t xml:space="preserve">: </w:t>
      </w:r>
    </w:p>
    <w:p w:rsidRPr="00BC1E67" w:rsidR="00820149" w:rsidP="00C727FA" w:rsidRDefault="00820149" w14:paraId="594D8C14" w14:textId="7519FF2E">
      <w:pPr>
        <w:rPr>
          <w:szCs w:val="18"/>
        </w:rPr>
      </w:pPr>
    </w:p>
    <w:p w:rsidRPr="00BC1E67" w:rsidR="00820149" w:rsidP="00820149" w:rsidRDefault="00D27FE7" w14:paraId="015F6DB1" w14:textId="088DF86F">
      <w:pPr>
        <w:pStyle w:val="Lijstalinea"/>
        <w:numPr>
          <w:ilvl w:val="0"/>
          <w:numId w:val="2"/>
        </w:numPr>
        <w:rPr>
          <w:b/>
          <w:szCs w:val="18"/>
        </w:rPr>
      </w:pPr>
      <w:r w:rsidRPr="00BC1E67">
        <w:rPr>
          <w:b/>
          <w:szCs w:val="18"/>
        </w:rPr>
        <w:t>Nieuw voorgestelde EU-w</w:t>
      </w:r>
      <w:r w:rsidRPr="00BC1E67" w:rsidR="00820149">
        <w:rPr>
          <w:b/>
          <w:szCs w:val="18"/>
        </w:rPr>
        <w:t>etgeving</w:t>
      </w:r>
      <w:r w:rsidRPr="00BC1E67" w:rsidR="00E02D08">
        <w:rPr>
          <w:rStyle w:val="Voetnootmarkering"/>
          <w:b/>
          <w:szCs w:val="18"/>
        </w:rPr>
        <w:br/>
      </w:r>
      <w:r w:rsidRPr="00BC1E67" w:rsidR="00E02D08">
        <w:rPr>
          <w:szCs w:val="18"/>
        </w:rPr>
        <w:t>(Verordeningen, richtlijnen en wetgevende besluiten)</w:t>
      </w:r>
    </w:p>
    <w:p w:rsidRPr="00BC1E67"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2A4BD8" w:rsidTr="00DF5A2E" w14:paraId="786F79C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2A4BD8" w:rsidP="003A21AA" w:rsidRDefault="002A4BD8" w14:paraId="2AE8D68B" w14:textId="77777777">
            <w:pPr>
              <w:pStyle w:val="Lijstalinea"/>
              <w:numPr>
                <w:ilvl w:val="0"/>
                <w:numId w:val="10"/>
              </w:numPr>
              <w:spacing w:after="240"/>
              <w:ind w:left="312"/>
              <w:rPr>
                <w:color w:val="595959" w:themeColor="text1" w:themeTint="A6"/>
                <w:szCs w:val="18"/>
              </w:rPr>
            </w:pPr>
          </w:p>
        </w:tc>
        <w:tc>
          <w:tcPr>
            <w:tcW w:w="1035" w:type="dxa"/>
          </w:tcPr>
          <w:p w:rsidRPr="00BC1E67" w:rsidR="002A4BD8" w:rsidP="003A21AA" w:rsidRDefault="002A4BD8" w14:paraId="417B6F7B"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2A4BD8" w:rsidP="00A841A6" w:rsidRDefault="0057470C" w14:paraId="3770AB7C" w14:textId="76D44512">
            <w:pPr>
              <w:spacing w:after="240"/>
              <w:rPr>
                <w:b/>
                <w:color w:val="595959" w:themeColor="text1" w:themeTint="A6"/>
                <w:szCs w:val="18"/>
              </w:rPr>
            </w:pPr>
            <w:r w:rsidRPr="00BC1E67">
              <w:rPr>
                <w:color w:val="000000"/>
                <w:szCs w:val="18"/>
                <w:lang w:eastAsia="nl-NL"/>
              </w:rPr>
              <w:t xml:space="preserve">Voorstel voor een RICHTLIJN VAN DE RAAD tot wijziging van Richtlijn 2006/112/EG wat betreft het elektronische certificaat van vrijstelling van belasting over de toegevoegde waarde </w:t>
            </w:r>
            <w:hyperlink w:history="1" r:id="rId15">
              <w:r w:rsidRPr="00BC1E67">
                <w:rPr>
                  <w:rStyle w:val="Hyperlink"/>
                  <w:szCs w:val="18"/>
                  <w:lang w:eastAsia="nl-NL"/>
                </w:rPr>
                <w:t>COM(2024)278</w:t>
              </w:r>
            </w:hyperlink>
          </w:p>
        </w:tc>
      </w:tr>
      <w:tr w:rsidRPr="00BC1E67" w:rsidR="002A4BD8" w:rsidTr="00DF5A2E" w14:paraId="3788D6EA"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2A4BD8" w:rsidP="003A21AA" w:rsidRDefault="002A4BD8" w14:paraId="67A0B1CB" w14:textId="77777777">
            <w:pPr>
              <w:spacing w:after="240"/>
              <w:rPr>
                <w:szCs w:val="18"/>
              </w:rPr>
            </w:pPr>
          </w:p>
        </w:tc>
        <w:tc>
          <w:tcPr>
            <w:tcW w:w="1035" w:type="dxa"/>
          </w:tcPr>
          <w:p w:rsidRPr="00BC1E67" w:rsidR="002A4BD8" w:rsidP="003A21AA" w:rsidRDefault="002A4BD8" w14:paraId="1AD1B08F" w14:textId="77777777">
            <w:pPr>
              <w:spacing w:after="240"/>
              <w:rPr>
                <w:szCs w:val="18"/>
              </w:rPr>
            </w:pPr>
            <w:r w:rsidRPr="00BC1E67">
              <w:rPr>
                <w:szCs w:val="18"/>
              </w:rPr>
              <w:t>Voorstel</w:t>
            </w:r>
          </w:p>
        </w:tc>
        <w:tc>
          <w:tcPr>
            <w:tcW w:w="6529" w:type="dxa"/>
          </w:tcPr>
          <w:p w:rsidRPr="00BC1E67" w:rsidR="002A4BD8" w:rsidP="003A21AA" w:rsidRDefault="00146A16" w14:paraId="796F226E" w14:textId="008BBF1A">
            <w:pPr>
              <w:spacing w:after="240"/>
              <w:rPr>
                <w:szCs w:val="18"/>
              </w:rPr>
            </w:pPr>
            <w:r w:rsidRPr="00BC1E67">
              <w:rPr>
                <w:szCs w:val="18"/>
              </w:rPr>
              <w:t>Voor kennisgeving aannemen</w:t>
            </w:r>
          </w:p>
        </w:tc>
      </w:tr>
      <w:tr w:rsidRPr="00BC1E67" w:rsidR="002A4BD8" w:rsidTr="00DF5A2E" w14:paraId="150AC6E2"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2A4BD8" w:rsidP="003A21AA" w:rsidRDefault="002A4BD8" w14:paraId="17A999B7" w14:textId="77777777">
            <w:pPr>
              <w:spacing w:after="240"/>
              <w:rPr>
                <w:color w:val="595959" w:themeColor="text1" w:themeTint="A6"/>
                <w:szCs w:val="18"/>
              </w:rPr>
            </w:pPr>
          </w:p>
        </w:tc>
        <w:tc>
          <w:tcPr>
            <w:tcW w:w="1035" w:type="dxa"/>
          </w:tcPr>
          <w:p w:rsidRPr="00BC1E67" w:rsidR="002A4BD8" w:rsidP="003A21AA" w:rsidRDefault="002A4BD8" w14:paraId="607AB8A0"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2A4BD8" w:rsidP="003A21AA" w:rsidRDefault="00146A16" w14:paraId="5F09C656" w14:textId="21B02CE3">
            <w:pPr>
              <w:spacing w:after="240"/>
              <w:rPr>
                <w:color w:val="595959" w:themeColor="text1" w:themeTint="A6"/>
                <w:szCs w:val="18"/>
              </w:rPr>
            </w:pPr>
            <w:r w:rsidRPr="00BC1E67">
              <w:rPr>
                <w:color w:val="595959" w:themeColor="text1" w:themeTint="A6"/>
                <w:szCs w:val="18"/>
              </w:rPr>
              <w:t xml:space="preserve">De btw-richtlijn wordt herzien om een elektronisch certificaat van vrijstelling in te voeren voor een bepaalde uitzondering (artikel 151 lid 1, eerste alinea), waar eerder een papier en met de hand ondertekend certificaat werd gebruikt. </w:t>
            </w:r>
          </w:p>
        </w:tc>
      </w:tr>
    </w:tbl>
    <w:p w:rsidRPr="00BC1E67" w:rsidR="002A4BD8" w:rsidP="002A4BD8" w:rsidRDefault="002A4BD8" w14:paraId="597C865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2A4BD8" w:rsidTr="00DF5A2E" w14:paraId="3F80E34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2A4BD8" w:rsidP="003A21AA" w:rsidRDefault="002A4BD8" w14:paraId="625199EA" w14:textId="77777777">
            <w:pPr>
              <w:pStyle w:val="Lijstalinea"/>
              <w:numPr>
                <w:ilvl w:val="0"/>
                <w:numId w:val="10"/>
              </w:numPr>
              <w:spacing w:after="240"/>
              <w:ind w:left="312"/>
              <w:rPr>
                <w:color w:val="595959" w:themeColor="text1" w:themeTint="A6"/>
                <w:szCs w:val="18"/>
              </w:rPr>
            </w:pPr>
          </w:p>
        </w:tc>
        <w:tc>
          <w:tcPr>
            <w:tcW w:w="1035" w:type="dxa"/>
          </w:tcPr>
          <w:p w:rsidRPr="00BC1E67" w:rsidR="002A4BD8" w:rsidP="003A21AA" w:rsidRDefault="002A4BD8" w14:paraId="6F8A9473"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2A4BD8" w:rsidP="003A21AA" w:rsidRDefault="0057470C" w14:paraId="326DF5F1" w14:textId="40509E25">
            <w:pPr>
              <w:spacing w:after="240"/>
              <w:rPr>
                <w:b/>
                <w:color w:val="595959" w:themeColor="text1" w:themeTint="A6"/>
                <w:szCs w:val="18"/>
              </w:rPr>
            </w:pPr>
            <w:r w:rsidRPr="00BC1E67">
              <w:rPr>
                <w:color w:val="000000"/>
                <w:szCs w:val="18"/>
                <w:lang w:eastAsia="nl-NL"/>
              </w:rPr>
              <w:t xml:space="preserve">Voorstel voor een UITVOERINGSVERORDENING VAN DE RAAD tot wijziging van Uitvoeringsverordening (EU) nr. 282/2011 wat betreft het elektronische certificaat van vrijstelling van belasting over de toegevoegde waarde </w:t>
            </w:r>
            <w:hyperlink w:history="1" r:id="rId16">
              <w:r w:rsidRPr="00BC1E67">
                <w:rPr>
                  <w:rStyle w:val="Hyperlink"/>
                  <w:szCs w:val="18"/>
                  <w:lang w:eastAsia="nl-NL"/>
                </w:rPr>
                <w:t>COM(2024)279</w:t>
              </w:r>
            </w:hyperlink>
          </w:p>
        </w:tc>
      </w:tr>
      <w:tr w:rsidRPr="00BC1E67" w:rsidR="002A4BD8" w:rsidTr="00DF5A2E" w14:paraId="2DE21648"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2A4BD8" w:rsidP="003A21AA" w:rsidRDefault="002A4BD8" w14:paraId="4E9B4A78" w14:textId="77777777">
            <w:pPr>
              <w:spacing w:after="240"/>
              <w:rPr>
                <w:szCs w:val="18"/>
              </w:rPr>
            </w:pPr>
          </w:p>
        </w:tc>
        <w:tc>
          <w:tcPr>
            <w:tcW w:w="1035" w:type="dxa"/>
          </w:tcPr>
          <w:p w:rsidRPr="00BC1E67" w:rsidR="002A4BD8" w:rsidP="003A21AA" w:rsidRDefault="002A4BD8" w14:paraId="3684C239" w14:textId="77777777">
            <w:pPr>
              <w:spacing w:after="240"/>
              <w:rPr>
                <w:szCs w:val="18"/>
              </w:rPr>
            </w:pPr>
            <w:r w:rsidRPr="00BC1E67">
              <w:rPr>
                <w:szCs w:val="18"/>
              </w:rPr>
              <w:t>Voorstel</w:t>
            </w:r>
          </w:p>
        </w:tc>
        <w:tc>
          <w:tcPr>
            <w:tcW w:w="6529" w:type="dxa"/>
          </w:tcPr>
          <w:p w:rsidRPr="00BC1E67" w:rsidR="002A4BD8" w:rsidP="003A21AA" w:rsidRDefault="00146A16" w14:paraId="1E1BDC60" w14:textId="0560D10D">
            <w:pPr>
              <w:spacing w:after="240"/>
              <w:rPr>
                <w:szCs w:val="18"/>
              </w:rPr>
            </w:pPr>
            <w:r w:rsidRPr="00BC1E67">
              <w:rPr>
                <w:szCs w:val="18"/>
              </w:rPr>
              <w:t>Voor kennisgeving aannemen</w:t>
            </w:r>
          </w:p>
        </w:tc>
      </w:tr>
      <w:tr w:rsidRPr="00BC1E67" w:rsidR="002A4BD8" w:rsidTr="00DF5A2E" w14:paraId="502A3854"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2A4BD8" w:rsidP="003A21AA" w:rsidRDefault="002A4BD8" w14:paraId="557DA5F7" w14:textId="77777777">
            <w:pPr>
              <w:spacing w:after="240"/>
              <w:rPr>
                <w:color w:val="595959" w:themeColor="text1" w:themeTint="A6"/>
                <w:szCs w:val="18"/>
              </w:rPr>
            </w:pPr>
          </w:p>
        </w:tc>
        <w:tc>
          <w:tcPr>
            <w:tcW w:w="1035" w:type="dxa"/>
          </w:tcPr>
          <w:p w:rsidRPr="00BC1E67" w:rsidR="002A4BD8" w:rsidP="003A21AA" w:rsidRDefault="002A4BD8" w14:paraId="5054DE74"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2A4BD8" w:rsidP="003A21AA" w:rsidRDefault="00146A16" w14:paraId="62E6ED4B" w14:textId="711DA981">
            <w:pPr>
              <w:spacing w:after="240"/>
              <w:rPr>
                <w:color w:val="595959" w:themeColor="text1" w:themeTint="A6"/>
                <w:szCs w:val="18"/>
              </w:rPr>
            </w:pPr>
            <w:r w:rsidRPr="00BC1E67">
              <w:rPr>
                <w:color w:val="595959" w:themeColor="text1" w:themeTint="A6"/>
                <w:szCs w:val="18"/>
              </w:rPr>
              <w:t>De btw-richtlijn wordt herzien om een elektronisch certificaat van vrijstelling in te voeren voor een bepaalde uitzondering (artikel 151 lid 1, eerste alinea), waar eerder een papier en met de hand ondertekend certificaat werd gebruikt. De Commissie stelt daarvoor uitvoeringsmaatregelen vast met technische details en specificaties betreffende het toepasselijke elektronische formaat van het certificaat en de wijze waarop het elektronisch moet worden verwerkt.</w:t>
            </w:r>
          </w:p>
        </w:tc>
      </w:tr>
    </w:tbl>
    <w:p w:rsidRPr="00BC1E67" w:rsidR="002A4BD8" w:rsidP="002A4BD8" w:rsidRDefault="002A4BD8" w14:paraId="7EBFBF6F" w14:textId="77777777">
      <w:pPr>
        <w:rPr>
          <w:szCs w:val="18"/>
        </w:rPr>
      </w:pPr>
    </w:p>
    <w:p w:rsidRPr="00BC1E67" w:rsidR="0067537E" w:rsidP="002A4BD8" w:rsidRDefault="0067537E" w14:paraId="1FFE6A28" w14:textId="77777777">
      <w:pPr>
        <w:rPr>
          <w:szCs w:val="18"/>
        </w:rPr>
      </w:pPr>
    </w:p>
    <w:p w:rsidRPr="00BC1E67" w:rsidR="00820149" w:rsidP="00820149" w:rsidRDefault="00D27FE7" w14:paraId="56C0CBEE" w14:textId="2B17A68E">
      <w:pPr>
        <w:pStyle w:val="Lijstalinea"/>
        <w:numPr>
          <w:ilvl w:val="0"/>
          <w:numId w:val="2"/>
        </w:numPr>
        <w:rPr>
          <w:b/>
          <w:szCs w:val="18"/>
        </w:rPr>
      </w:pPr>
      <w:r w:rsidRPr="00BC1E67">
        <w:rPr>
          <w:b/>
          <w:szCs w:val="18"/>
        </w:rPr>
        <w:t>Nieuwe</w:t>
      </w:r>
      <w:r w:rsidRPr="00BC1E67" w:rsidR="008C43A5">
        <w:rPr>
          <w:b/>
          <w:szCs w:val="18"/>
        </w:rPr>
        <w:t xml:space="preserve"> EU-</w:t>
      </w:r>
      <w:r w:rsidRPr="00BC1E67" w:rsidR="006E2C94">
        <w:rPr>
          <w:b/>
          <w:szCs w:val="18"/>
        </w:rPr>
        <w:t>documenten</w:t>
      </w:r>
      <w:r w:rsidRPr="00BC1E67">
        <w:rPr>
          <w:b/>
          <w:szCs w:val="18"/>
        </w:rPr>
        <w:t xml:space="preserve"> van niet-wetgevende aard </w:t>
      </w:r>
      <w:r w:rsidRPr="00BC1E67" w:rsidR="00E02D08">
        <w:rPr>
          <w:b/>
          <w:szCs w:val="18"/>
        </w:rPr>
        <w:br/>
      </w:r>
      <w:r w:rsidRPr="00BC1E67" w:rsidR="00E02D08">
        <w:rPr>
          <w:szCs w:val="18"/>
        </w:rPr>
        <w:t>(M</w:t>
      </w:r>
      <w:r w:rsidRPr="00BC1E67" w:rsidR="00820149">
        <w:rPr>
          <w:szCs w:val="18"/>
        </w:rPr>
        <w:t>edede</w:t>
      </w:r>
      <w:r w:rsidRPr="00BC1E67">
        <w:rPr>
          <w:szCs w:val="18"/>
        </w:rPr>
        <w:t>lingen, aanbevelingen, actieplannen, consultaties, etc.</w:t>
      </w:r>
      <w:r w:rsidRPr="00BC1E67" w:rsidR="00E02D08">
        <w:rPr>
          <w:szCs w:val="18"/>
        </w:rPr>
        <w:t>)</w:t>
      </w:r>
    </w:p>
    <w:p w:rsidRPr="00BC1E67"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D3F0C"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BC1E67" w:rsidR="00D75535" w:rsidP="002A4BD8" w:rsidRDefault="00D75535" w14:paraId="3A1FD66E" w14:textId="77D9BD0E">
            <w:pPr>
              <w:spacing w:after="240"/>
              <w:rPr>
                <w:color w:val="595959" w:themeColor="text1" w:themeTint="A6"/>
                <w:szCs w:val="18"/>
              </w:rPr>
            </w:pPr>
            <w:r w:rsidRPr="00BC1E67">
              <w:rPr>
                <w:color w:val="595959" w:themeColor="text1" w:themeTint="A6"/>
                <w:szCs w:val="18"/>
              </w:rPr>
              <w:t>Titel</w:t>
            </w:r>
          </w:p>
        </w:tc>
        <w:tc>
          <w:tcPr>
            <w:tcW w:w="6529" w:type="dxa"/>
          </w:tcPr>
          <w:p w:rsidRPr="00BC1E67" w:rsidR="00D75535" w:rsidP="00D14A89" w:rsidRDefault="00A841A6" w14:paraId="72720F3A" w14:textId="651C3BA6">
            <w:pPr>
              <w:spacing w:after="240"/>
              <w:rPr>
                <w:b/>
                <w:color w:val="595959" w:themeColor="text1" w:themeTint="A6"/>
                <w:szCs w:val="18"/>
                <w:lang w:val="en-US"/>
              </w:rPr>
            </w:pPr>
            <w:r w:rsidRPr="00BC1E67">
              <w:rPr>
                <w:szCs w:val="18"/>
                <w:lang w:val="en-US" w:eastAsia="nl-NL"/>
              </w:rPr>
              <w:t xml:space="preserve">COMMUNICATION FROM THE COMMISSION TO THE EUROPEAN PARLIAMENT, THE COUNCIL AND THE COURT OF AUDITORS ANNUAL </w:t>
            </w:r>
            <w:r w:rsidRPr="00BC1E67">
              <w:rPr>
                <w:szCs w:val="18"/>
                <w:lang w:val="en-US" w:eastAsia="nl-NL"/>
              </w:rPr>
              <w:lastRenderedPageBreak/>
              <w:t xml:space="preserve">ACCOUNTS OF THE EUROPEAN DEVELOPMENT FUND FOR THE FINANCIAL YEAR 2023 </w:t>
            </w:r>
            <w:hyperlink w:history="1" r:id="rId17">
              <w:r w:rsidRPr="00BC1E67">
                <w:rPr>
                  <w:rStyle w:val="Hyperlink"/>
                  <w:szCs w:val="18"/>
                  <w:lang w:val="en-US" w:eastAsia="nl-NL"/>
                </w:rPr>
                <w:t>COM(2024)273</w:t>
              </w:r>
            </w:hyperlink>
          </w:p>
        </w:tc>
      </w:tr>
      <w:tr w:rsidRPr="00BC1E67"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D75535" w:rsidP="002A4BD8" w:rsidRDefault="00D75535" w14:paraId="6A303693" w14:textId="77777777">
            <w:pPr>
              <w:spacing w:after="240"/>
              <w:rPr>
                <w:szCs w:val="18"/>
                <w:lang w:val="en-US"/>
              </w:rPr>
            </w:pPr>
          </w:p>
        </w:tc>
        <w:tc>
          <w:tcPr>
            <w:tcW w:w="1035" w:type="dxa"/>
          </w:tcPr>
          <w:p w:rsidRPr="00BC1E67" w:rsidR="00D75535" w:rsidP="002A4BD8" w:rsidRDefault="00D75535" w14:paraId="56AA8A1B" w14:textId="21F2ECA8">
            <w:pPr>
              <w:spacing w:after="240"/>
              <w:rPr>
                <w:szCs w:val="18"/>
              </w:rPr>
            </w:pPr>
            <w:r w:rsidRPr="00BC1E67">
              <w:rPr>
                <w:szCs w:val="18"/>
              </w:rPr>
              <w:t>Voorstel</w:t>
            </w:r>
          </w:p>
        </w:tc>
        <w:tc>
          <w:tcPr>
            <w:tcW w:w="6529" w:type="dxa"/>
          </w:tcPr>
          <w:p w:rsidRPr="00BC1E67" w:rsidR="00D75535" w:rsidP="002A4BD8" w:rsidRDefault="00F1031E" w14:paraId="67810C71" w14:textId="484B04AF">
            <w:pPr>
              <w:spacing w:after="240"/>
              <w:rPr>
                <w:szCs w:val="18"/>
              </w:rPr>
            </w:pPr>
            <w:r w:rsidRPr="00BC1E67">
              <w:rPr>
                <w:szCs w:val="18"/>
              </w:rPr>
              <w:t>Voor kennisgeving aannemen</w:t>
            </w:r>
          </w:p>
        </w:tc>
      </w:tr>
      <w:tr w:rsidRPr="00BC1E67"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D75535" w:rsidP="002A4BD8" w:rsidRDefault="00D75535" w14:paraId="696A5853" w14:textId="77777777">
            <w:pPr>
              <w:spacing w:after="240"/>
              <w:rPr>
                <w:color w:val="595959" w:themeColor="text1" w:themeTint="A6"/>
                <w:szCs w:val="18"/>
              </w:rPr>
            </w:pPr>
          </w:p>
        </w:tc>
        <w:tc>
          <w:tcPr>
            <w:tcW w:w="1035" w:type="dxa"/>
          </w:tcPr>
          <w:p w:rsidRPr="00BC1E67" w:rsidR="00D75535" w:rsidP="002A4BD8" w:rsidRDefault="00D75535" w14:paraId="2FCB5E77" w14:textId="48E7D55D">
            <w:pPr>
              <w:spacing w:after="240"/>
              <w:rPr>
                <w:color w:val="595959" w:themeColor="text1" w:themeTint="A6"/>
                <w:szCs w:val="18"/>
              </w:rPr>
            </w:pPr>
            <w:r w:rsidRPr="00BC1E67">
              <w:rPr>
                <w:color w:val="595959" w:themeColor="text1" w:themeTint="A6"/>
                <w:szCs w:val="18"/>
              </w:rPr>
              <w:t>Noot</w:t>
            </w:r>
          </w:p>
        </w:tc>
        <w:tc>
          <w:tcPr>
            <w:tcW w:w="6529" w:type="dxa"/>
          </w:tcPr>
          <w:p w:rsidRPr="00BC1E67" w:rsidR="00D75535" w:rsidP="002A4BD8" w:rsidRDefault="00F1031E" w14:paraId="27F3CDCE" w14:textId="3BD645DC">
            <w:pPr>
              <w:spacing w:after="240"/>
              <w:rPr>
                <w:color w:val="595959" w:themeColor="text1" w:themeTint="A6"/>
                <w:szCs w:val="18"/>
              </w:rPr>
            </w:pPr>
            <w:r w:rsidRPr="00BC1E67">
              <w:rPr>
                <w:color w:val="595959" w:themeColor="text1" w:themeTint="A6"/>
                <w:szCs w:val="18"/>
              </w:rPr>
              <w:t xml:space="preserve">Dit betreft de jaarrekening van het Europees Ontwikkelingsfonds voor het jaar 2023. </w:t>
            </w:r>
          </w:p>
        </w:tc>
      </w:tr>
    </w:tbl>
    <w:p w:rsidRPr="00BC1E67"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D3F0C"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BC1E67" w:rsidR="002A4BD8" w:rsidP="003A21AA" w:rsidRDefault="002A4BD8" w14:paraId="0AC39600"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2A4BD8" w:rsidP="003A21AA" w:rsidRDefault="00A841A6" w14:paraId="0C5E3C92" w14:textId="5C0C1B0E">
            <w:pPr>
              <w:spacing w:after="240"/>
              <w:rPr>
                <w:b/>
                <w:color w:val="595959" w:themeColor="text1" w:themeTint="A6"/>
                <w:szCs w:val="18"/>
                <w:lang w:val="en-US"/>
              </w:rPr>
            </w:pPr>
            <w:r w:rsidRPr="00BC1E67">
              <w:rPr>
                <w:color w:val="000000"/>
                <w:szCs w:val="18"/>
                <w:lang w:val="en-US" w:eastAsia="nl-NL"/>
              </w:rPr>
              <w:t xml:space="preserve">COMMUNICATION FROM THE COMMISSION TO THE EUROPEAN PARLIAMENT, THE COUNCIL AND THE COURT OF AUDITORS CONSOLIDATED ANNUAL ACCOUNTS OF THE EUROPEAN UNION FOR THE FINANCIAL YEAR 2023 </w:t>
            </w:r>
            <w:hyperlink w:history="1" r:id="rId18">
              <w:r w:rsidRPr="00BC1E67">
                <w:rPr>
                  <w:rStyle w:val="Hyperlink"/>
                  <w:szCs w:val="18"/>
                  <w:lang w:val="en-US" w:eastAsia="nl-NL"/>
                </w:rPr>
                <w:t>COM(2024)272</w:t>
              </w:r>
            </w:hyperlink>
          </w:p>
        </w:tc>
      </w:tr>
      <w:tr w:rsidRPr="00BC1E67"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2A4BD8" w:rsidP="003A21AA" w:rsidRDefault="002A4BD8" w14:paraId="230BAF7C" w14:textId="77777777">
            <w:pPr>
              <w:spacing w:after="240"/>
              <w:rPr>
                <w:szCs w:val="18"/>
                <w:lang w:val="en-US"/>
              </w:rPr>
            </w:pPr>
          </w:p>
        </w:tc>
        <w:tc>
          <w:tcPr>
            <w:tcW w:w="1035" w:type="dxa"/>
          </w:tcPr>
          <w:p w:rsidRPr="00BC1E67" w:rsidR="002A4BD8" w:rsidP="003A21AA" w:rsidRDefault="002A4BD8" w14:paraId="1257E0FF" w14:textId="77777777">
            <w:pPr>
              <w:spacing w:after="240"/>
              <w:rPr>
                <w:szCs w:val="18"/>
              </w:rPr>
            </w:pPr>
            <w:r w:rsidRPr="00BC1E67">
              <w:rPr>
                <w:szCs w:val="18"/>
              </w:rPr>
              <w:t>Voorstel</w:t>
            </w:r>
          </w:p>
        </w:tc>
        <w:tc>
          <w:tcPr>
            <w:tcW w:w="6529" w:type="dxa"/>
          </w:tcPr>
          <w:p w:rsidRPr="00BC1E67" w:rsidR="002A4BD8" w:rsidP="003A21AA" w:rsidRDefault="00F1031E" w14:paraId="505F4BE9" w14:textId="1117E5F4">
            <w:pPr>
              <w:spacing w:after="240"/>
              <w:rPr>
                <w:szCs w:val="18"/>
              </w:rPr>
            </w:pPr>
            <w:r w:rsidRPr="00BC1E67">
              <w:rPr>
                <w:szCs w:val="18"/>
              </w:rPr>
              <w:t>Voor kennisgeving aannemen</w:t>
            </w:r>
          </w:p>
        </w:tc>
      </w:tr>
      <w:tr w:rsidRPr="00BC1E67"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2A4BD8" w:rsidP="003A21AA" w:rsidRDefault="002A4BD8" w14:paraId="7D9A1404" w14:textId="77777777">
            <w:pPr>
              <w:spacing w:after="240"/>
              <w:rPr>
                <w:color w:val="595959" w:themeColor="text1" w:themeTint="A6"/>
                <w:szCs w:val="18"/>
              </w:rPr>
            </w:pPr>
          </w:p>
        </w:tc>
        <w:tc>
          <w:tcPr>
            <w:tcW w:w="1035" w:type="dxa"/>
          </w:tcPr>
          <w:p w:rsidRPr="00BC1E67" w:rsidR="002A4BD8" w:rsidP="003A21AA" w:rsidRDefault="002A4BD8" w14:paraId="1AFEDB1C"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2A4BD8" w:rsidP="003A21AA" w:rsidRDefault="00F1031E" w14:paraId="3E288C2D" w14:textId="4CB0D7D6">
            <w:pPr>
              <w:spacing w:after="240"/>
              <w:rPr>
                <w:color w:val="595959" w:themeColor="text1" w:themeTint="A6"/>
                <w:szCs w:val="18"/>
              </w:rPr>
            </w:pPr>
            <w:r w:rsidRPr="00BC1E67">
              <w:rPr>
                <w:color w:val="595959" w:themeColor="text1" w:themeTint="A6"/>
                <w:szCs w:val="18"/>
              </w:rPr>
              <w:t xml:space="preserve">Dit betreft de geconsolideerde jaarrekening van de EU voor het begrotingsjaar 2023. </w:t>
            </w:r>
          </w:p>
        </w:tc>
      </w:tr>
    </w:tbl>
    <w:p w:rsidRPr="00BC1E67"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D3F0C"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BC1E67" w:rsidR="002A4BD8" w:rsidP="003A21AA" w:rsidRDefault="002A4BD8" w14:paraId="50781506"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2A4BD8" w:rsidP="003A21AA" w:rsidRDefault="00A841A6" w14:paraId="29CB7480" w14:textId="7CCFD69F">
            <w:pPr>
              <w:spacing w:after="240"/>
              <w:rPr>
                <w:b/>
                <w:color w:val="595959" w:themeColor="text1" w:themeTint="A6"/>
                <w:szCs w:val="18"/>
                <w:lang w:val="en-US"/>
              </w:rPr>
            </w:pPr>
            <w:r w:rsidRPr="00BC1E67">
              <w:rPr>
                <w:color w:val="000000"/>
                <w:szCs w:val="18"/>
                <w:lang w:val="en-US" w:eastAsia="nl-NL"/>
              </w:rPr>
              <w:t xml:space="preserve">REPORT FROM THE COMMISSION TO THE EUROPEAN PARLIAMENT AND THE COUNCIL on the follow-up to the discharge for the 2022 financial year </w:t>
            </w:r>
            <w:hyperlink w:history="1" r:id="rId19">
              <w:r w:rsidRPr="00BC1E67">
                <w:rPr>
                  <w:rStyle w:val="Hyperlink"/>
                  <w:szCs w:val="18"/>
                  <w:lang w:val="en-US" w:eastAsia="nl-NL"/>
                </w:rPr>
                <w:t>COM(2024)267</w:t>
              </w:r>
            </w:hyperlink>
          </w:p>
        </w:tc>
      </w:tr>
      <w:tr w:rsidRPr="00BC1E67"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2A4BD8" w:rsidP="003A21AA" w:rsidRDefault="002A4BD8" w14:paraId="4862F65F" w14:textId="77777777">
            <w:pPr>
              <w:spacing w:after="240"/>
              <w:rPr>
                <w:szCs w:val="18"/>
                <w:lang w:val="en-US"/>
              </w:rPr>
            </w:pPr>
          </w:p>
        </w:tc>
        <w:tc>
          <w:tcPr>
            <w:tcW w:w="1035" w:type="dxa"/>
          </w:tcPr>
          <w:p w:rsidRPr="00BC1E67" w:rsidR="002A4BD8" w:rsidP="003A21AA" w:rsidRDefault="002A4BD8" w14:paraId="17927D7F" w14:textId="77777777">
            <w:pPr>
              <w:spacing w:after="240"/>
              <w:rPr>
                <w:szCs w:val="18"/>
              </w:rPr>
            </w:pPr>
            <w:r w:rsidRPr="00BC1E67">
              <w:rPr>
                <w:szCs w:val="18"/>
              </w:rPr>
              <w:t>Voorstel</w:t>
            </w:r>
          </w:p>
        </w:tc>
        <w:tc>
          <w:tcPr>
            <w:tcW w:w="6529" w:type="dxa"/>
          </w:tcPr>
          <w:p w:rsidRPr="00BC1E67" w:rsidR="002A4BD8" w:rsidP="003A21AA" w:rsidRDefault="00F1031E" w14:paraId="69E52296" w14:textId="55AE8260">
            <w:pPr>
              <w:spacing w:after="240"/>
              <w:rPr>
                <w:szCs w:val="18"/>
              </w:rPr>
            </w:pPr>
            <w:r w:rsidRPr="00BC1E67">
              <w:rPr>
                <w:szCs w:val="18"/>
              </w:rPr>
              <w:t>Voor kennisgeving aannemen</w:t>
            </w:r>
          </w:p>
        </w:tc>
      </w:tr>
      <w:tr w:rsidRPr="00BC1E67"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2A4BD8" w:rsidP="003A21AA" w:rsidRDefault="002A4BD8" w14:paraId="677C0A18" w14:textId="77777777">
            <w:pPr>
              <w:spacing w:after="240"/>
              <w:rPr>
                <w:color w:val="595959" w:themeColor="text1" w:themeTint="A6"/>
                <w:szCs w:val="18"/>
              </w:rPr>
            </w:pPr>
          </w:p>
        </w:tc>
        <w:tc>
          <w:tcPr>
            <w:tcW w:w="1035" w:type="dxa"/>
          </w:tcPr>
          <w:p w:rsidRPr="00BC1E67" w:rsidR="002A4BD8" w:rsidP="003A21AA" w:rsidRDefault="002A4BD8" w14:paraId="1C9C2532"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2A4BD8" w:rsidP="003A21AA" w:rsidRDefault="0061596D" w14:paraId="2D4BA6EA" w14:textId="0FE9D3FF">
            <w:pPr>
              <w:spacing w:after="240"/>
              <w:rPr>
                <w:color w:val="595959" w:themeColor="text1" w:themeTint="A6"/>
                <w:szCs w:val="18"/>
              </w:rPr>
            </w:pPr>
            <w:r w:rsidRPr="00BC1E67">
              <w:rPr>
                <w:color w:val="595959" w:themeColor="text1" w:themeTint="A6"/>
                <w:szCs w:val="18"/>
              </w:rPr>
              <w:t>Dit betreft een verslag van de Commissie over de follow-up van de kwijtingsprocedure voor het begrotingsjaar 2022. Het verslag geeft een overzicht van de maatregelen die de Commissie heeft genomen op basis van zowel: i) verzoeken van het Europees Parlement in het kwijtingsbesluit; en ii) de belangrijkste verzoeken van de Raad in zijn aanbeveling over de kwijting 2022.</w:t>
            </w:r>
          </w:p>
        </w:tc>
      </w:tr>
    </w:tbl>
    <w:p w:rsidRPr="00BC1E67"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BC1E67" w:rsidR="002A4BD8" w:rsidP="003A21AA" w:rsidRDefault="002A4BD8" w14:paraId="0AA8D21F"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2A4BD8" w:rsidP="003A21AA" w:rsidRDefault="00A841A6" w14:paraId="099195DA" w14:textId="55440AE1">
            <w:pPr>
              <w:spacing w:after="240"/>
              <w:rPr>
                <w:b/>
                <w:color w:val="595959" w:themeColor="text1" w:themeTint="A6"/>
                <w:szCs w:val="18"/>
              </w:rPr>
            </w:pPr>
            <w:r w:rsidRPr="00BC1E67">
              <w:rPr>
                <w:color w:val="000000"/>
                <w:szCs w:val="18"/>
                <w:lang w:eastAsia="nl-NL"/>
              </w:rPr>
              <w:t xml:space="preserve">VERSLAG VAN DE COMMISSIE AAN HET EUROPEES PARLEMENT EN DE RAAD Langetermijnprognose van toekomstige instromen en uitstromen van de EU-begroting (2025-2029) </w:t>
            </w:r>
            <w:hyperlink w:history="1" r:id="rId20">
              <w:r w:rsidRPr="00BC1E67">
                <w:rPr>
                  <w:rStyle w:val="Hyperlink"/>
                  <w:szCs w:val="18"/>
                  <w:lang w:eastAsia="nl-NL"/>
                </w:rPr>
                <w:t>COM(2024)276</w:t>
              </w:r>
            </w:hyperlink>
          </w:p>
        </w:tc>
      </w:tr>
      <w:tr w:rsidRPr="00BC1E67" w:rsidR="002A4BD8"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2A4BD8" w:rsidP="003A21AA" w:rsidRDefault="002A4BD8" w14:paraId="6306B713" w14:textId="77777777">
            <w:pPr>
              <w:spacing w:after="240"/>
              <w:rPr>
                <w:szCs w:val="18"/>
              </w:rPr>
            </w:pPr>
          </w:p>
        </w:tc>
        <w:tc>
          <w:tcPr>
            <w:tcW w:w="1035" w:type="dxa"/>
          </w:tcPr>
          <w:p w:rsidRPr="00BC1E67" w:rsidR="002A4BD8" w:rsidP="003A21AA" w:rsidRDefault="002A4BD8" w14:paraId="13AA2E6B" w14:textId="77777777">
            <w:pPr>
              <w:spacing w:after="240"/>
              <w:rPr>
                <w:szCs w:val="18"/>
              </w:rPr>
            </w:pPr>
            <w:r w:rsidRPr="00BC1E67">
              <w:rPr>
                <w:szCs w:val="18"/>
              </w:rPr>
              <w:t>Voorstel</w:t>
            </w:r>
          </w:p>
        </w:tc>
        <w:tc>
          <w:tcPr>
            <w:tcW w:w="6529" w:type="dxa"/>
          </w:tcPr>
          <w:p w:rsidRPr="00BC1E67" w:rsidR="002A4BD8" w:rsidP="003A21AA" w:rsidRDefault="0061596D" w14:paraId="02C38289" w14:textId="4C42C650">
            <w:pPr>
              <w:spacing w:after="240"/>
              <w:rPr>
                <w:szCs w:val="18"/>
              </w:rPr>
            </w:pPr>
            <w:r w:rsidRPr="00BC1E67">
              <w:rPr>
                <w:szCs w:val="18"/>
              </w:rPr>
              <w:t>Voor kennisgeving aannemen.</w:t>
            </w:r>
          </w:p>
        </w:tc>
      </w:tr>
      <w:tr w:rsidRPr="00BC1E67" w:rsidR="002A4BD8"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2A4BD8" w:rsidP="003A21AA" w:rsidRDefault="002A4BD8" w14:paraId="65856223" w14:textId="77777777">
            <w:pPr>
              <w:spacing w:after="240"/>
              <w:rPr>
                <w:color w:val="595959" w:themeColor="text1" w:themeTint="A6"/>
                <w:szCs w:val="18"/>
              </w:rPr>
            </w:pPr>
          </w:p>
        </w:tc>
        <w:tc>
          <w:tcPr>
            <w:tcW w:w="1035" w:type="dxa"/>
          </w:tcPr>
          <w:p w:rsidRPr="00BC1E67" w:rsidR="002A4BD8" w:rsidP="003A21AA" w:rsidRDefault="002A4BD8" w14:paraId="4912C224"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2A4BD8" w:rsidP="003A21AA" w:rsidRDefault="0061596D" w14:paraId="6FAEA85B" w14:textId="6A118C51">
            <w:pPr>
              <w:spacing w:after="240"/>
              <w:rPr>
                <w:color w:val="595959" w:themeColor="text1" w:themeTint="A6"/>
                <w:szCs w:val="18"/>
              </w:rPr>
            </w:pPr>
            <w:r w:rsidRPr="00BC1E67">
              <w:rPr>
                <w:color w:val="595959" w:themeColor="text1" w:themeTint="A6"/>
                <w:szCs w:val="18"/>
              </w:rPr>
              <w:t>Dit verslag bevat prognoses voor de in- en uitstromen van de EU-begroting voor de komende vijf jaar. Het MFK-betalingsmaximum blijft toereikend om de geraamde betalingen tot het einde van het MFK te dekken.</w:t>
            </w:r>
          </w:p>
        </w:tc>
      </w:tr>
    </w:tbl>
    <w:p w:rsidRPr="00BC1E67" w:rsidR="002A4BD8" w:rsidP="002A4BD8" w:rsidRDefault="002A4BD8" w14:paraId="6014D29F" w14:textId="522DF1F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D3F0C" w:rsidR="00DF5A2E" w:rsidTr="000279E0" w14:paraId="184D15D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DF5A2E" w:rsidP="000279E0" w:rsidRDefault="00DF5A2E" w14:paraId="78A3A544" w14:textId="77777777">
            <w:pPr>
              <w:pStyle w:val="Lijstalinea"/>
              <w:numPr>
                <w:ilvl w:val="0"/>
                <w:numId w:val="10"/>
              </w:numPr>
              <w:spacing w:after="240"/>
              <w:ind w:left="312"/>
              <w:rPr>
                <w:color w:val="595959" w:themeColor="text1" w:themeTint="A6"/>
                <w:szCs w:val="18"/>
              </w:rPr>
            </w:pPr>
          </w:p>
        </w:tc>
        <w:tc>
          <w:tcPr>
            <w:tcW w:w="1035" w:type="dxa"/>
          </w:tcPr>
          <w:p w:rsidRPr="00BC1E67" w:rsidR="00DF5A2E" w:rsidP="000279E0" w:rsidRDefault="00DF5A2E" w14:paraId="39080C1A"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DF5A2E" w:rsidP="000279E0" w:rsidRDefault="00A841A6" w14:paraId="04C51897" w14:textId="6DE2182E">
            <w:pPr>
              <w:spacing w:after="240"/>
              <w:rPr>
                <w:b/>
                <w:color w:val="595959" w:themeColor="text1" w:themeTint="A6"/>
                <w:szCs w:val="18"/>
                <w:lang w:val="en-US"/>
              </w:rPr>
            </w:pPr>
            <w:r w:rsidRPr="00BC1E67">
              <w:rPr>
                <w:color w:val="000000"/>
                <w:szCs w:val="18"/>
                <w:lang w:val="en-US" w:eastAsia="nl-NL"/>
              </w:rPr>
              <w:t xml:space="preserve">Proposal for a COUNCIL IMPLEMENTING DECISION amending Implementing Decision (EU) (ST 10158/21 INIT; ST 10158/21 ADD 1) of 13 July 2021 on the approval of the assessment of the recovery and resilience plan for Germany </w:t>
            </w:r>
            <w:hyperlink w:history="1" r:id="rId21">
              <w:r w:rsidRPr="00BC1E67">
                <w:rPr>
                  <w:rStyle w:val="Hyperlink"/>
                  <w:szCs w:val="18"/>
                  <w:lang w:val="en-US" w:eastAsia="nl-NL"/>
                </w:rPr>
                <w:t>COM(2024)277</w:t>
              </w:r>
            </w:hyperlink>
          </w:p>
        </w:tc>
      </w:tr>
      <w:tr w:rsidRPr="00BC1E67" w:rsidR="00DF5A2E" w:rsidTr="000279E0" w14:paraId="6E1C6AF4"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DF5A2E" w:rsidP="000279E0" w:rsidRDefault="00DF5A2E" w14:paraId="604BFA20" w14:textId="77777777">
            <w:pPr>
              <w:spacing w:after="240"/>
              <w:rPr>
                <w:szCs w:val="18"/>
                <w:lang w:val="en-US"/>
              </w:rPr>
            </w:pPr>
          </w:p>
        </w:tc>
        <w:tc>
          <w:tcPr>
            <w:tcW w:w="1035" w:type="dxa"/>
          </w:tcPr>
          <w:p w:rsidRPr="00BC1E67" w:rsidR="00DF5A2E" w:rsidP="000279E0" w:rsidRDefault="00DF5A2E" w14:paraId="5DC784BA" w14:textId="77777777">
            <w:pPr>
              <w:spacing w:after="240"/>
              <w:rPr>
                <w:szCs w:val="18"/>
              </w:rPr>
            </w:pPr>
            <w:r w:rsidRPr="00BC1E67">
              <w:rPr>
                <w:szCs w:val="18"/>
              </w:rPr>
              <w:t>Voorstel</w:t>
            </w:r>
          </w:p>
        </w:tc>
        <w:tc>
          <w:tcPr>
            <w:tcW w:w="6529" w:type="dxa"/>
          </w:tcPr>
          <w:p w:rsidRPr="00BC1E67" w:rsidR="00DF5A2E" w:rsidP="000279E0" w:rsidRDefault="0061596D" w14:paraId="4A3BAB03" w14:textId="66759D75">
            <w:pPr>
              <w:spacing w:after="240"/>
              <w:rPr>
                <w:szCs w:val="18"/>
              </w:rPr>
            </w:pPr>
            <w:r w:rsidRPr="00BC1E67">
              <w:rPr>
                <w:szCs w:val="18"/>
              </w:rPr>
              <w:t>Reeds betrokken bij het schriftelijk overleg over de Eurogroep/Ecofinraad van 9 juli 2024.</w:t>
            </w:r>
          </w:p>
        </w:tc>
      </w:tr>
      <w:tr w:rsidRPr="00BC1E67" w:rsidR="00DF5A2E" w:rsidTr="000279E0" w14:paraId="51D0A818"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DF5A2E" w:rsidP="000279E0" w:rsidRDefault="00DF5A2E" w14:paraId="533FFCD0" w14:textId="77777777">
            <w:pPr>
              <w:spacing w:after="240"/>
              <w:rPr>
                <w:color w:val="595959" w:themeColor="text1" w:themeTint="A6"/>
                <w:szCs w:val="18"/>
              </w:rPr>
            </w:pPr>
          </w:p>
        </w:tc>
        <w:tc>
          <w:tcPr>
            <w:tcW w:w="1035" w:type="dxa"/>
          </w:tcPr>
          <w:p w:rsidRPr="00BC1E67" w:rsidR="00DF5A2E" w:rsidP="000279E0" w:rsidRDefault="00DF5A2E" w14:paraId="58D2A03C"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DF5A2E" w:rsidP="000279E0" w:rsidRDefault="0061596D" w14:paraId="235A147C" w14:textId="1C3BCD07">
            <w:pPr>
              <w:spacing w:after="240"/>
              <w:rPr>
                <w:color w:val="595959" w:themeColor="text1" w:themeTint="A6"/>
                <w:szCs w:val="18"/>
              </w:rPr>
            </w:pPr>
            <w:r w:rsidRPr="00BC1E67">
              <w:rPr>
                <w:color w:val="595959" w:themeColor="text1" w:themeTint="A6"/>
                <w:szCs w:val="18"/>
              </w:rPr>
              <w:t xml:space="preserve">Dit betreft het uitvoeringsbesluit van de Raad over de goedkeuring van het aangepaste Duitse Herstel- en Veerkrachtplan. </w:t>
            </w:r>
          </w:p>
        </w:tc>
      </w:tr>
    </w:tbl>
    <w:p w:rsidRPr="00BC1E67" w:rsidR="00DF5A2E" w:rsidP="002A4BD8" w:rsidRDefault="00DF5A2E" w14:paraId="47A9638E" w14:textId="449A710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D3F0C" w:rsidR="00DF5A2E" w:rsidTr="000279E0" w14:paraId="092E0C6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DF5A2E" w:rsidP="000279E0" w:rsidRDefault="00DF5A2E" w14:paraId="66B80061" w14:textId="77777777">
            <w:pPr>
              <w:pStyle w:val="Lijstalinea"/>
              <w:numPr>
                <w:ilvl w:val="0"/>
                <w:numId w:val="10"/>
              </w:numPr>
              <w:spacing w:after="240"/>
              <w:ind w:left="312"/>
              <w:rPr>
                <w:color w:val="595959" w:themeColor="text1" w:themeTint="A6"/>
                <w:szCs w:val="18"/>
              </w:rPr>
            </w:pPr>
          </w:p>
        </w:tc>
        <w:tc>
          <w:tcPr>
            <w:tcW w:w="1035" w:type="dxa"/>
          </w:tcPr>
          <w:p w:rsidRPr="00BC1E67" w:rsidR="00DF5A2E" w:rsidP="000279E0" w:rsidRDefault="00DF5A2E" w14:paraId="3BF36ED7"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DF5A2E" w:rsidP="000279E0" w:rsidRDefault="00AB3504" w14:paraId="04F013A3" w14:textId="2694B9B9">
            <w:pPr>
              <w:spacing w:after="240"/>
              <w:rPr>
                <w:b/>
                <w:color w:val="595959" w:themeColor="text1" w:themeTint="A6"/>
                <w:szCs w:val="18"/>
                <w:lang w:val="en-US"/>
              </w:rPr>
            </w:pPr>
            <w:r w:rsidRPr="00BC1E67">
              <w:rPr>
                <w:color w:val="000000"/>
                <w:szCs w:val="18"/>
                <w:lang w:val="en-US" w:eastAsia="nl-NL"/>
              </w:rPr>
              <w:t xml:space="preserve">REPORT FROM THE COMMISSION TO THE EUROPEAN PARLIAMENT AND THE COUNCIL CONVERGENCE REPORT 2024 (prepared in accordance with Article 140(1) of the Treaty on the Functioning of the European Union) </w:t>
            </w:r>
            <w:hyperlink w:history="1" r:id="rId22">
              <w:r w:rsidRPr="00BC1E67">
                <w:rPr>
                  <w:rStyle w:val="Hyperlink"/>
                  <w:szCs w:val="18"/>
                  <w:lang w:val="en-US" w:eastAsia="nl-NL"/>
                </w:rPr>
                <w:t>COM(2024)270</w:t>
              </w:r>
            </w:hyperlink>
          </w:p>
        </w:tc>
      </w:tr>
      <w:tr w:rsidRPr="00BC1E67" w:rsidR="00DF5A2E" w:rsidTr="000279E0" w14:paraId="2C35CD73"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DF5A2E" w:rsidP="000279E0" w:rsidRDefault="00DF5A2E" w14:paraId="469EFAD3" w14:textId="77777777">
            <w:pPr>
              <w:spacing w:after="240"/>
              <w:rPr>
                <w:szCs w:val="18"/>
                <w:lang w:val="en-US"/>
              </w:rPr>
            </w:pPr>
          </w:p>
        </w:tc>
        <w:tc>
          <w:tcPr>
            <w:tcW w:w="1035" w:type="dxa"/>
          </w:tcPr>
          <w:p w:rsidRPr="00BC1E67" w:rsidR="00DF5A2E" w:rsidP="000279E0" w:rsidRDefault="00DF5A2E" w14:paraId="5C0952F5" w14:textId="77777777">
            <w:pPr>
              <w:spacing w:after="240"/>
              <w:rPr>
                <w:szCs w:val="18"/>
              </w:rPr>
            </w:pPr>
            <w:r w:rsidRPr="00BC1E67">
              <w:rPr>
                <w:szCs w:val="18"/>
              </w:rPr>
              <w:t>Voorstel</w:t>
            </w:r>
          </w:p>
        </w:tc>
        <w:tc>
          <w:tcPr>
            <w:tcW w:w="6529" w:type="dxa"/>
          </w:tcPr>
          <w:p w:rsidRPr="00BC1E67" w:rsidR="00DF5A2E" w:rsidP="000279E0" w:rsidRDefault="0061596D" w14:paraId="6CC066D4" w14:textId="6725596F">
            <w:pPr>
              <w:spacing w:after="240"/>
              <w:rPr>
                <w:szCs w:val="18"/>
              </w:rPr>
            </w:pPr>
            <w:r w:rsidRPr="00BC1E67">
              <w:rPr>
                <w:szCs w:val="18"/>
              </w:rPr>
              <w:t xml:space="preserve">Reeds betrokken bij het schriftelijk overleg over de Eurogroep/Ecofinraad van 9 juli 2024. </w:t>
            </w:r>
          </w:p>
        </w:tc>
      </w:tr>
      <w:tr w:rsidRPr="00BC1E67" w:rsidR="00DF5A2E" w:rsidTr="000279E0" w14:paraId="2B792069"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DF5A2E" w:rsidP="000279E0" w:rsidRDefault="00DF5A2E" w14:paraId="27178720" w14:textId="77777777">
            <w:pPr>
              <w:spacing w:after="240"/>
              <w:rPr>
                <w:color w:val="595959" w:themeColor="text1" w:themeTint="A6"/>
                <w:szCs w:val="18"/>
              </w:rPr>
            </w:pPr>
          </w:p>
        </w:tc>
        <w:tc>
          <w:tcPr>
            <w:tcW w:w="1035" w:type="dxa"/>
          </w:tcPr>
          <w:p w:rsidRPr="00BC1E67" w:rsidR="00DF5A2E" w:rsidP="000279E0" w:rsidRDefault="00DF5A2E" w14:paraId="4CA7A201"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DF5A2E" w:rsidP="000279E0" w:rsidRDefault="0061596D" w14:paraId="55FECFDC" w14:textId="760EBE28">
            <w:pPr>
              <w:spacing w:after="240"/>
              <w:rPr>
                <w:color w:val="595959" w:themeColor="text1" w:themeTint="A6"/>
                <w:szCs w:val="18"/>
              </w:rPr>
            </w:pPr>
            <w:r w:rsidRPr="00BC1E67">
              <w:rPr>
                <w:color w:val="595959" w:themeColor="text1" w:themeTint="A6"/>
                <w:szCs w:val="18"/>
              </w:rPr>
              <w:t xml:space="preserve">Dit betreft het convergentieverslag van de Europese Commissie, waarin wordt beoordeeld in hoeverre niet-euro-lidstaten voldoen aan de criteria voor toetreding tot de euro. </w:t>
            </w:r>
          </w:p>
        </w:tc>
      </w:tr>
    </w:tbl>
    <w:p w:rsidRPr="00BC1E67" w:rsidR="00DF5A2E" w:rsidP="002A4BD8" w:rsidRDefault="00DF5A2E" w14:paraId="73F01234" w14:textId="0EB0E84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6E5214" w:rsidTr="00B20232" w14:paraId="3E3C592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6E5214" w:rsidP="00B20232" w:rsidRDefault="006E5214" w14:paraId="1CDDCD20" w14:textId="77777777">
            <w:pPr>
              <w:pStyle w:val="Lijstalinea"/>
              <w:numPr>
                <w:ilvl w:val="0"/>
                <w:numId w:val="10"/>
              </w:numPr>
              <w:spacing w:after="240"/>
              <w:ind w:left="312"/>
              <w:rPr>
                <w:color w:val="595959" w:themeColor="text1" w:themeTint="A6"/>
                <w:szCs w:val="18"/>
              </w:rPr>
            </w:pPr>
          </w:p>
        </w:tc>
        <w:tc>
          <w:tcPr>
            <w:tcW w:w="1035" w:type="dxa"/>
          </w:tcPr>
          <w:p w:rsidRPr="00BC1E67" w:rsidR="006E5214" w:rsidP="00B20232" w:rsidRDefault="006E5214" w14:paraId="0413139A"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6E5214" w:rsidP="00B20232" w:rsidRDefault="00AB3504" w14:paraId="6AE3BFA7" w14:textId="4A59CCF9">
            <w:pPr>
              <w:spacing w:after="240"/>
              <w:rPr>
                <w:b/>
                <w:color w:val="595959" w:themeColor="text1" w:themeTint="A6"/>
                <w:szCs w:val="18"/>
              </w:rPr>
            </w:pPr>
            <w:r w:rsidRPr="00BC1E67">
              <w:rPr>
                <w:color w:val="000000"/>
                <w:szCs w:val="18"/>
                <w:lang w:eastAsia="nl-NL"/>
              </w:rPr>
              <w:t xml:space="preserve">VERSLAG VAN DE COMMISSIE AAN HET EUROPEES PARLEMENT, DE RAAD EN DE EUROPESE CENTRALE BANK betreffende de uitvoering en de resultaten van het Pericles IV-programma voor de bescherming van de euro tegen valsemunterij in 2023 </w:t>
            </w:r>
            <w:hyperlink w:history="1" r:id="rId23">
              <w:r w:rsidRPr="00BC1E67">
                <w:rPr>
                  <w:rStyle w:val="Hyperlink"/>
                  <w:szCs w:val="18"/>
                  <w:lang w:eastAsia="nl-NL"/>
                </w:rPr>
                <w:t>COM(2024)259</w:t>
              </w:r>
            </w:hyperlink>
          </w:p>
        </w:tc>
      </w:tr>
      <w:tr w:rsidRPr="00BC1E67" w:rsidR="006E5214" w:rsidTr="00B20232" w14:paraId="0B83DB79"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6E5214" w:rsidP="00B20232" w:rsidRDefault="006E5214" w14:paraId="2C355E86" w14:textId="77777777">
            <w:pPr>
              <w:spacing w:after="240"/>
              <w:rPr>
                <w:szCs w:val="18"/>
              </w:rPr>
            </w:pPr>
          </w:p>
        </w:tc>
        <w:tc>
          <w:tcPr>
            <w:tcW w:w="1035" w:type="dxa"/>
          </w:tcPr>
          <w:p w:rsidRPr="00BC1E67" w:rsidR="006E5214" w:rsidP="00B20232" w:rsidRDefault="006E5214" w14:paraId="16781259" w14:textId="77777777">
            <w:pPr>
              <w:spacing w:after="240"/>
              <w:rPr>
                <w:szCs w:val="18"/>
              </w:rPr>
            </w:pPr>
            <w:r w:rsidRPr="00BC1E67">
              <w:rPr>
                <w:szCs w:val="18"/>
              </w:rPr>
              <w:t>Voorstel</w:t>
            </w:r>
          </w:p>
        </w:tc>
        <w:tc>
          <w:tcPr>
            <w:tcW w:w="6529" w:type="dxa"/>
          </w:tcPr>
          <w:p w:rsidRPr="00BC1E67" w:rsidR="006E5214" w:rsidP="00B20232" w:rsidRDefault="0061596D" w14:paraId="1764A7BE" w14:textId="0AF9881E">
            <w:pPr>
              <w:spacing w:after="240"/>
              <w:rPr>
                <w:szCs w:val="18"/>
              </w:rPr>
            </w:pPr>
            <w:r w:rsidRPr="00BC1E67">
              <w:rPr>
                <w:szCs w:val="18"/>
              </w:rPr>
              <w:t>Voor kennisgeving aannemen</w:t>
            </w:r>
          </w:p>
        </w:tc>
      </w:tr>
      <w:tr w:rsidRPr="00BC1E67" w:rsidR="006E5214" w:rsidTr="00B20232" w14:paraId="21F854C2"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6E5214" w:rsidP="00B20232" w:rsidRDefault="006E5214" w14:paraId="5C877451" w14:textId="77777777">
            <w:pPr>
              <w:spacing w:after="240"/>
              <w:rPr>
                <w:color w:val="595959" w:themeColor="text1" w:themeTint="A6"/>
                <w:szCs w:val="18"/>
              </w:rPr>
            </w:pPr>
          </w:p>
        </w:tc>
        <w:tc>
          <w:tcPr>
            <w:tcW w:w="1035" w:type="dxa"/>
          </w:tcPr>
          <w:p w:rsidRPr="00BC1E67" w:rsidR="006E5214" w:rsidP="00B20232" w:rsidRDefault="006E5214" w14:paraId="53862C94"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6E5214" w:rsidP="00B20232" w:rsidRDefault="0061596D" w14:paraId="5D690BD8" w14:textId="5D38E77A">
            <w:pPr>
              <w:spacing w:after="240"/>
              <w:rPr>
                <w:color w:val="595959" w:themeColor="text1" w:themeTint="A6"/>
                <w:szCs w:val="18"/>
              </w:rPr>
            </w:pPr>
            <w:r w:rsidRPr="00BC1E67">
              <w:rPr>
                <w:color w:val="595959" w:themeColor="text1" w:themeTint="A6"/>
                <w:szCs w:val="18"/>
              </w:rPr>
              <w:t xml:space="preserve">Het Pericles IV-programma is een programma inzake uitwisselingen, bijstand en opleiding voor de bescherming van de euro tegen valsemunterĳ. Dit is het jaarlijkse verslag over de resultaten van dit programma. </w:t>
            </w:r>
          </w:p>
        </w:tc>
      </w:tr>
    </w:tbl>
    <w:p w:rsidRPr="00BC1E67" w:rsidR="006E5214" w:rsidP="002A4BD8" w:rsidRDefault="006E5214" w14:paraId="33CC8AC5" w14:textId="721F494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D3F0C" w:rsidR="006E5214" w:rsidTr="00B20232" w14:paraId="123D159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6E5214" w:rsidP="00B20232" w:rsidRDefault="006E5214" w14:paraId="653F6739" w14:textId="77777777">
            <w:pPr>
              <w:pStyle w:val="Lijstalinea"/>
              <w:numPr>
                <w:ilvl w:val="0"/>
                <w:numId w:val="10"/>
              </w:numPr>
              <w:spacing w:after="240"/>
              <w:ind w:left="312"/>
              <w:rPr>
                <w:color w:val="595959" w:themeColor="text1" w:themeTint="A6"/>
                <w:szCs w:val="18"/>
              </w:rPr>
            </w:pPr>
          </w:p>
        </w:tc>
        <w:tc>
          <w:tcPr>
            <w:tcW w:w="1035" w:type="dxa"/>
          </w:tcPr>
          <w:p w:rsidRPr="00BC1E67" w:rsidR="006E5214" w:rsidP="00B20232" w:rsidRDefault="006E5214" w14:paraId="4C67EB1F"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6E5214" w:rsidP="006A1A27" w:rsidRDefault="006A1A27" w14:paraId="49B3CFF0" w14:textId="473B55CB">
            <w:pPr>
              <w:spacing w:after="240"/>
              <w:rPr>
                <w:b/>
                <w:color w:val="595959" w:themeColor="text1" w:themeTint="A6"/>
                <w:szCs w:val="18"/>
                <w:lang w:val="en-US"/>
              </w:rPr>
            </w:pPr>
            <w:r w:rsidRPr="00BC1E67">
              <w:rPr>
                <w:color w:val="000000"/>
                <w:szCs w:val="18"/>
                <w:lang w:val="en-US" w:eastAsia="nl-NL"/>
              </w:rPr>
              <w:t xml:space="preserve">REPORT FROM THE COMMISSION TO THE EUROPEAN PARLIAMENT AND THE COUNCIL on the common provisioning fund in 2023 </w:t>
            </w:r>
            <w:hyperlink w:history="1" r:id="rId24">
              <w:r w:rsidRPr="00BC1E67">
                <w:rPr>
                  <w:rStyle w:val="Hyperlink"/>
                  <w:szCs w:val="18"/>
                  <w:lang w:val="en-US" w:eastAsia="nl-NL"/>
                </w:rPr>
                <w:t>COM(2024)180</w:t>
              </w:r>
            </w:hyperlink>
          </w:p>
        </w:tc>
      </w:tr>
      <w:tr w:rsidRPr="00BC1E67" w:rsidR="006E5214" w:rsidTr="00B20232" w14:paraId="4C2845C2"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6E5214" w:rsidP="00B20232" w:rsidRDefault="006E5214" w14:paraId="4C70F3F4" w14:textId="77777777">
            <w:pPr>
              <w:spacing w:after="240"/>
              <w:rPr>
                <w:szCs w:val="18"/>
                <w:lang w:val="en-US"/>
              </w:rPr>
            </w:pPr>
          </w:p>
        </w:tc>
        <w:tc>
          <w:tcPr>
            <w:tcW w:w="1035" w:type="dxa"/>
          </w:tcPr>
          <w:p w:rsidRPr="00BC1E67" w:rsidR="006E5214" w:rsidP="00B20232" w:rsidRDefault="006E5214" w14:paraId="244BABCA" w14:textId="77777777">
            <w:pPr>
              <w:spacing w:after="240"/>
              <w:rPr>
                <w:szCs w:val="18"/>
              </w:rPr>
            </w:pPr>
            <w:r w:rsidRPr="00BC1E67">
              <w:rPr>
                <w:szCs w:val="18"/>
              </w:rPr>
              <w:t>Voorstel</w:t>
            </w:r>
          </w:p>
        </w:tc>
        <w:tc>
          <w:tcPr>
            <w:tcW w:w="6529" w:type="dxa"/>
          </w:tcPr>
          <w:p w:rsidRPr="00BC1E67" w:rsidR="006E5214" w:rsidP="00B20232" w:rsidRDefault="0061596D" w14:paraId="060A1730" w14:textId="0611E3C6">
            <w:pPr>
              <w:spacing w:after="240"/>
              <w:rPr>
                <w:szCs w:val="18"/>
              </w:rPr>
            </w:pPr>
            <w:r w:rsidRPr="00BC1E67">
              <w:rPr>
                <w:szCs w:val="18"/>
              </w:rPr>
              <w:t>Voor kennisgeving aannemen</w:t>
            </w:r>
          </w:p>
        </w:tc>
      </w:tr>
      <w:tr w:rsidRPr="00BC1E67" w:rsidR="006E5214" w:rsidTr="00B20232" w14:paraId="66294184"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6E5214" w:rsidP="00B20232" w:rsidRDefault="006E5214" w14:paraId="4008FB98" w14:textId="77777777">
            <w:pPr>
              <w:spacing w:after="240"/>
              <w:rPr>
                <w:color w:val="595959" w:themeColor="text1" w:themeTint="A6"/>
                <w:szCs w:val="18"/>
              </w:rPr>
            </w:pPr>
          </w:p>
        </w:tc>
        <w:tc>
          <w:tcPr>
            <w:tcW w:w="1035" w:type="dxa"/>
          </w:tcPr>
          <w:p w:rsidRPr="00BC1E67" w:rsidR="006E5214" w:rsidP="00B20232" w:rsidRDefault="006E5214" w14:paraId="33A8C113"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6E5214" w:rsidP="00B20232" w:rsidRDefault="0061596D" w14:paraId="6C03BAFC" w14:textId="6428B22C">
            <w:pPr>
              <w:spacing w:after="240"/>
              <w:rPr>
                <w:color w:val="595959" w:themeColor="text1" w:themeTint="A6"/>
                <w:szCs w:val="18"/>
              </w:rPr>
            </w:pPr>
            <w:r w:rsidRPr="00BC1E67">
              <w:rPr>
                <w:color w:val="595959" w:themeColor="text1" w:themeTint="A6"/>
                <w:szCs w:val="18"/>
              </w:rPr>
              <w:t xml:space="preserve">Het gemeenschappelijk voorzieningsfonds (“GVF”) houdt alle voorzieningen aan die op de EU-begroting zijn gereserveerd om het risico te dekken van verliezen op activiteiten die worden gegarandeerd door de interne en externe garanties van de Europese Unie. Naast begrotingsgaranties worden in het GVF voorzieningen aangehouden voor macrofinanciële-bijstandsleningen (“MFB”) aan derde landen. </w:t>
            </w:r>
            <w:r w:rsidRPr="00BC1E67" w:rsidR="006E4D2D">
              <w:rPr>
                <w:color w:val="595959" w:themeColor="text1" w:themeTint="A6"/>
                <w:szCs w:val="18"/>
              </w:rPr>
              <w:t>Dit verslag schetst de belangrijkste ontwikkelingen wat betreft het functioneren van het GVF in 2023, presenteert de belangrijkste financiële en risicoparameters, en de jaarprestatie van het fonds.</w:t>
            </w:r>
          </w:p>
        </w:tc>
      </w:tr>
    </w:tbl>
    <w:p w:rsidRPr="00BC1E67" w:rsidR="006E5214" w:rsidP="002A4BD8" w:rsidRDefault="006E5214" w14:paraId="354AC48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8677B1" w:rsidTr="00061E6E" w14:paraId="65625D41"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8677B1" w:rsidP="00061E6E" w:rsidRDefault="008677B1" w14:paraId="2FDFF417" w14:textId="77777777">
            <w:pPr>
              <w:pStyle w:val="Lijstalinea"/>
              <w:numPr>
                <w:ilvl w:val="0"/>
                <w:numId w:val="10"/>
              </w:numPr>
              <w:spacing w:after="240"/>
              <w:ind w:left="312"/>
              <w:rPr>
                <w:color w:val="595959" w:themeColor="text1" w:themeTint="A6"/>
                <w:szCs w:val="18"/>
              </w:rPr>
            </w:pPr>
          </w:p>
        </w:tc>
        <w:tc>
          <w:tcPr>
            <w:tcW w:w="1035" w:type="dxa"/>
          </w:tcPr>
          <w:p w:rsidRPr="00BC1E67" w:rsidR="008677B1" w:rsidP="00061E6E" w:rsidRDefault="008677B1" w14:paraId="3DA3F0CB"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8677B1" w:rsidP="008677B1" w:rsidRDefault="008677B1" w14:paraId="55597ECD" w14:textId="74845E57">
            <w:pPr>
              <w:spacing w:after="240"/>
              <w:rPr>
                <w:bCs/>
                <w:color w:val="595959" w:themeColor="text1" w:themeTint="A6"/>
                <w:szCs w:val="18"/>
              </w:rPr>
            </w:pPr>
            <w:r w:rsidRPr="00BC1E67">
              <w:rPr>
                <w:color w:val="000000"/>
                <w:szCs w:val="18"/>
                <w:lang w:eastAsia="nl-NL"/>
              </w:rPr>
              <w:t xml:space="preserve">VERSLAG VAN DE COMMISSIE AAN HET EUROPEES PARLEMENT EN DE RAAD over de delegatie van de bevoegdheid om gedelegeerde handelingen vast te stellen die aan de Commissie is verleend uit hoofde van Verordening (EU) nr. 596/2014 van het Europees Parlement en de Raad van 16 april 2014 betreffende marktmisbruik (Verordening marktmisbruik) en houdende intrekking van Richtlijn 2003/6/EG van het Europees Parlement en de Raad en Richtlijnen 2003/124/EG, 2003/125/EG en 2004/72/EG van de Commissie </w:t>
            </w:r>
            <w:hyperlink w:history="1" r:id="rId25">
              <w:r w:rsidRPr="00BC1E67">
                <w:rPr>
                  <w:rStyle w:val="Hyperlink"/>
                  <w:bCs/>
                  <w:szCs w:val="18"/>
                </w:rPr>
                <w:t>COM(2024)248</w:t>
              </w:r>
            </w:hyperlink>
          </w:p>
        </w:tc>
      </w:tr>
      <w:tr w:rsidRPr="00BC1E67" w:rsidR="008677B1" w:rsidTr="00061E6E" w14:paraId="5E9E1E83"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8677B1" w:rsidP="00061E6E" w:rsidRDefault="008677B1" w14:paraId="09A07E34" w14:textId="77777777">
            <w:pPr>
              <w:spacing w:after="240"/>
              <w:rPr>
                <w:szCs w:val="18"/>
              </w:rPr>
            </w:pPr>
          </w:p>
        </w:tc>
        <w:tc>
          <w:tcPr>
            <w:tcW w:w="1035" w:type="dxa"/>
          </w:tcPr>
          <w:p w:rsidRPr="00BC1E67" w:rsidR="008677B1" w:rsidP="00061E6E" w:rsidRDefault="008677B1" w14:paraId="6D164078" w14:textId="77777777">
            <w:pPr>
              <w:spacing w:after="240"/>
              <w:rPr>
                <w:szCs w:val="18"/>
              </w:rPr>
            </w:pPr>
            <w:r w:rsidRPr="00BC1E67">
              <w:rPr>
                <w:szCs w:val="18"/>
              </w:rPr>
              <w:t>Voorstel</w:t>
            </w:r>
          </w:p>
        </w:tc>
        <w:tc>
          <w:tcPr>
            <w:tcW w:w="6529" w:type="dxa"/>
          </w:tcPr>
          <w:p w:rsidRPr="00BC1E67" w:rsidR="008677B1" w:rsidP="00061E6E" w:rsidRDefault="00C34482" w14:paraId="09B4228D" w14:textId="408F4BE2">
            <w:pPr>
              <w:spacing w:after="240"/>
              <w:rPr>
                <w:szCs w:val="18"/>
              </w:rPr>
            </w:pPr>
            <w:r w:rsidRPr="00BC1E67">
              <w:rPr>
                <w:szCs w:val="18"/>
              </w:rPr>
              <w:t>Voor kennisgeving aannemen</w:t>
            </w:r>
          </w:p>
        </w:tc>
      </w:tr>
      <w:tr w:rsidRPr="00BC1E67" w:rsidR="008677B1" w:rsidTr="00061E6E" w14:paraId="646F9C00"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8677B1" w:rsidP="00061E6E" w:rsidRDefault="008677B1" w14:paraId="730576A1" w14:textId="77777777">
            <w:pPr>
              <w:spacing w:after="240"/>
              <w:rPr>
                <w:color w:val="595959" w:themeColor="text1" w:themeTint="A6"/>
                <w:szCs w:val="18"/>
              </w:rPr>
            </w:pPr>
          </w:p>
        </w:tc>
        <w:tc>
          <w:tcPr>
            <w:tcW w:w="1035" w:type="dxa"/>
          </w:tcPr>
          <w:p w:rsidRPr="00BC1E67" w:rsidR="008677B1" w:rsidP="00061E6E" w:rsidRDefault="008677B1" w14:paraId="33A50609"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8677B1" w:rsidP="00061E6E" w:rsidRDefault="00C34482" w14:paraId="07D2B5CB" w14:textId="77777777">
            <w:pPr>
              <w:spacing w:after="240"/>
              <w:rPr>
                <w:color w:val="595959" w:themeColor="text1" w:themeTint="A6"/>
                <w:szCs w:val="18"/>
              </w:rPr>
            </w:pPr>
            <w:r w:rsidRPr="00BC1E67">
              <w:rPr>
                <w:color w:val="595959" w:themeColor="text1" w:themeTint="A6"/>
                <w:szCs w:val="18"/>
              </w:rPr>
              <w:t>Teneinde de integriteit van de financiële markten in de Unie te waarborgen en de bescherming van beleggers en hun vertrouwen in die markten te versterken, wordt in de Verordening Marktmisbruik een gemeenschappelijk regelgevend kader vastgelegd inzake handel met voorwetenschap, wederrechtelijke mededeling van voorwetenschap en marktmanipulatie, en zijn in deze verordening maatregelen opgenomen om dergelijk marktmisbruik te voorkomen.</w:t>
            </w:r>
          </w:p>
          <w:p w:rsidRPr="00BC1E67" w:rsidR="00C34482" w:rsidP="00061E6E" w:rsidRDefault="00C34482" w14:paraId="5CE5515F" w14:textId="061087E2">
            <w:pPr>
              <w:spacing w:after="240"/>
              <w:rPr>
                <w:color w:val="595959" w:themeColor="text1" w:themeTint="A6"/>
                <w:szCs w:val="18"/>
              </w:rPr>
            </w:pPr>
            <w:r w:rsidRPr="00BC1E67">
              <w:rPr>
                <w:color w:val="595959" w:themeColor="text1" w:themeTint="A6"/>
                <w:szCs w:val="18"/>
              </w:rPr>
              <w:t>In deze verordening had de Commissie de bevoegdheid om gedelegeerde handelingen vast te stellen voor een initiële termijn van vijf jaar, en worden de voorwaarden beschreven voor verlenging van die bevoegdheidsdelegatie. Deze termijn loopt af op 31 december 2024. Aan het einde van deze termijn moet de Commissie een verslag opstellen. Dit verslag beoogt daaraan tegemoet te komen.</w:t>
            </w:r>
          </w:p>
        </w:tc>
      </w:tr>
    </w:tbl>
    <w:p w:rsidRPr="00BC1E67" w:rsidR="00176174" w:rsidP="00176174" w:rsidRDefault="00176174" w14:paraId="7013F31D" w14:textId="77777777">
      <w:pPr>
        <w:tabs>
          <w:tab w:val="left" w:pos="2052"/>
        </w:tabs>
        <w:rPr>
          <w:szCs w:val="18"/>
        </w:rPr>
      </w:pPr>
      <w:r w:rsidRPr="00BC1E67">
        <w:rPr>
          <w:szCs w:val="18"/>
        </w:rPr>
        <w:tab/>
      </w: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176174" w:rsidTr="00D4630B" w14:paraId="15E334D7"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176174" w:rsidP="00D4630B" w:rsidRDefault="00176174" w14:paraId="4862995E" w14:textId="77777777">
            <w:pPr>
              <w:pStyle w:val="Lijstalinea"/>
              <w:numPr>
                <w:ilvl w:val="0"/>
                <w:numId w:val="10"/>
              </w:numPr>
              <w:spacing w:after="240"/>
              <w:ind w:left="312"/>
              <w:rPr>
                <w:color w:val="595959" w:themeColor="text1" w:themeTint="A6"/>
                <w:szCs w:val="18"/>
              </w:rPr>
            </w:pPr>
          </w:p>
        </w:tc>
        <w:tc>
          <w:tcPr>
            <w:tcW w:w="1035" w:type="dxa"/>
          </w:tcPr>
          <w:p w:rsidRPr="00BC1E67" w:rsidR="00176174" w:rsidP="00D4630B" w:rsidRDefault="00176174" w14:paraId="09A2927A"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176174" w:rsidP="00D4630B" w:rsidRDefault="009273FA" w14:paraId="3CDA184E" w14:textId="49AD0F27">
            <w:pPr>
              <w:spacing w:after="240"/>
              <w:rPr>
                <w:b/>
                <w:color w:val="595959" w:themeColor="text1" w:themeTint="A6"/>
                <w:szCs w:val="18"/>
              </w:rPr>
            </w:pPr>
            <w:r w:rsidRPr="00BC1E67">
              <w:rPr>
                <w:color w:val="000000"/>
                <w:szCs w:val="18"/>
                <w:lang w:eastAsia="nl-NL"/>
              </w:rPr>
              <w:t xml:space="preserve">Voorstel voor een UITVOERINGSBESLUIT VAN DE RAAD tot wijziging van Uitvoeringsbesluit (EU) (ST 10686/21 INIT; ST 10686/21 ADD 1) van 28 juli 2021 betreffende de goedkeuring van de beoordeling van het herstel- en veerkrachtplan voor Cyprus </w:t>
            </w:r>
            <w:hyperlink w:history="1" r:id="rId26">
              <w:r w:rsidRPr="00BC1E67">
                <w:rPr>
                  <w:rStyle w:val="Hyperlink"/>
                  <w:szCs w:val="18"/>
                  <w:lang w:eastAsia="nl-NL"/>
                </w:rPr>
                <w:t>COM(2024)288</w:t>
              </w:r>
            </w:hyperlink>
          </w:p>
        </w:tc>
      </w:tr>
      <w:tr w:rsidRPr="00BC1E67" w:rsidR="00176174" w:rsidTr="00D4630B" w14:paraId="66C7B0C1"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486EE10A" w14:textId="77777777">
            <w:pPr>
              <w:spacing w:after="240"/>
              <w:rPr>
                <w:szCs w:val="18"/>
              </w:rPr>
            </w:pPr>
          </w:p>
        </w:tc>
        <w:tc>
          <w:tcPr>
            <w:tcW w:w="1035" w:type="dxa"/>
          </w:tcPr>
          <w:p w:rsidRPr="00BC1E67" w:rsidR="00176174" w:rsidP="00D4630B" w:rsidRDefault="00176174" w14:paraId="60BC1AAB" w14:textId="77777777">
            <w:pPr>
              <w:spacing w:after="240"/>
              <w:rPr>
                <w:szCs w:val="18"/>
              </w:rPr>
            </w:pPr>
            <w:r w:rsidRPr="00BC1E67">
              <w:rPr>
                <w:szCs w:val="18"/>
              </w:rPr>
              <w:t>Voorstel</w:t>
            </w:r>
          </w:p>
        </w:tc>
        <w:tc>
          <w:tcPr>
            <w:tcW w:w="6529" w:type="dxa"/>
          </w:tcPr>
          <w:p w:rsidRPr="00BC1E67" w:rsidR="00176174" w:rsidP="00D4630B" w:rsidRDefault="00C34482" w14:paraId="2B57EA63" w14:textId="25BDE0CA">
            <w:pPr>
              <w:spacing w:after="240"/>
              <w:rPr>
                <w:szCs w:val="18"/>
              </w:rPr>
            </w:pPr>
            <w:r w:rsidRPr="00BC1E67">
              <w:rPr>
                <w:szCs w:val="18"/>
              </w:rPr>
              <w:t>Reeds betrokken bij het schriftelijk overleg over de Eurogroep/Ecofinraad van 9 juli 2024.</w:t>
            </w:r>
          </w:p>
        </w:tc>
      </w:tr>
      <w:tr w:rsidRPr="00BC1E67" w:rsidR="00176174" w:rsidTr="00D4630B" w14:paraId="75DA92B5"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15D4BF52" w14:textId="77777777">
            <w:pPr>
              <w:spacing w:after="240"/>
              <w:rPr>
                <w:color w:val="595959" w:themeColor="text1" w:themeTint="A6"/>
                <w:szCs w:val="18"/>
              </w:rPr>
            </w:pPr>
          </w:p>
        </w:tc>
        <w:tc>
          <w:tcPr>
            <w:tcW w:w="1035" w:type="dxa"/>
          </w:tcPr>
          <w:p w:rsidRPr="00BC1E67" w:rsidR="00176174" w:rsidP="00D4630B" w:rsidRDefault="00176174" w14:paraId="1DBC7326"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176174" w:rsidP="00D4630B" w:rsidRDefault="00C34482" w14:paraId="619A41C8" w14:textId="755BB731">
            <w:pPr>
              <w:spacing w:after="240"/>
              <w:rPr>
                <w:color w:val="595959" w:themeColor="text1" w:themeTint="A6"/>
                <w:szCs w:val="18"/>
              </w:rPr>
            </w:pPr>
            <w:r w:rsidRPr="00BC1E67">
              <w:rPr>
                <w:color w:val="595959" w:themeColor="text1" w:themeTint="A6"/>
                <w:szCs w:val="18"/>
              </w:rPr>
              <w:t>Dit betreft het uitvoeringsbesluit van de Raad over de goedkeuring van het aangepaste Cyprische Herstel- en Veerkrachtplan.</w:t>
            </w:r>
          </w:p>
        </w:tc>
      </w:tr>
    </w:tbl>
    <w:p w:rsidRPr="00BC1E67" w:rsidR="00176174" w:rsidP="00176174" w:rsidRDefault="00176174" w14:paraId="6E13C684"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176174" w:rsidTr="00D4630B" w14:paraId="1F866CB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176174" w:rsidP="00D4630B" w:rsidRDefault="00176174" w14:paraId="3B9858B8" w14:textId="77777777">
            <w:pPr>
              <w:pStyle w:val="Lijstalinea"/>
              <w:numPr>
                <w:ilvl w:val="0"/>
                <w:numId w:val="10"/>
              </w:numPr>
              <w:spacing w:after="240"/>
              <w:ind w:left="312"/>
              <w:rPr>
                <w:color w:val="595959" w:themeColor="text1" w:themeTint="A6"/>
                <w:szCs w:val="18"/>
              </w:rPr>
            </w:pPr>
          </w:p>
        </w:tc>
        <w:tc>
          <w:tcPr>
            <w:tcW w:w="1035" w:type="dxa"/>
          </w:tcPr>
          <w:p w:rsidRPr="00BC1E67" w:rsidR="00176174" w:rsidP="00D4630B" w:rsidRDefault="00176174" w14:paraId="5E9063B5"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D211A5" w:rsidP="00D211A5" w:rsidRDefault="00D211A5" w14:paraId="1096EEFE" w14:textId="77777777">
            <w:pPr>
              <w:shd w:val="clear" w:color="auto" w:fill="FFFFFF"/>
              <w:spacing w:after="75"/>
              <w:rPr>
                <w:szCs w:val="18"/>
                <w:lang w:eastAsia="nl-NL"/>
              </w:rPr>
            </w:pPr>
            <w:r w:rsidRPr="00BC1E67">
              <w:rPr>
                <w:color w:val="000000"/>
                <w:szCs w:val="18"/>
                <w:lang w:eastAsia="nl-NL"/>
              </w:rPr>
              <w:t>Voorstel voor een UITVOERINGSBESLUIT VAN DE RAAD tot wijziging van Uitvoeringsbesluit (EU) (ST 12524/21 INIT; ST 12524/21 ADD 1) van 29 oktober 2021 betreffende de goedkeuring van de beoordeling van het herstel- en veerkrachtplan voor Finland</w:t>
            </w:r>
          </w:p>
          <w:p w:rsidRPr="00BC1E67" w:rsidR="00176174" w:rsidP="00D211A5" w:rsidRDefault="00000000" w14:paraId="644E00ED" w14:textId="095B3C00">
            <w:pPr>
              <w:spacing w:after="240"/>
              <w:rPr>
                <w:b/>
                <w:color w:val="595959" w:themeColor="text1" w:themeTint="A6"/>
                <w:szCs w:val="18"/>
              </w:rPr>
            </w:pPr>
            <w:hyperlink w:history="1" r:id="rId27">
              <w:r w:rsidRPr="00BC1E67" w:rsidR="00D211A5">
                <w:rPr>
                  <w:rStyle w:val="Hyperlink"/>
                  <w:szCs w:val="18"/>
                  <w:lang w:eastAsia="nl-NL"/>
                </w:rPr>
                <w:t>COM(2024)263</w:t>
              </w:r>
            </w:hyperlink>
          </w:p>
        </w:tc>
      </w:tr>
      <w:tr w:rsidRPr="00BC1E67" w:rsidR="00176174" w:rsidTr="00D4630B" w14:paraId="3C986255"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0304D863" w14:textId="77777777">
            <w:pPr>
              <w:spacing w:after="240"/>
              <w:rPr>
                <w:szCs w:val="18"/>
              </w:rPr>
            </w:pPr>
          </w:p>
        </w:tc>
        <w:tc>
          <w:tcPr>
            <w:tcW w:w="1035" w:type="dxa"/>
          </w:tcPr>
          <w:p w:rsidRPr="00BC1E67" w:rsidR="00176174" w:rsidP="00D4630B" w:rsidRDefault="00176174" w14:paraId="6BEDFAC5" w14:textId="77777777">
            <w:pPr>
              <w:spacing w:after="240"/>
              <w:rPr>
                <w:szCs w:val="18"/>
              </w:rPr>
            </w:pPr>
            <w:r w:rsidRPr="00BC1E67">
              <w:rPr>
                <w:szCs w:val="18"/>
              </w:rPr>
              <w:t>Voorstel</w:t>
            </w:r>
          </w:p>
        </w:tc>
        <w:tc>
          <w:tcPr>
            <w:tcW w:w="6529" w:type="dxa"/>
          </w:tcPr>
          <w:p w:rsidRPr="00BC1E67" w:rsidR="00176174" w:rsidP="00D4630B" w:rsidRDefault="00C34482" w14:paraId="23BA493D" w14:textId="00656A9F">
            <w:pPr>
              <w:spacing w:after="240"/>
              <w:rPr>
                <w:szCs w:val="18"/>
              </w:rPr>
            </w:pPr>
            <w:r w:rsidRPr="00BC1E67">
              <w:rPr>
                <w:szCs w:val="18"/>
              </w:rPr>
              <w:t>Reeds betrokken bij het schriftelijk overleg over de Eurogroep/Ecofinraad van 9 juli 2024.</w:t>
            </w:r>
          </w:p>
        </w:tc>
      </w:tr>
      <w:tr w:rsidRPr="00BC1E67" w:rsidR="00176174" w:rsidTr="008A502B" w14:paraId="0B9D74D2" w14:textId="77777777">
        <w:tc>
          <w:tcPr>
            <w:tcW w:w="421" w:type="dxa"/>
            <w:vMerge/>
            <w:tcBorders>
              <w:top w:val="nil"/>
              <w:bottom w:val="nil"/>
            </w:tcBorders>
            <w:shd w:val="clear" w:color="auto" w:fill="F2F2F2" w:themeFill="background1" w:themeFillShade="F2"/>
          </w:tcPr>
          <w:p w:rsidRPr="00BC1E67" w:rsidR="00176174" w:rsidP="00D4630B" w:rsidRDefault="00176174" w14:paraId="3D01210F" w14:textId="77777777">
            <w:pPr>
              <w:spacing w:after="240"/>
              <w:rPr>
                <w:color w:val="595959" w:themeColor="text1" w:themeTint="A6"/>
                <w:szCs w:val="18"/>
              </w:rPr>
            </w:pPr>
          </w:p>
        </w:tc>
        <w:tc>
          <w:tcPr>
            <w:tcW w:w="1035" w:type="dxa"/>
            <w:tcBorders>
              <w:bottom w:val="nil"/>
            </w:tcBorders>
          </w:tcPr>
          <w:p w:rsidRPr="00BC1E67" w:rsidR="00176174" w:rsidP="00D4630B" w:rsidRDefault="00176174" w14:paraId="6F5E0F8B" w14:textId="77777777">
            <w:pPr>
              <w:spacing w:after="240"/>
              <w:rPr>
                <w:color w:val="595959" w:themeColor="text1" w:themeTint="A6"/>
                <w:szCs w:val="18"/>
              </w:rPr>
            </w:pPr>
            <w:r w:rsidRPr="00BC1E67">
              <w:rPr>
                <w:color w:val="595959" w:themeColor="text1" w:themeTint="A6"/>
                <w:szCs w:val="18"/>
              </w:rPr>
              <w:t>Noot</w:t>
            </w:r>
          </w:p>
        </w:tc>
        <w:tc>
          <w:tcPr>
            <w:tcW w:w="6529" w:type="dxa"/>
            <w:tcBorders>
              <w:bottom w:val="nil"/>
            </w:tcBorders>
          </w:tcPr>
          <w:p w:rsidRPr="00BC1E67" w:rsidR="00176174" w:rsidP="00D4630B" w:rsidRDefault="00C34482" w14:paraId="06873233" w14:textId="00E0A24D">
            <w:pPr>
              <w:spacing w:after="240"/>
              <w:rPr>
                <w:color w:val="595959" w:themeColor="text1" w:themeTint="A6"/>
                <w:szCs w:val="18"/>
              </w:rPr>
            </w:pPr>
            <w:r w:rsidRPr="00BC1E67">
              <w:rPr>
                <w:color w:val="595959" w:themeColor="text1" w:themeTint="A6"/>
                <w:szCs w:val="18"/>
              </w:rPr>
              <w:t>Dit betreft het uitvoeringsbesluit van de Raad over de goedkeuring van het aangepaste Finse Herstel- en Veerkrachtplan.</w:t>
            </w:r>
          </w:p>
        </w:tc>
      </w:tr>
    </w:tbl>
    <w:p w:rsidRPr="00BC1E67" w:rsidR="00176174" w:rsidP="00176174" w:rsidRDefault="00176174" w14:paraId="2B6E69C4"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176174" w:rsidTr="00D4630B" w14:paraId="36D5B36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176174" w:rsidP="00D4630B" w:rsidRDefault="00176174" w14:paraId="4F0E43DE" w14:textId="77777777">
            <w:pPr>
              <w:pStyle w:val="Lijstalinea"/>
              <w:numPr>
                <w:ilvl w:val="0"/>
                <w:numId w:val="10"/>
              </w:numPr>
              <w:spacing w:after="240"/>
              <w:ind w:left="312"/>
              <w:rPr>
                <w:color w:val="595959" w:themeColor="text1" w:themeTint="A6"/>
                <w:szCs w:val="18"/>
              </w:rPr>
            </w:pPr>
          </w:p>
        </w:tc>
        <w:tc>
          <w:tcPr>
            <w:tcW w:w="1035" w:type="dxa"/>
          </w:tcPr>
          <w:p w:rsidRPr="00BC1E67" w:rsidR="00176174" w:rsidP="00D4630B" w:rsidRDefault="00176174" w14:paraId="714E76AF"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176174" w:rsidP="00D4630B" w:rsidRDefault="008A502B" w14:paraId="6A2C0C03" w14:textId="10C3729E">
            <w:pPr>
              <w:spacing w:after="240"/>
              <w:rPr>
                <w:b/>
                <w:color w:val="595959" w:themeColor="text1" w:themeTint="A6"/>
                <w:szCs w:val="18"/>
              </w:rPr>
            </w:pPr>
            <w:r w:rsidRPr="00BC1E67">
              <w:rPr>
                <w:color w:val="000000"/>
                <w:szCs w:val="18"/>
                <w:lang w:eastAsia="nl-NL"/>
              </w:rPr>
              <w:t xml:space="preserve">VERSLAG VAN DE COMMISSIE AAN HET EUROPEES PARLEMENT EN DE RAAD Achttiende jaarverslag 2023 over de uitvoering van de bijstand van de Unie uit hoofde van Verordening (EG) nr. 389/2006 van de Raad van 27 februari 2006 tot instelling van een instrument voor financiële steun ter bevordering van de economische ontwikkeling van de Turks-Cypriotische gemeenschap </w:t>
            </w:r>
            <w:hyperlink w:history="1" r:id="rId28">
              <w:r w:rsidRPr="00BC1E67">
                <w:rPr>
                  <w:rStyle w:val="Hyperlink"/>
                  <w:szCs w:val="18"/>
                  <w:lang w:eastAsia="nl-NL"/>
                </w:rPr>
                <w:t>COM(2024)268</w:t>
              </w:r>
            </w:hyperlink>
          </w:p>
        </w:tc>
      </w:tr>
      <w:tr w:rsidRPr="00BC1E67" w:rsidR="00176174" w:rsidTr="00D4630B" w14:paraId="6070C2A9"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3F50F207" w14:textId="77777777">
            <w:pPr>
              <w:spacing w:after="240"/>
              <w:rPr>
                <w:szCs w:val="18"/>
              </w:rPr>
            </w:pPr>
          </w:p>
        </w:tc>
        <w:tc>
          <w:tcPr>
            <w:tcW w:w="1035" w:type="dxa"/>
          </w:tcPr>
          <w:p w:rsidRPr="00BC1E67" w:rsidR="00176174" w:rsidP="00D4630B" w:rsidRDefault="00176174" w14:paraId="1F61CE70" w14:textId="77777777">
            <w:pPr>
              <w:spacing w:after="240"/>
              <w:rPr>
                <w:szCs w:val="18"/>
              </w:rPr>
            </w:pPr>
            <w:r w:rsidRPr="00BC1E67">
              <w:rPr>
                <w:szCs w:val="18"/>
              </w:rPr>
              <w:t>Voorstel</w:t>
            </w:r>
          </w:p>
        </w:tc>
        <w:tc>
          <w:tcPr>
            <w:tcW w:w="6529" w:type="dxa"/>
          </w:tcPr>
          <w:p w:rsidRPr="00BC1E67" w:rsidR="00176174" w:rsidP="00D4630B" w:rsidRDefault="002F510C" w14:paraId="063954A4" w14:textId="610A91E2">
            <w:pPr>
              <w:spacing w:after="240"/>
              <w:rPr>
                <w:szCs w:val="18"/>
              </w:rPr>
            </w:pPr>
            <w:r w:rsidRPr="00BC1E67">
              <w:rPr>
                <w:szCs w:val="18"/>
              </w:rPr>
              <w:t>Voor kennisgeving aannemen</w:t>
            </w:r>
          </w:p>
        </w:tc>
      </w:tr>
      <w:tr w:rsidRPr="00BC1E67" w:rsidR="00176174" w:rsidTr="00D4630B" w14:paraId="107E7DCE"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60E8B83E" w14:textId="77777777">
            <w:pPr>
              <w:spacing w:after="240"/>
              <w:rPr>
                <w:color w:val="595959" w:themeColor="text1" w:themeTint="A6"/>
                <w:szCs w:val="18"/>
              </w:rPr>
            </w:pPr>
          </w:p>
        </w:tc>
        <w:tc>
          <w:tcPr>
            <w:tcW w:w="1035" w:type="dxa"/>
          </w:tcPr>
          <w:p w:rsidRPr="00BC1E67" w:rsidR="00176174" w:rsidP="00D4630B" w:rsidRDefault="00176174" w14:paraId="5AF0FD1C"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176174" w:rsidP="00D4630B" w:rsidRDefault="002F510C" w14:paraId="6A2B0C29" w14:textId="5A59E407">
            <w:pPr>
              <w:spacing w:after="240"/>
              <w:rPr>
                <w:color w:val="595959" w:themeColor="text1" w:themeTint="A6"/>
                <w:szCs w:val="18"/>
              </w:rPr>
            </w:pPr>
            <w:r w:rsidRPr="00BC1E67">
              <w:rPr>
                <w:color w:val="595959" w:themeColor="text1" w:themeTint="A6"/>
                <w:szCs w:val="18"/>
              </w:rPr>
              <w:t>Genoemde verordening vormt de basis voor EU-steunverlening aan de Turks-Cypriotische gemeenschap. Er wordt jaarlijks verslag over uitgebracht bij het Europees Parlement en de Raad.</w:t>
            </w:r>
            <w:r w:rsidRPr="00BC1E67">
              <w:rPr>
                <w:szCs w:val="18"/>
              </w:rPr>
              <w:t xml:space="preserve"> </w:t>
            </w:r>
            <w:r w:rsidRPr="00BC1E67">
              <w:rPr>
                <w:color w:val="595959" w:themeColor="text1" w:themeTint="A6"/>
                <w:szCs w:val="18"/>
              </w:rPr>
              <w:t>Het bedrag dat in oktober 2023 was vastgelegd voor het jaarlijks actieprogramma 2023, bedroeg 31,7 miljoen EUR.</w:t>
            </w:r>
          </w:p>
        </w:tc>
      </w:tr>
    </w:tbl>
    <w:p w:rsidRPr="00BC1E67" w:rsidR="00176174" w:rsidP="00176174" w:rsidRDefault="00176174" w14:paraId="7B5A3773"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176174" w:rsidTr="00D4630B" w14:paraId="6780CCC2"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176174" w:rsidP="00D4630B" w:rsidRDefault="00176174" w14:paraId="7FFE802A" w14:textId="77777777">
            <w:pPr>
              <w:pStyle w:val="Lijstalinea"/>
              <w:numPr>
                <w:ilvl w:val="0"/>
                <w:numId w:val="10"/>
              </w:numPr>
              <w:spacing w:after="240"/>
              <w:ind w:left="312"/>
              <w:rPr>
                <w:color w:val="595959" w:themeColor="text1" w:themeTint="A6"/>
                <w:szCs w:val="18"/>
              </w:rPr>
            </w:pPr>
          </w:p>
        </w:tc>
        <w:tc>
          <w:tcPr>
            <w:tcW w:w="1035" w:type="dxa"/>
          </w:tcPr>
          <w:p w:rsidRPr="00BC1E67" w:rsidR="00176174" w:rsidP="00D4630B" w:rsidRDefault="00176174" w14:paraId="6187BEDF"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176174" w:rsidP="00D4630B" w:rsidRDefault="008A502B" w14:paraId="2FB25558" w14:textId="39A46D49">
            <w:pPr>
              <w:spacing w:after="240"/>
              <w:rPr>
                <w:b/>
                <w:color w:val="595959" w:themeColor="text1" w:themeTint="A6"/>
                <w:szCs w:val="18"/>
              </w:rPr>
            </w:pPr>
            <w:r w:rsidRPr="00BC1E67">
              <w:rPr>
                <w:color w:val="000000"/>
                <w:szCs w:val="18"/>
                <w:lang w:eastAsia="nl-NL"/>
              </w:rPr>
              <w:t xml:space="preserve">Voorstel voor een UITVOERINGSBESLUIT VAN DE RAAD tot wijziging van Uitvoeringsbesluit (EU) (ST 10152/2021; ST10152/2021 ADD1) van 13 juli 2021 betreffende de goedkeuring van de beoordeling van het herstel- en veerkrachtplan voor Griekenland </w:t>
            </w:r>
            <w:hyperlink w:history="1" r:id="rId29">
              <w:r w:rsidRPr="00BC1E67">
                <w:rPr>
                  <w:rStyle w:val="Hyperlink"/>
                  <w:szCs w:val="18"/>
                  <w:lang w:eastAsia="nl-NL"/>
                </w:rPr>
                <w:t>COM(2024)283</w:t>
              </w:r>
            </w:hyperlink>
          </w:p>
        </w:tc>
      </w:tr>
      <w:tr w:rsidRPr="00BC1E67" w:rsidR="00176174" w:rsidTr="00D4630B" w14:paraId="467BEFBA"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533C2CBB" w14:textId="77777777">
            <w:pPr>
              <w:spacing w:after="240"/>
              <w:rPr>
                <w:szCs w:val="18"/>
              </w:rPr>
            </w:pPr>
          </w:p>
        </w:tc>
        <w:tc>
          <w:tcPr>
            <w:tcW w:w="1035" w:type="dxa"/>
          </w:tcPr>
          <w:p w:rsidRPr="00BC1E67" w:rsidR="00176174" w:rsidP="00D4630B" w:rsidRDefault="00176174" w14:paraId="468CDE3F" w14:textId="77777777">
            <w:pPr>
              <w:spacing w:after="240"/>
              <w:rPr>
                <w:szCs w:val="18"/>
              </w:rPr>
            </w:pPr>
            <w:r w:rsidRPr="00BC1E67">
              <w:rPr>
                <w:szCs w:val="18"/>
              </w:rPr>
              <w:t>Voorstel</w:t>
            </w:r>
          </w:p>
        </w:tc>
        <w:tc>
          <w:tcPr>
            <w:tcW w:w="6529" w:type="dxa"/>
          </w:tcPr>
          <w:p w:rsidRPr="00BC1E67" w:rsidR="00176174" w:rsidP="00D4630B" w:rsidRDefault="007D4679" w14:paraId="2536E856" w14:textId="3657275F">
            <w:pPr>
              <w:spacing w:after="240"/>
              <w:rPr>
                <w:szCs w:val="18"/>
              </w:rPr>
            </w:pPr>
            <w:r w:rsidRPr="00BC1E67">
              <w:rPr>
                <w:szCs w:val="18"/>
              </w:rPr>
              <w:t>Reeds betrokken bij het schriftelijk overleg over de Eurogroep/Ecofinraad van 9 juli 2024.</w:t>
            </w:r>
          </w:p>
        </w:tc>
      </w:tr>
      <w:tr w:rsidRPr="00BC1E67" w:rsidR="00176174" w:rsidTr="00D4630B" w14:paraId="55B023AD"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1BA88D29" w14:textId="77777777">
            <w:pPr>
              <w:spacing w:after="240"/>
              <w:rPr>
                <w:color w:val="595959" w:themeColor="text1" w:themeTint="A6"/>
                <w:szCs w:val="18"/>
              </w:rPr>
            </w:pPr>
          </w:p>
        </w:tc>
        <w:tc>
          <w:tcPr>
            <w:tcW w:w="1035" w:type="dxa"/>
          </w:tcPr>
          <w:p w:rsidRPr="00BC1E67" w:rsidR="00176174" w:rsidP="00D4630B" w:rsidRDefault="00176174" w14:paraId="2C3C2886"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176174" w:rsidP="00D4630B" w:rsidRDefault="007D4679" w14:paraId="1AEB7339" w14:textId="2792FF40">
            <w:pPr>
              <w:spacing w:after="240"/>
              <w:rPr>
                <w:color w:val="595959" w:themeColor="text1" w:themeTint="A6"/>
                <w:szCs w:val="18"/>
              </w:rPr>
            </w:pPr>
            <w:r w:rsidRPr="00BC1E67">
              <w:rPr>
                <w:color w:val="595959" w:themeColor="text1" w:themeTint="A6"/>
                <w:szCs w:val="18"/>
              </w:rPr>
              <w:t>Dit betreft het uitvoeringsbesluit van de Raad over de goedkeuring van het aangepaste Griekse Herstel- en Veerkrachtplan.</w:t>
            </w:r>
          </w:p>
        </w:tc>
      </w:tr>
    </w:tbl>
    <w:p w:rsidRPr="00BC1E67" w:rsidR="00176174" w:rsidP="00176174" w:rsidRDefault="00176174" w14:paraId="09042B51"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176174" w:rsidTr="00D4630B" w14:paraId="61A238B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176174" w:rsidP="00D4630B" w:rsidRDefault="00176174" w14:paraId="3EBA900B" w14:textId="77777777">
            <w:pPr>
              <w:pStyle w:val="Lijstalinea"/>
              <w:numPr>
                <w:ilvl w:val="0"/>
                <w:numId w:val="10"/>
              </w:numPr>
              <w:spacing w:after="240"/>
              <w:ind w:left="312"/>
              <w:rPr>
                <w:color w:val="595959" w:themeColor="text1" w:themeTint="A6"/>
                <w:szCs w:val="18"/>
              </w:rPr>
            </w:pPr>
          </w:p>
        </w:tc>
        <w:tc>
          <w:tcPr>
            <w:tcW w:w="1035" w:type="dxa"/>
          </w:tcPr>
          <w:p w:rsidRPr="00BC1E67" w:rsidR="00176174" w:rsidP="00D4630B" w:rsidRDefault="00176174" w14:paraId="1634DA41"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3575FA" w:rsidP="003575FA" w:rsidRDefault="003575FA" w14:paraId="31B7FBEC" w14:textId="77777777">
            <w:pPr>
              <w:shd w:val="clear" w:color="auto" w:fill="FFFFFF"/>
              <w:spacing w:after="75"/>
              <w:rPr>
                <w:szCs w:val="18"/>
                <w:lang w:eastAsia="nl-NL"/>
              </w:rPr>
            </w:pPr>
            <w:r w:rsidRPr="00BC1E67">
              <w:rPr>
                <w:color w:val="000000"/>
                <w:szCs w:val="18"/>
                <w:lang w:eastAsia="nl-NL"/>
              </w:rPr>
              <w:t>Voorstel voor een UITVOERINGSBESLUIT VAN DE RAAD tot wijziging van Uitvoeringsbesluit (EU) (ST 9728/22 INIT; ST 9728/22 ADD 1) van 17 juni 2022 betreffende de goedkeuring van de beoordeling van het herstel- en veerkrachtplan voor Polen</w:t>
            </w:r>
          </w:p>
          <w:p w:rsidRPr="00BC1E67" w:rsidR="00176174" w:rsidP="003575FA" w:rsidRDefault="00000000" w14:paraId="04A5A471" w14:textId="7A4868AC">
            <w:pPr>
              <w:spacing w:after="240"/>
              <w:rPr>
                <w:b/>
                <w:color w:val="595959" w:themeColor="text1" w:themeTint="A6"/>
                <w:szCs w:val="18"/>
              </w:rPr>
            </w:pPr>
            <w:hyperlink w:history="1" r:id="rId30">
              <w:r w:rsidRPr="00BC1E67" w:rsidR="003575FA">
                <w:rPr>
                  <w:rStyle w:val="Hyperlink"/>
                  <w:szCs w:val="18"/>
                  <w:lang w:eastAsia="nl-NL"/>
                </w:rPr>
                <w:t>COM(2024)284</w:t>
              </w:r>
            </w:hyperlink>
          </w:p>
        </w:tc>
      </w:tr>
      <w:tr w:rsidRPr="00BC1E67" w:rsidR="00176174" w:rsidTr="00D4630B" w14:paraId="164B899E"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276606F7" w14:textId="77777777">
            <w:pPr>
              <w:spacing w:after="240"/>
              <w:rPr>
                <w:szCs w:val="18"/>
              </w:rPr>
            </w:pPr>
          </w:p>
        </w:tc>
        <w:tc>
          <w:tcPr>
            <w:tcW w:w="1035" w:type="dxa"/>
          </w:tcPr>
          <w:p w:rsidRPr="00BC1E67" w:rsidR="00176174" w:rsidP="00D4630B" w:rsidRDefault="00176174" w14:paraId="102606B4" w14:textId="77777777">
            <w:pPr>
              <w:spacing w:after="240"/>
              <w:rPr>
                <w:szCs w:val="18"/>
              </w:rPr>
            </w:pPr>
            <w:r w:rsidRPr="00BC1E67">
              <w:rPr>
                <w:szCs w:val="18"/>
              </w:rPr>
              <w:t>Voorstel</w:t>
            </w:r>
          </w:p>
        </w:tc>
        <w:tc>
          <w:tcPr>
            <w:tcW w:w="6529" w:type="dxa"/>
          </w:tcPr>
          <w:p w:rsidRPr="00BC1E67" w:rsidR="00176174" w:rsidP="00D4630B" w:rsidRDefault="007D4679" w14:paraId="1DDBDA1F" w14:textId="4404E591">
            <w:pPr>
              <w:spacing w:after="240"/>
              <w:rPr>
                <w:szCs w:val="18"/>
              </w:rPr>
            </w:pPr>
            <w:r w:rsidRPr="00BC1E67">
              <w:rPr>
                <w:szCs w:val="18"/>
              </w:rPr>
              <w:t>Reeds betrokken bij het schriftelijk overleg over de Eurogroep/Ecofinraad van 9 juli 2024.</w:t>
            </w:r>
          </w:p>
        </w:tc>
      </w:tr>
      <w:tr w:rsidRPr="00BC1E67" w:rsidR="00176174" w:rsidTr="00D4630B" w14:paraId="438BBF35"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6AEB2845" w14:textId="77777777">
            <w:pPr>
              <w:spacing w:after="240"/>
              <w:rPr>
                <w:color w:val="595959" w:themeColor="text1" w:themeTint="A6"/>
                <w:szCs w:val="18"/>
              </w:rPr>
            </w:pPr>
          </w:p>
        </w:tc>
        <w:tc>
          <w:tcPr>
            <w:tcW w:w="1035" w:type="dxa"/>
          </w:tcPr>
          <w:p w:rsidRPr="00BC1E67" w:rsidR="00176174" w:rsidP="00D4630B" w:rsidRDefault="00176174" w14:paraId="5A74CFE8"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176174" w:rsidP="00D4630B" w:rsidRDefault="007D4679" w14:paraId="4E58E666" w14:textId="3386C356">
            <w:pPr>
              <w:spacing w:after="240"/>
              <w:rPr>
                <w:color w:val="595959" w:themeColor="text1" w:themeTint="A6"/>
                <w:szCs w:val="18"/>
              </w:rPr>
            </w:pPr>
            <w:r w:rsidRPr="00BC1E67">
              <w:rPr>
                <w:color w:val="595959" w:themeColor="text1" w:themeTint="A6"/>
                <w:szCs w:val="18"/>
              </w:rPr>
              <w:t>Dit betreft het uitvoeringsbesluit van de Raad over de goedkeuring van het aangepaste Poolse Herstel- en Veerkrachtplan.</w:t>
            </w:r>
          </w:p>
        </w:tc>
      </w:tr>
    </w:tbl>
    <w:p w:rsidRPr="00BC1E67" w:rsidR="00176174" w:rsidP="00176174" w:rsidRDefault="00176174" w14:paraId="2BDFAB47"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176174" w:rsidTr="00D4630B" w14:paraId="7BA5BC2F"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176174" w:rsidP="00D4630B" w:rsidRDefault="00176174" w14:paraId="48C96ECD" w14:textId="77777777">
            <w:pPr>
              <w:pStyle w:val="Lijstalinea"/>
              <w:numPr>
                <w:ilvl w:val="0"/>
                <w:numId w:val="10"/>
              </w:numPr>
              <w:spacing w:after="240"/>
              <w:ind w:left="312"/>
              <w:rPr>
                <w:color w:val="595959" w:themeColor="text1" w:themeTint="A6"/>
                <w:szCs w:val="18"/>
              </w:rPr>
            </w:pPr>
          </w:p>
        </w:tc>
        <w:tc>
          <w:tcPr>
            <w:tcW w:w="1035" w:type="dxa"/>
          </w:tcPr>
          <w:p w:rsidRPr="00BC1E67" w:rsidR="00176174" w:rsidP="00D4630B" w:rsidRDefault="00176174" w14:paraId="72AC8C21"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176174" w:rsidP="00D4630B" w:rsidRDefault="007659CE" w14:paraId="6088D023" w14:textId="4EE510D7">
            <w:pPr>
              <w:spacing w:after="240"/>
              <w:rPr>
                <w:b/>
                <w:color w:val="595959" w:themeColor="text1" w:themeTint="A6"/>
                <w:szCs w:val="18"/>
              </w:rPr>
            </w:pPr>
            <w:r w:rsidRPr="00BC1E67">
              <w:rPr>
                <w:color w:val="000000"/>
                <w:szCs w:val="18"/>
                <w:lang w:eastAsia="nl-NL"/>
              </w:rPr>
              <w:t xml:space="preserve">Voorstel voor een BESLUIT VAN DE RAAD betreffende het bestaan van een buitensporig tekort in Frankrijk </w:t>
            </w:r>
            <w:hyperlink w:history="1" r:id="rId31">
              <w:r w:rsidRPr="00BC1E67">
                <w:rPr>
                  <w:rStyle w:val="Hyperlink"/>
                  <w:szCs w:val="18"/>
                  <w:lang w:eastAsia="nl-NL"/>
                </w:rPr>
                <w:t>COM(2024)511</w:t>
              </w:r>
            </w:hyperlink>
          </w:p>
        </w:tc>
      </w:tr>
      <w:tr w:rsidRPr="00BC1E67" w:rsidR="00176174" w:rsidTr="00D4630B" w14:paraId="2AC0774E"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20313F60" w14:textId="77777777">
            <w:pPr>
              <w:spacing w:after="240"/>
              <w:rPr>
                <w:szCs w:val="18"/>
              </w:rPr>
            </w:pPr>
          </w:p>
        </w:tc>
        <w:tc>
          <w:tcPr>
            <w:tcW w:w="1035" w:type="dxa"/>
          </w:tcPr>
          <w:p w:rsidRPr="00BC1E67" w:rsidR="00176174" w:rsidP="00D4630B" w:rsidRDefault="00176174" w14:paraId="1C5919B9" w14:textId="77777777">
            <w:pPr>
              <w:spacing w:after="240"/>
              <w:rPr>
                <w:szCs w:val="18"/>
              </w:rPr>
            </w:pPr>
            <w:r w:rsidRPr="00BC1E67">
              <w:rPr>
                <w:szCs w:val="18"/>
              </w:rPr>
              <w:t>Voorstel</w:t>
            </w:r>
          </w:p>
        </w:tc>
        <w:tc>
          <w:tcPr>
            <w:tcW w:w="6529" w:type="dxa"/>
          </w:tcPr>
          <w:p w:rsidRPr="00BC1E67" w:rsidR="00176174" w:rsidP="00D4630B" w:rsidRDefault="00C80567" w14:paraId="213C8B80" w14:textId="3E8DD4A9">
            <w:pPr>
              <w:spacing w:after="240"/>
              <w:rPr>
                <w:szCs w:val="18"/>
              </w:rPr>
            </w:pPr>
            <w:r w:rsidRPr="00BC1E67">
              <w:rPr>
                <w:szCs w:val="18"/>
              </w:rPr>
              <w:t>Reeds betrokken bij het schriftelijk overleg over de Eurogroep/Ecofinraad van 9 juli 2024.</w:t>
            </w:r>
          </w:p>
        </w:tc>
      </w:tr>
      <w:tr w:rsidRPr="00BC1E67" w:rsidR="00176174" w:rsidTr="00D4630B" w14:paraId="31E2C4C3"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34ADC1F4" w14:textId="77777777">
            <w:pPr>
              <w:spacing w:after="240"/>
              <w:rPr>
                <w:color w:val="595959" w:themeColor="text1" w:themeTint="A6"/>
                <w:szCs w:val="18"/>
              </w:rPr>
            </w:pPr>
          </w:p>
        </w:tc>
        <w:tc>
          <w:tcPr>
            <w:tcW w:w="1035" w:type="dxa"/>
          </w:tcPr>
          <w:p w:rsidRPr="00BC1E67" w:rsidR="00176174" w:rsidP="00D4630B" w:rsidRDefault="00176174" w14:paraId="08F68696"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176174" w:rsidP="00D4630B" w:rsidRDefault="00C80567" w14:paraId="7495CCE8" w14:textId="1BF7C2F7">
            <w:pPr>
              <w:spacing w:after="240"/>
              <w:rPr>
                <w:color w:val="595959" w:themeColor="text1" w:themeTint="A6"/>
                <w:szCs w:val="18"/>
              </w:rPr>
            </w:pPr>
            <w:r w:rsidRPr="00BC1E67">
              <w:rPr>
                <w:color w:val="595959" w:themeColor="text1" w:themeTint="A6"/>
                <w:szCs w:val="18"/>
              </w:rPr>
              <w:t xml:space="preserve">De Commissie stelt voor om een buitensporig-tekortprocedure (BTP) te starten voor zeven lidstaten: België, Frankrijk, Italië, Hongarije, </w:t>
            </w:r>
            <w:r w:rsidRPr="00BC1E67">
              <w:rPr>
                <w:color w:val="595959" w:themeColor="text1" w:themeTint="A6"/>
                <w:szCs w:val="18"/>
              </w:rPr>
              <w:lastRenderedPageBreak/>
              <w:t>Malta, Polen en Slowakije.  Besluitvorming over de maatregelen die deze landen moeten treffen volgt in het najaar.</w:t>
            </w:r>
          </w:p>
        </w:tc>
      </w:tr>
    </w:tbl>
    <w:p w:rsidRPr="00BC1E67" w:rsidR="00176174" w:rsidP="00176174" w:rsidRDefault="00176174" w14:paraId="3A7F82CB"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176174" w:rsidTr="00D4630B" w14:paraId="36343E3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176174" w:rsidP="00D4630B" w:rsidRDefault="00176174" w14:paraId="0F2AFCE4" w14:textId="77777777">
            <w:pPr>
              <w:pStyle w:val="Lijstalinea"/>
              <w:numPr>
                <w:ilvl w:val="0"/>
                <w:numId w:val="10"/>
              </w:numPr>
              <w:spacing w:after="240"/>
              <w:ind w:left="312"/>
              <w:rPr>
                <w:color w:val="595959" w:themeColor="text1" w:themeTint="A6"/>
                <w:szCs w:val="18"/>
              </w:rPr>
            </w:pPr>
          </w:p>
        </w:tc>
        <w:tc>
          <w:tcPr>
            <w:tcW w:w="1035" w:type="dxa"/>
          </w:tcPr>
          <w:p w:rsidRPr="00BC1E67" w:rsidR="00176174" w:rsidP="00D4630B" w:rsidRDefault="00176174" w14:paraId="7F34819A"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176174" w:rsidP="00C80567" w:rsidRDefault="00900EA8" w14:paraId="1C5CFBCA" w14:textId="48FE9E09">
            <w:pPr>
              <w:shd w:val="clear" w:color="auto" w:fill="FFFFFF"/>
              <w:spacing w:after="75"/>
              <w:rPr>
                <w:szCs w:val="18"/>
                <w:lang w:eastAsia="nl-NL"/>
              </w:rPr>
            </w:pPr>
            <w:r w:rsidRPr="00BC1E67">
              <w:rPr>
                <w:color w:val="000000"/>
                <w:szCs w:val="18"/>
                <w:lang w:eastAsia="nl-NL"/>
              </w:rPr>
              <w:t xml:space="preserve">Voorstel voor een BESLUIT VAN DE RAAD betreffende het bestaan van een buitensporig tekort in Italië </w:t>
            </w:r>
            <w:hyperlink w:history="1" r:id="rId32">
              <w:r w:rsidRPr="00BC1E67">
                <w:rPr>
                  <w:rStyle w:val="Hyperlink"/>
                  <w:szCs w:val="18"/>
                  <w:lang w:eastAsia="nl-NL"/>
                </w:rPr>
                <w:t>COM(2024)513</w:t>
              </w:r>
            </w:hyperlink>
          </w:p>
        </w:tc>
      </w:tr>
      <w:tr w:rsidRPr="00BC1E67" w:rsidR="00176174" w:rsidTr="00D4630B" w14:paraId="1DAD1145"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0D428E0F" w14:textId="77777777">
            <w:pPr>
              <w:spacing w:after="240"/>
              <w:rPr>
                <w:szCs w:val="18"/>
              </w:rPr>
            </w:pPr>
          </w:p>
        </w:tc>
        <w:tc>
          <w:tcPr>
            <w:tcW w:w="1035" w:type="dxa"/>
          </w:tcPr>
          <w:p w:rsidRPr="00BC1E67" w:rsidR="00176174" w:rsidP="00D4630B" w:rsidRDefault="00176174" w14:paraId="4D508806" w14:textId="77777777">
            <w:pPr>
              <w:spacing w:after="240"/>
              <w:rPr>
                <w:szCs w:val="18"/>
              </w:rPr>
            </w:pPr>
            <w:r w:rsidRPr="00BC1E67">
              <w:rPr>
                <w:szCs w:val="18"/>
              </w:rPr>
              <w:t>Voorstel</w:t>
            </w:r>
          </w:p>
        </w:tc>
        <w:tc>
          <w:tcPr>
            <w:tcW w:w="6529" w:type="dxa"/>
          </w:tcPr>
          <w:p w:rsidRPr="00BC1E67" w:rsidR="00176174" w:rsidP="00D4630B" w:rsidRDefault="00C80567" w14:paraId="257F3F53" w14:textId="6B01A133">
            <w:pPr>
              <w:spacing w:after="240"/>
              <w:rPr>
                <w:szCs w:val="18"/>
              </w:rPr>
            </w:pPr>
            <w:r w:rsidRPr="00BC1E67">
              <w:rPr>
                <w:szCs w:val="18"/>
              </w:rPr>
              <w:t>Reeds betrokken bij het schriftelijk overleg over de Eurogroep/Ecofinraad van 9 juli 2024.</w:t>
            </w:r>
          </w:p>
        </w:tc>
      </w:tr>
      <w:tr w:rsidRPr="00BC1E67" w:rsidR="00176174" w:rsidTr="00D4630B" w14:paraId="6218F589"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137C4DCD" w14:textId="77777777">
            <w:pPr>
              <w:spacing w:after="240"/>
              <w:rPr>
                <w:color w:val="595959" w:themeColor="text1" w:themeTint="A6"/>
                <w:szCs w:val="18"/>
              </w:rPr>
            </w:pPr>
          </w:p>
        </w:tc>
        <w:tc>
          <w:tcPr>
            <w:tcW w:w="1035" w:type="dxa"/>
          </w:tcPr>
          <w:p w:rsidRPr="00BC1E67" w:rsidR="00176174" w:rsidP="00D4630B" w:rsidRDefault="00176174" w14:paraId="22C15AC3"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176174" w:rsidP="00D4630B" w:rsidRDefault="00C80567" w14:paraId="6EC3A189" w14:textId="7B1B0F68">
            <w:pPr>
              <w:spacing w:after="240"/>
              <w:rPr>
                <w:color w:val="595959" w:themeColor="text1" w:themeTint="A6"/>
                <w:szCs w:val="18"/>
              </w:rPr>
            </w:pPr>
            <w:r w:rsidRPr="00BC1E67">
              <w:rPr>
                <w:color w:val="595959" w:themeColor="text1" w:themeTint="A6"/>
                <w:szCs w:val="18"/>
              </w:rPr>
              <w:t>De Commissie stelt voor om een buitensporig-tekortprocedure (BTP) te starten voor zeven lidstaten: België, Frankrijk, Italië, Hongarije, Malta, Polen en Slowakije.  Besluitvorming over de maatregelen die deze landen moeten treffen volgt in het najaar.</w:t>
            </w:r>
          </w:p>
        </w:tc>
      </w:tr>
    </w:tbl>
    <w:p w:rsidRPr="00BC1E67" w:rsidR="00176174" w:rsidP="00176174" w:rsidRDefault="00176174" w14:paraId="07742E90"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176174" w:rsidTr="00D4630B" w14:paraId="535F77A6"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176174" w:rsidP="00D4630B" w:rsidRDefault="00176174" w14:paraId="58A5BC95" w14:textId="77777777">
            <w:pPr>
              <w:pStyle w:val="Lijstalinea"/>
              <w:numPr>
                <w:ilvl w:val="0"/>
                <w:numId w:val="10"/>
              </w:numPr>
              <w:spacing w:after="240"/>
              <w:ind w:left="312"/>
              <w:rPr>
                <w:color w:val="595959" w:themeColor="text1" w:themeTint="A6"/>
                <w:szCs w:val="18"/>
              </w:rPr>
            </w:pPr>
          </w:p>
        </w:tc>
        <w:tc>
          <w:tcPr>
            <w:tcW w:w="1035" w:type="dxa"/>
          </w:tcPr>
          <w:p w:rsidRPr="00BC1E67" w:rsidR="00176174" w:rsidP="00D4630B" w:rsidRDefault="00176174" w14:paraId="69408F2C"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176174" w:rsidP="00C80567" w:rsidRDefault="00900EA8" w14:paraId="6CC16C2A" w14:textId="131EAECA">
            <w:pPr>
              <w:shd w:val="clear" w:color="auto" w:fill="FFFFFF"/>
              <w:spacing w:after="75"/>
              <w:rPr>
                <w:szCs w:val="18"/>
                <w:lang w:eastAsia="nl-NL"/>
              </w:rPr>
            </w:pPr>
            <w:r w:rsidRPr="00BC1E67">
              <w:rPr>
                <w:color w:val="000000"/>
                <w:szCs w:val="18"/>
                <w:lang w:eastAsia="nl-NL"/>
              </w:rPr>
              <w:t xml:space="preserve">Voorstel voor een BESLUIT VAN DE RAAD betreffende het bestaan van een buitensporig tekort in Hongarije </w:t>
            </w:r>
            <w:hyperlink w:history="1" r:id="rId33">
              <w:r w:rsidRPr="00BC1E67">
                <w:rPr>
                  <w:rStyle w:val="Hyperlink"/>
                  <w:szCs w:val="18"/>
                  <w:lang w:eastAsia="nl-NL"/>
                </w:rPr>
                <w:t>COM(2024)512</w:t>
              </w:r>
            </w:hyperlink>
          </w:p>
        </w:tc>
      </w:tr>
      <w:tr w:rsidRPr="00BC1E67" w:rsidR="00176174" w:rsidTr="00D4630B" w14:paraId="6400DD2C"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107E06D4" w14:textId="77777777">
            <w:pPr>
              <w:spacing w:after="240"/>
              <w:rPr>
                <w:szCs w:val="18"/>
              </w:rPr>
            </w:pPr>
          </w:p>
        </w:tc>
        <w:tc>
          <w:tcPr>
            <w:tcW w:w="1035" w:type="dxa"/>
          </w:tcPr>
          <w:p w:rsidRPr="00BC1E67" w:rsidR="00176174" w:rsidP="00D4630B" w:rsidRDefault="00176174" w14:paraId="4DD8BF98" w14:textId="77777777">
            <w:pPr>
              <w:spacing w:after="240"/>
              <w:rPr>
                <w:szCs w:val="18"/>
              </w:rPr>
            </w:pPr>
            <w:r w:rsidRPr="00BC1E67">
              <w:rPr>
                <w:szCs w:val="18"/>
              </w:rPr>
              <w:t>Voorstel</w:t>
            </w:r>
          </w:p>
        </w:tc>
        <w:tc>
          <w:tcPr>
            <w:tcW w:w="6529" w:type="dxa"/>
          </w:tcPr>
          <w:p w:rsidRPr="00BC1E67" w:rsidR="00176174" w:rsidP="00D4630B" w:rsidRDefault="00C80567" w14:paraId="0F3AF620" w14:textId="1B244231">
            <w:pPr>
              <w:spacing w:after="240"/>
              <w:rPr>
                <w:szCs w:val="18"/>
              </w:rPr>
            </w:pPr>
            <w:r w:rsidRPr="00BC1E67">
              <w:rPr>
                <w:szCs w:val="18"/>
              </w:rPr>
              <w:t>Reeds betrokken bij het schriftelijk overleg over de Eurogroep/Ecofinraad van 9 juli 2024.</w:t>
            </w:r>
          </w:p>
        </w:tc>
      </w:tr>
      <w:tr w:rsidRPr="00BC1E67" w:rsidR="00176174" w:rsidTr="00D4630B" w14:paraId="44DF1E4B"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1031DFFE" w14:textId="77777777">
            <w:pPr>
              <w:spacing w:after="240"/>
              <w:rPr>
                <w:color w:val="595959" w:themeColor="text1" w:themeTint="A6"/>
                <w:szCs w:val="18"/>
              </w:rPr>
            </w:pPr>
          </w:p>
        </w:tc>
        <w:tc>
          <w:tcPr>
            <w:tcW w:w="1035" w:type="dxa"/>
          </w:tcPr>
          <w:p w:rsidRPr="00BC1E67" w:rsidR="00176174" w:rsidP="00D4630B" w:rsidRDefault="00176174" w14:paraId="646AC22D"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176174" w:rsidP="00D4630B" w:rsidRDefault="00C80567" w14:paraId="6EA82D4F" w14:textId="582AF80C">
            <w:pPr>
              <w:spacing w:after="240"/>
              <w:rPr>
                <w:color w:val="595959" w:themeColor="text1" w:themeTint="A6"/>
                <w:szCs w:val="18"/>
              </w:rPr>
            </w:pPr>
            <w:r w:rsidRPr="00BC1E67">
              <w:rPr>
                <w:color w:val="595959" w:themeColor="text1" w:themeTint="A6"/>
                <w:szCs w:val="18"/>
              </w:rPr>
              <w:t>De Commissie stelt voor om een buitensporig-tekortprocedure (BTP) te starten voor zeven lidstaten: België, Frankrijk, Italië, Hongarije, Malta, Polen en Slowakije.  Besluitvorming over de maatregelen die deze landen moeten treffen volgt in het najaar.</w:t>
            </w:r>
          </w:p>
        </w:tc>
      </w:tr>
    </w:tbl>
    <w:p w:rsidRPr="00BC1E67" w:rsidR="00176174" w:rsidP="00176174" w:rsidRDefault="00176174" w14:paraId="2A45F3C6" w14:textId="77777777">
      <w:pPr>
        <w:tabs>
          <w:tab w:val="left" w:pos="2052"/>
        </w:tabs>
        <w:rPr>
          <w:szCs w:val="18"/>
        </w:rPr>
      </w:pPr>
    </w:p>
    <w:p w:rsidRPr="00BC1E67" w:rsidR="00900EA8" w:rsidP="00176174" w:rsidRDefault="00900EA8" w14:paraId="321F3266" w14:textId="77777777">
      <w:pPr>
        <w:tabs>
          <w:tab w:val="left" w:pos="2052"/>
        </w:tabs>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BC1E67" w:rsidR="00900EA8" w:rsidTr="00900EA8" w14:paraId="356CEAC0"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BC1E67" w:rsidR="00900EA8" w:rsidP="003359C8" w:rsidRDefault="00900EA8" w14:paraId="47CA6C2A" w14:textId="37ACEE58">
            <w:pPr>
              <w:pStyle w:val="Lijstalinea"/>
              <w:numPr>
                <w:ilvl w:val="0"/>
                <w:numId w:val="10"/>
              </w:numPr>
              <w:spacing w:after="240"/>
              <w:ind w:left="312"/>
              <w:rPr>
                <w:color w:val="595959" w:themeColor="text1" w:themeTint="A6"/>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BC1E67" w:rsidR="00900EA8" w:rsidRDefault="00900EA8" w14:paraId="3BA458B5" w14:textId="77777777">
            <w:pPr>
              <w:spacing w:after="240"/>
              <w:rPr>
                <w:szCs w:val="18"/>
                <w:lang w:eastAsia="nl-NL"/>
              </w:rPr>
            </w:pPr>
            <w:r w:rsidRPr="00BC1E67">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BC1E67" w:rsidR="00900EA8" w:rsidRDefault="00900EA8" w14:paraId="2AEBDC3D" w14:textId="77777777">
            <w:pPr>
              <w:shd w:val="clear" w:color="auto" w:fill="FFFFFF"/>
              <w:spacing w:after="75"/>
              <w:rPr>
                <w:szCs w:val="18"/>
                <w:lang w:eastAsia="nl-NL"/>
              </w:rPr>
            </w:pPr>
            <w:r w:rsidRPr="00BC1E67">
              <w:rPr>
                <w:color w:val="000000"/>
                <w:szCs w:val="18"/>
                <w:lang w:eastAsia="nl-NL"/>
              </w:rPr>
              <w:t xml:space="preserve">Voorstel voor een BESLUIT VAN DE RAAD betreffende het bestaan van een buitensporig tekort op Malta </w:t>
            </w:r>
            <w:hyperlink w:history="1" r:id="rId34">
              <w:r w:rsidRPr="00BC1E67">
                <w:rPr>
                  <w:rStyle w:val="Hyperlink"/>
                  <w:szCs w:val="18"/>
                  <w:lang w:eastAsia="nl-NL"/>
                </w:rPr>
                <w:t>COM(2024)514</w:t>
              </w:r>
            </w:hyperlink>
          </w:p>
        </w:tc>
      </w:tr>
      <w:tr w:rsidRPr="00BC1E67" w:rsidR="00900EA8" w:rsidTr="00900EA8" w14:paraId="12ADC264" w14:textId="77777777">
        <w:tc>
          <w:tcPr>
            <w:tcW w:w="0" w:type="auto"/>
            <w:vMerge/>
            <w:tcBorders>
              <w:top w:val="single" w:color="D9D9D9" w:sz="8" w:space="0"/>
              <w:left w:val="single" w:color="D9D9D9" w:sz="8" w:space="0"/>
              <w:bottom w:val="single" w:color="D9D9D9" w:sz="8" w:space="0"/>
              <w:right w:val="nil"/>
            </w:tcBorders>
            <w:vAlign w:val="center"/>
            <w:hideMark/>
          </w:tcPr>
          <w:p w:rsidRPr="00BC1E67" w:rsidR="00900EA8" w:rsidP="003359C8" w:rsidRDefault="00900EA8" w14:paraId="2E769261" w14:textId="77777777">
            <w:pPr>
              <w:pStyle w:val="Lijstalinea"/>
              <w:numPr>
                <w:ilvl w:val="0"/>
                <w:numId w:val="10"/>
              </w:numPr>
              <w:spacing w:after="240"/>
              <w:ind w:left="312"/>
              <w:rPr>
                <w:color w:val="595959" w:themeColor="text1" w:themeTint="A6"/>
                <w:szCs w:val="18"/>
              </w:rPr>
            </w:pPr>
          </w:p>
        </w:tc>
        <w:tc>
          <w:tcPr>
            <w:tcW w:w="1134" w:type="dxa"/>
            <w:tcMar>
              <w:top w:w="0" w:type="dxa"/>
              <w:left w:w="108" w:type="dxa"/>
              <w:bottom w:w="0" w:type="dxa"/>
              <w:right w:w="108" w:type="dxa"/>
            </w:tcMar>
            <w:hideMark/>
          </w:tcPr>
          <w:p w:rsidRPr="00BC1E67" w:rsidR="00900EA8" w:rsidRDefault="00900EA8" w14:paraId="15DA69C9" w14:textId="009E6F58">
            <w:pPr>
              <w:spacing w:after="240"/>
              <w:rPr>
                <w:szCs w:val="18"/>
                <w:lang w:eastAsia="nl-NL"/>
              </w:rPr>
            </w:pPr>
            <w:r w:rsidRPr="00BC1E67">
              <w:rPr>
                <w:szCs w:val="18"/>
                <w:lang w:eastAsia="nl-NL"/>
              </w:rPr>
              <w:t>Voo</w:t>
            </w:r>
            <w:r w:rsidRPr="00BC1E67" w:rsidR="002F510C">
              <w:rPr>
                <w:szCs w:val="18"/>
                <w:lang w:eastAsia="nl-NL"/>
              </w:rPr>
              <w:t>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BC1E67" w:rsidR="00900EA8" w:rsidRDefault="00C80567" w14:paraId="7718EFA0" w14:textId="6F522181">
            <w:pPr>
              <w:spacing w:after="240"/>
              <w:rPr>
                <w:b/>
                <w:bCs/>
                <w:szCs w:val="18"/>
                <w:lang w:eastAsia="nl-NL"/>
              </w:rPr>
            </w:pPr>
            <w:r w:rsidRPr="00BC1E67">
              <w:rPr>
                <w:szCs w:val="18"/>
              </w:rPr>
              <w:t>Reeds betrokken bij het schriftelijk overleg over de Eurogroep/Ecofinraad van 9 juli 2024.</w:t>
            </w:r>
          </w:p>
        </w:tc>
      </w:tr>
      <w:tr w:rsidRPr="00BC1E67" w:rsidR="00900EA8" w:rsidTr="00900EA8" w14:paraId="3DE7389B" w14:textId="77777777">
        <w:tc>
          <w:tcPr>
            <w:tcW w:w="0" w:type="auto"/>
            <w:vMerge/>
            <w:tcBorders>
              <w:top w:val="single" w:color="D9D9D9" w:sz="8" w:space="0"/>
              <w:left w:val="single" w:color="D9D9D9" w:sz="8" w:space="0"/>
              <w:bottom w:val="single" w:color="D9D9D9" w:sz="8" w:space="0"/>
              <w:right w:val="nil"/>
            </w:tcBorders>
            <w:vAlign w:val="center"/>
            <w:hideMark/>
          </w:tcPr>
          <w:p w:rsidRPr="00BC1E67" w:rsidR="00900EA8" w:rsidP="003359C8" w:rsidRDefault="00900EA8" w14:paraId="2F073425" w14:textId="77777777">
            <w:pPr>
              <w:pStyle w:val="Lijstalinea"/>
              <w:numPr>
                <w:ilvl w:val="0"/>
                <w:numId w:val="10"/>
              </w:numPr>
              <w:spacing w:after="240"/>
              <w:ind w:left="312"/>
              <w:rPr>
                <w:color w:val="595959" w:themeColor="text1" w:themeTint="A6"/>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BC1E67" w:rsidR="00900EA8" w:rsidRDefault="002F510C" w14:paraId="426843A9" w14:textId="276DC8FB">
            <w:pPr>
              <w:spacing w:after="240"/>
              <w:rPr>
                <w:szCs w:val="18"/>
                <w:lang w:eastAsia="nl-NL"/>
              </w:rPr>
            </w:pPr>
            <w:r w:rsidRPr="00BC1E67">
              <w:rPr>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BC1E67" w:rsidR="00900EA8" w:rsidRDefault="00C80567" w14:paraId="34F88A87" w14:textId="037ADA86">
            <w:pPr>
              <w:spacing w:after="240"/>
              <w:rPr>
                <w:szCs w:val="18"/>
                <w:lang w:eastAsia="nl-NL"/>
              </w:rPr>
            </w:pPr>
            <w:r w:rsidRPr="00BC1E67">
              <w:rPr>
                <w:color w:val="595959" w:themeColor="text1" w:themeTint="A6"/>
                <w:szCs w:val="18"/>
              </w:rPr>
              <w:t>De Commissie stelt voor om een buitensporig-tekortprocedure (BTP) te starten voor zeven lidstaten: België, Frankrijk, Italië, Hongarije, Malta, Polen en Slowakije.  Besluitvorming over de maatregelen die deze landen moeten treffen volgt in het najaar.</w:t>
            </w:r>
          </w:p>
        </w:tc>
      </w:tr>
    </w:tbl>
    <w:p w:rsidRPr="00BC1E67" w:rsidR="00900EA8" w:rsidP="00900EA8" w:rsidRDefault="00900EA8" w14:paraId="6A736ACC" w14:textId="77777777">
      <w:pPr>
        <w:rPr>
          <w:rFonts w:cs="Calibri" w:eastAsiaTheme="minorHAnsi"/>
          <w:szCs w:val="18"/>
          <w14:ligatures w14:val="standardContextual"/>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BC1E67" w:rsidR="00900EA8" w:rsidTr="00900EA8" w14:paraId="2983BF15"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BC1E67" w:rsidR="00900EA8" w:rsidP="003359C8" w:rsidRDefault="00900EA8" w14:paraId="68D501CD" w14:textId="7F7C96CE">
            <w:pPr>
              <w:pStyle w:val="Lijstalinea"/>
              <w:numPr>
                <w:ilvl w:val="0"/>
                <w:numId w:val="10"/>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BC1E67" w:rsidR="00900EA8" w:rsidRDefault="00900EA8" w14:paraId="4EB312AD" w14:textId="77777777">
            <w:pPr>
              <w:spacing w:after="240"/>
              <w:rPr>
                <w:szCs w:val="18"/>
                <w:lang w:eastAsia="nl-NL"/>
              </w:rPr>
            </w:pPr>
            <w:r w:rsidRPr="00BC1E67">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BC1E67" w:rsidR="00900EA8" w:rsidRDefault="00900EA8" w14:paraId="46E064B1" w14:textId="77777777">
            <w:pPr>
              <w:shd w:val="clear" w:color="auto" w:fill="FFFFFF"/>
              <w:spacing w:after="75"/>
              <w:rPr>
                <w:szCs w:val="18"/>
                <w:lang w:eastAsia="nl-NL"/>
              </w:rPr>
            </w:pPr>
            <w:r w:rsidRPr="00BC1E67">
              <w:rPr>
                <w:color w:val="000000"/>
                <w:szCs w:val="18"/>
                <w:lang w:eastAsia="nl-NL"/>
              </w:rPr>
              <w:t xml:space="preserve">Voorstel voor een BESLUIT VAN DE RAAD betreffende het bestaan van een buitensporig tekort in Polen </w:t>
            </w:r>
            <w:hyperlink w:history="1" r:id="rId35">
              <w:r w:rsidRPr="00BC1E67">
                <w:rPr>
                  <w:rStyle w:val="Hyperlink"/>
                  <w:szCs w:val="18"/>
                  <w:lang w:eastAsia="nl-NL"/>
                </w:rPr>
                <w:t>COM(2024)515</w:t>
              </w:r>
            </w:hyperlink>
          </w:p>
        </w:tc>
      </w:tr>
      <w:tr w:rsidRPr="00BC1E67" w:rsidR="00900EA8" w:rsidTr="00900EA8" w14:paraId="408FAFF6" w14:textId="77777777">
        <w:tc>
          <w:tcPr>
            <w:tcW w:w="0" w:type="auto"/>
            <w:vMerge/>
            <w:tcBorders>
              <w:top w:val="single" w:color="D9D9D9" w:sz="8" w:space="0"/>
              <w:left w:val="single" w:color="D9D9D9" w:sz="8" w:space="0"/>
              <w:bottom w:val="single" w:color="D9D9D9" w:sz="8" w:space="0"/>
              <w:right w:val="nil"/>
            </w:tcBorders>
            <w:vAlign w:val="center"/>
            <w:hideMark/>
          </w:tcPr>
          <w:p w:rsidRPr="00BC1E67" w:rsidR="00900EA8" w:rsidRDefault="00900EA8" w14:paraId="3E4647DE" w14:textId="77777777">
            <w:pPr>
              <w:rPr>
                <w:rFonts w:cs="Calibri" w:eastAsiaTheme="minorHAnsi"/>
                <w:szCs w:val="18"/>
              </w:rPr>
            </w:pPr>
          </w:p>
        </w:tc>
        <w:tc>
          <w:tcPr>
            <w:tcW w:w="1134" w:type="dxa"/>
            <w:tcMar>
              <w:top w:w="0" w:type="dxa"/>
              <w:left w:w="108" w:type="dxa"/>
              <w:bottom w:w="0" w:type="dxa"/>
              <w:right w:w="108" w:type="dxa"/>
            </w:tcMar>
            <w:hideMark/>
          </w:tcPr>
          <w:p w:rsidRPr="00BC1E67" w:rsidR="00900EA8" w:rsidRDefault="00900EA8" w14:paraId="293FF52E" w14:textId="4B7EF74B">
            <w:pPr>
              <w:spacing w:after="240"/>
              <w:rPr>
                <w:szCs w:val="18"/>
                <w:lang w:eastAsia="nl-NL"/>
              </w:rPr>
            </w:pPr>
            <w:r w:rsidRPr="00BC1E67">
              <w:rPr>
                <w:szCs w:val="18"/>
                <w:lang w:eastAsia="nl-NL"/>
              </w:rPr>
              <w:t>Voor</w:t>
            </w:r>
            <w:r w:rsidRPr="00BC1E67" w:rsidR="002F510C">
              <w:rPr>
                <w:szCs w:val="18"/>
                <w:lang w:eastAsia="nl-NL"/>
              </w:rPr>
              <w:t>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BC1E67" w:rsidR="00900EA8" w:rsidRDefault="00C80567" w14:paraId="15AD9DE9" w14:textId="5F6469DF">
            <w:pPr>
              <w:spacing w:after="240"/>
              <w:rPr>
                <w:b/>
                <w:bCs/>
                <w:szCs w:val="18"/>
                <w:lang w:eastAsia="nl-NL"/>
              </w:rPr>
            </w:pPr>
            <w:r w:rsidRPr="00BC1E67">
              <w:rPr>
                <w:szCs w:val="18"/>
              </w:rPr>
              <w:t>Reeds betrokken bij het schriftelijk overleg over de Eurogroep/Ecofinraad van 9 juli 2024.</w:t>
            </w:r>
          </w:p>
        </w:tc>
      </w:tr>
      <w:tr w:rsidRPr="00BC1E67" w:rsidR="00900EA8" w:rsidTr="00900EA8" w14:paraId="0B5C7D8D" w14:textId="77777777">
        <w:tc>
          <w:tcPr>
            <w:tcW w:w="0" w:type="auto"/>
            <w:vMerge/>
            <w:tcBorders>
              <w:top w:val="single" w:color="D9D9D9" w:sz="8" w:space="0"/>
              <w:left w:val="single" w:color="D9D9D9" w:sz="8" w:space="0"/>
              <w:bottom w:val="single" w:color="D9D9D9" w:sz="8" w:space="0"/>
              <w:right w:val="nil"/>
            </w:tcBorders>
            <w:vAlign w:val="center"/>
            <w:hideMark/>
          </w:tcPr>
          <w:p w:rsidRPr="00BC1E67" w:rsidR="00900EA8" w:rsidRDefault="00900EA8" w14:paraId="635E52AC"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BC1E67" w:rsidR="00900EA8" w:rsidRDefault="002F510C" w14:paraId="34967650" w14:textId="41222985">
            <w:pPr>
              <w:spacing w:after="240"/>
              <w:rPr>
                <w:szCs w:val="18"/>
                <w:lang w:eastAsia="nl-NL"/>
              </w:rPr>
            </w:pPr>
            <w:r w:rsidRPr="00BC1E67">
              <w:rPr>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BC1E67" w:rsidR="00900EA8" w:rsidRDefault="00C80567" w14:paraId="0B45AF23" w14:textId="1B1E0B51">
            <w:pPr>
              <w:spacing w:after="240"/>
              <w:rPr>
                <w:szCs w:val="18"/>
                <w:lang w:eastAsia="nl-NL"/>
              </w:rPr>
            </w:pPr>
            <w:r w:rsidRPr="00BC1E67">
              <w:rPr>
                <w:color w:val="595959" w:themeColor="text1" w:themeTint="A6"/>
                <w:szCs w:val="18"/>
              </w:rPr>
              <w:t>De Commissie stelt voor om een buitensporig-tekortprocedure (BTP) te starten voor zeven lidstaten: België, Frankrijk, Italië, Hongarije, Malta, Polen en Slowakije.  Besluitvorming over de maatregelen die deze landen moeten treffen volgt in het najaar.</w:t>
            </w:r>
          </w:p>
        </w:tc>
      </w:tr>
    </w:tbl>
    <w:p w:rsidRPr="00BC1E67" w:rsidR="00900EA8" w:rsidP="00900EA8" w:rsidRDefault="00900EA8" w14:paraId="764947A9" w14:textId="77777777">
      <w:pPr>
        <w:rPr>
          <w:rFonts w:cs="Calibri" w:eastAsiaTheme="minorHAnsi"/>
          <w:szCs w:val="18"/>
          <w14:ligatures w14:val="standardContextual"/>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BC1E67" w:rsidR="00900EA8" w:rsidTr="00900EA8" w14:paraId="61ABE0AC"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BC1E67" w:rsidR="00900EA8" w:rsidP="00566052" w:rsidRDefault="00900EA8" w14:paraId="744F1C7F" w14:textId="1374DE3C">
            <w:pPr>
              <w:pStyle w:val="Lijstalinea"/>
              <w:numPr>
                <w:ilvl w:val="0"/>
                <w:numId w:val="10"/>
              </w:numPr>
              <w:spacing w:after="240"/>
              <w:ind w:left="312"/>
              <w:rPr>
                <w:color w:val="595959" w:themeColor="text1" w:themeTint="A6"/>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BC1E67" w:rsidR="00900EA8" w:rsidRDefault="00900EA8" w14:paraId="1A0528F4" w14:textId="77777777">
            <w:pPr>
              <w:spacing w:after="240"/>
              <w:rPr>
                <w:szCs w:val="18"/>
                <w:lang w:eastAsia="nl-NL"/>
              </w:rPr>
            </w:pPr>
            <w:r w:rsidRPr="00BC1E67">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BC1E67" w:rsidR="00900EA8" w:rsidRDefault="00900EA8" w14:paraId="5300D302" w14:textId="77777777">
            <w:pPr>
              <w:shd w:val="clear" w:color="auto" w:fill="FFFFFF"/>
              <w:spacing w:after="75"/>
              <w:rPr>
                <w:szCs w:val="18"/>
                <w:lang w:eastAsia="nl-NL"/>
              </w:rPr>
            </w:pPr>
            <w:r w:rsidRPr="00BC1E67">
              <w:rPr>
                <w:color w:val="000000"/>
                <w:szCs w:val="18"/>
                <w:lang w:eastAsia="nl-NL"/>
              </w:rPr>
              <w:t xml:space="preserve">Voorstel voor een BESLUIT VAN DE RAAD betreffende het bestaan van een buitensporig tekort in België </w:t>
            </w:r>
            <w:hyperlink w:history="1" r:id="rId36">
              <w:r w:rsidRPr="00BC1E67">
                <w:rPr>
                  <w:rStyle w:val="Hyperlink"/>
                  <w:szCs w:val="18"/>
                  <w:lang w:eastAsia="nl-NL"/>
                </w:rPr>
                <w:t>COM(2024)518</w:t>
              </w:r>
            </w:hyperlink>
          </w:p>
        </w:tc>
      </w:tr>
      <w:tr w:rsidRPr="00BC1E67" w:rsidR="00900EA8" w:rsidTr="00900EA8" w14:paraId="2A23002C" w14:textId="77777777">
        <w:tc>
          <w:tcPr>
            <w:tcW w:w="0" w:type="auto"/>
            <w:vMerge/>
            <w:tcBorders>
              <w:top w:val="single" w:color="D9D9D9" w:sz="8" w:space="0"/>
              <w:left w:val="single" w:color="D9D9D9" w:sz="8" w:space="0"/>
              <w:bottom w:val="single" w:color="D9D9D9" w:sz="8" w:space="0"/>
              <w:right w:val="nil"/>
            </w:tcBorders>
            <w:vAlign w:val="center"/>
            <w:hideMark/>
          </w:tcPr>
          <w:p w:rsidRPr="00BC1E67" w:rsidR="00900EA8" w:rsidRDefault="00900EA8" w14:paraId="19D7045F" w14:textId="77777777">
            <w:pPr>
              <w:rPr>
                <w:rFonts w:cs="Calibri" w:eastAsiaTheme="minorHAnsi"/>
                <w:szCs w:val="18"/>
              </w:rPr>
            </w:pPr>
          </w:p>
        </w:tc>
        <w:tc>
          <w:tcPr>
            <w:tcW w:w="1134" w:type="dxa"/>
            <w:tcMar>
              <w:top w:w="0" w:type="dxa"/>
              <w:left w:w="108" w:type="dxa"/>
              <w:bottom w:w="0" w:type="dxa"/>
              <w:right w:w="108" w:type="dxa"/>
            </w:tcMar>
            <w:hideMark/>
          </w:tcPr>
          <w:p w:rsidRPr="00BC1E67" w:rsidR="00900EA8" w:rsidRDefault="00900EA8" w14:paraId="68CF7AD7" w14:textId="3AD3E514">
            <w:pPr>
              <w:spacing w:after="240"/>
              <w:rPr>
                <w:szCs w:val="18"/>
                <w:lang w:eastAsia="nl-NL"/>
              </w:rPr>
            </w:pPr>
            <w:r w:rsidRPr="00BC1E67">
              <w:rPr>
                <w:szCs w:val="18"/>
                <w:lang w:eastAsia="nl-NL"/>
              </w:rPr>
              <w:t>Voor</w:t>
            </w:r>
            <w:r w:rsidRPr="00BC1E67" w:rsidR="002F510C">
              <w:rPr>
                <w:szCs w:val="18"/>
                <w:lang w:eastAsia="nl-NL"/>
              </w:rPr>
              <w:t>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BC1E67" w:rsidR="00900EA8" w:rsidRDefault="00C80567" w14:paraId="7AA86B22" w14:textId="58BD5ED9">
            <w:pPr>
              <w:spacing w:after="240"/>
              <w:rPr>
                <w:b/>
                <w:bCs/>
                <w:szCs w:val="18"/>
                <w:lang w:eastAsia="nl-NL"/>
              </w:rPr>
            </w:pPr>
            <w:r w:rsidRPr="00BC1E67">
              <w:rPr>
                <w:szCs w:val="18"/>
              </w:rPr>
              <w:t>Reeds betrokken bij het schriftelijk overleg over de Eurogroep/Ecofinraad van 9 juli 2024.</w:t>
            </w:r>
          </w:p>
        </w:tc>
      </w:tr>
      <w:tr w:rsidRPr="00BC1E67" w:rsidR="00900EA8" w:rsidTr="00900EA8" w14:paraId="2213EB78" w14:textId="77777777">
        <w:tc>
          <w:tcPr>
            <w:tcW w:w="0" w:type="auto"/>
            <w:vMerge/>
            <w:tcBorders>
              <w:top w:val="single" w:color="D9D9D9" w:sz="8" w:space="0"/>
              <w:left w:val="single" w:color="D9D9D9" w:sz="8" w:space="0"/>
              <w:bottom w:val="single" w:color="D9D9D9" w:sz="8" w:space="0"/>
              <w:right w:val="nil"/>
            </w:tcBorders>
            <w:vAlign w:val="center"/>
            <w:hideMark/>
          </w:tcPr>
          <w:p w:rsidRPr="00BC1E67" w:rsidR="00900EA8" w:rsidRDefault="00900EA8" w14:paraId="1BCA658A"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BC1E67" w:rsidR="00900EA8" w:rsidRDefault="002F510C" w14:paraId="3EA61289" w14:textId="0A20AA8B">
            <w:pPr>
              <w:spacing w:after="240"/>
              <w:rPr>
                <w:szCs w:val="18"/>
                <w:lang w:eastAsia="nl-NL"/>
              </w:rPr>
            </w:pPr>
            <w:r w:rsidRPr="00BC1E67">
              <w:rPr>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BC1E67" w:rsidR="00900EA8" w:rsidRDefault="00C80567" w14:paraId="0421DC7A" w14:textId="6AA4E496">
            <w:pPr>
              <w:spacing w:after="240"/>
              <w:rPr>
                <w:szCs w:val="18"/>
                <w:lang w:eastAsia="nl-NL"/>
              </w:rPr>
            </w:pPr>
            <w:r w:rsidRPr="00BC1E67">
              <w:rPr>
                <w:color w:val="595959" w:themeColor="text1" w:themeTint="A6"/>
                <w:szCs w:val="18"/>
              </w:rPr>
              <w:t>De Commissie stelt voor om een buitensporig-tekortprocedure (BTP) te starten voor zeven lidstaten: België, Frankrijk, Italië, Hongarije, Malta, Polen en Slowakije.  Besluitvorming over de maatregelen die deze landen moeten treffen volgt in het najaar.</w:t>
            </w:r>
          </w:p>
        </w:tc>
      </w:tr>
    </w:tbl>
    <w:p w:rsidRPr="00BC1E67" w:rsidR="00900EA8" w:rsidP="00900EA8" w:rsidRDefault="00900EA8" w14:paraId="713D2871" w14:textId="77777777">
      <w:pPr>
        <w:rPr>
          <w:rFonts w:cs="Calibri" w:eastAsiaTheme="minorHAnsi"/>
          <w:szCs w:val="18"/>
          <w14:ligatures w14:val="standardContextual"/>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BC1E67" w:rsidR="00900EA8" w:rsidTr="00900EA8" w14:paraId="18CAFF10"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BC1E67" w:rsidR="00900EA8" w:rsidP="00566052" w:rsidRDefault="00900EA8" w14:paraId="52456CB0" w14:textId="6A3F2F64">
            <w:pPr>
              <w:pStyle w:val="Lijstalinea"/>
              <w:numPr>
                <w:ilvl w:val="0"/>
                <w:numId w:val="10"/>
              </w:numPr>
              <w:spacing w:after="240"/>
              <w:ind w:left="312"/>
              <w:rPr>
                <w:color w:val="595959" w:themeColor="text1" w:themeTint="A6"/>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BC1E67" w:rsidR="00900EA8" w:rsidRDefault="00900EA8" w14:paraId="4C677CAB" w14:textId="77777777">
            <w:pPr>
              <w:spacing w:after="240"/>
              <w:rPr>
                <w:szCs w:val="18"/>
                <w:lang w:eastAsia="nl-NL"/>
              </w:rPr>
            </w:pPr>
            <w:r w:rsidRPr="00BC1E67">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BC1E67" w:rsidR="00900EA8" w:rsidRDefault="00900EA8" w14:paraId="39269911" w14:textId="77777777">
            <w:pPr>
              <w:shd w:val="clear" w:color="auto" w:fill="FFFFFF"/>
              <w:spacing w:after="75"/>
              <w:rPr>
                <w:szCs w:val="18"/>
                <w:lang w:eastAsia="nl-NL"/>
              </w:rPr>
            </w:pPr>
            <w:r w:rsidRPr="00BC1E67">
              <w:rPr>
                <w:color w:val="000000"/>
                <w:szCs w:val="18"/>
                <w:lang w:eastAsia="nl-NL"/>
              </w:rPr>
              <w:t xml:space="preserve">Voorstel voor een BESLUIT VAN DE RAAD betreffende het bestaan van een buitensporig tekort in Slowakije </w:t>
            </w:r>
            <w:hyperlink w:history="1" r:id="rId37">
              <w:r w:rsidRPr="00BC1E67">
                <w:rPr>
                  <w:rStyle w:val="Hyperlink"/>
                  <w:szCs w:val="18"/>
                  <w:lang w:eastAsia="nl-NL"/>
                </w:rPr>
                <w:t>COM(2024)516</w:t>
              </w:r>
            </w:hyperlink>
          </w:p>
        </w:tc>
      </w:tr>
      <w:tr w:rsidRPr="00BC1E67" w:rsidR="00900EA8" w:rsidTr="00900EA8" w14:paraId="317746E4" w14:textId="77777777">
        <w:tc>
          <w:tcPr>
            <w:tcW w:w="0" w:type="auto"/>
            <w:vMerge/>
            <w:tcBorders>
              <w:top w:val="single" w:color="D9D9D9" w:sz="8" w:space="0"/>
              <w:left w:val="single" w:color="D9D9D9" w:sz="8" w:space="0"/>
              <w:bottom w:val="single" w:color="D9D9D9" w:sz="8" w:space="0"/>
              <w:right w:val="nil"/>
            </w:tcBorders>
            <w:vAlign w:val="center"/>
            <w:hideMark/>
          </w:tcPr>
          <w:p w:rsidRPr="00BC1E67" w:rsidR="00900EA8" w:rsidP="00566052" w:rsidRDefault="00900EA8" w14:paraId="3EA7D324" w14:textId="77777777">
            <w:pPr>
              <w:pStyle w:val="Lijstalinea"/>
              <w:numPr>
                <w:ilvl w:val="0"/>
                <w:numId w:val="10"/>
              </w:numPr>
              <w:spacing w:after="240"/>
              <w:ind w:left="312"/>
              <w:rPr>
                <w:color w:val="595959" w:themeColor="text1" w:themeTint="A6"/>
                <w:szCs w:val="18"/>
              </w:rPr>
            </w:pPr>
          </w:p>
        </w:tc>
        <w:tc>
          <w:tcPr>
            <w:tcW w:w="1134" w:type="dxa"/>
            <w:tcMar>
              <w:top w:w="0" w:type="dxa"/>
              <w:left w:w="108" w:type="dxa"/>
              <w:bottom w:w="0" w:type="dxa"/>
              <w:right w:w="108" w:type="dxa"/>
            </w:tcMar>
            <w:hideMark/>
          </w:tcPr>
          <w:p w:rsidRPr="00BC1E67" w:rsidR="00900EA8" w:rsidRDefault="00900EA8" w14:paraId="475BED1C" w14:textId="1DAC8D9B">
            <w:pPr>
              <w:spacing w:after="240"/>
              <w:rPr>
                <w:szCs w:val="18"/>
                <w:lang w:eastAsia="nl-NL"/>
              </w:rPr>
            </w:pPr>
            <w:r w:rsidRPr="00BC1E67">
              <w:rPr>
                <w:szCs w:val="18"/>
                <w:lang w:eastAsia="nl-NL"/>
              </w:rPr>
              <w:t>Voor</w:t>
            </w:r>
            <w:r w:rsidRPr="00BC1E67" w:rsidR="002F510C">
              <w:rPr>
                <w:szCs w:val="18"/>
                <w:lang w:eastAsia="nl-NL"/>
              </w:rPr>
              <w:t>s</w:t>
            </w:r>
            <w:r w:rsidRPr="00BC1E67">
              <w:rPr>
                <w:szCs w:val="18"/>
                <w:lang w:eastAsia="nl-NL"/>
              </w:rPr>
              <w:t>t</w:t>
            </w:r>
            <w:r w:rsidRPr="00BC1E67" w:rsidR="002F510C">
              <w:rPr>
                <w:szCs w:val="18"/>
                <w:lang w:eastAsia="nl-NL"/>
              </w:rPr>
              <w: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BC1E67" w:rsidR="00900EA8" w:rsidRDefault="00C80567" w14:paraId="2CA42DA1" w14:textId="7EC570AE">
            <w:pPr>
              <w:spacing w:after="240"/>
              <w:rPr>
                <w:b/>
                <w:bCs/>
                <w:szCs w:val="18"/>
                <w:lang w:eastAsia="nl-NL"/>
              </w:rPr>
            </w:pPr>
            <w:r w:rsidRPr="00BC1E67">
              <w:rPr>
                <w:szCs w:val="18"/>
              </w:rPr>
              <w:t>Reeds betrokken bij het schriftelijk overleg over de Eurogroep/Ecofinraad van 9 juli 2024.</w:t>
            </w:r>
          </w:p>
        </w:tc>
      </w:tr>
      <w:tr w:rsidRPr="00BC1E67" w:rsidR="00900EA8" w:rsidTr="00900EA8" w14:paraId="2D7A7B06" w14:textId="77777777">
        <w:tc>
          <w:tcPr>
            <w:tcW w:w="0" w:type="auto"/>
            <w:vMerge/>
            <w:tcBorders>
              <w:top w:val="single" w:color="D9D9D9" w:sz="8" w:space="0"/>
              <w:left w:val="single" w:color="D9D9D9" w:sz="8" w:space="0"/>
              <w:bottom w:val="single" w:color="D9D9D9" w:sz="8" w:space="0"/>
              <w:right w:val="nil"/>
            </w:tcBorders>
            <w:vAlign w:val="center"/>
            <w:hideMark/>
          </w:tcPr>
          <w:p w:rsidRPr="00BC1E67" w:rsidR="00900EA8" w:rsidP="00566052" w:rsidRDefault="00900EA8" w14:paraId="47E764A8" w14:textId="77777777">
            <w:pPr>
              <w:pStyle w:val="Lijstalinea"/>
              <w:numPr>
                <w:ilvl w:val="0"/>
                <w:numId w:val="10"/>
              </w:numPr>
              <w:spacing w:after="240"/>
              <w:ind w:left="312"/>
              <w:rPr>
                <w:color w:val="595959" w:themeColor="text1" w:themeTint="A6"/>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BC1E67" w:rsidR="00900EA8" w:rsidRDefault="002F510C" w14:paraId="130D53FB" w14:textId="21C4E855">
            <w:pPr>
              <w:spacing w:after="240"/>
              <w:rPr>
                <w:szCs w:val="18"/>
                <w:lang w:eastAsia="nl-NL"/>
              </w:rPr>
            </w:pPr>
            <w:r w:rsidRPr="00BC1E67">
              <w:rPr>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BC1E67" w:rsidR="00900EA8" w:rsidRDefault="00C80567" w14:paraId="015B7A96" w14:textId="52E2373E">
            <w:pPr>
              <w:spacing w:after="240"/>
              <w:rPr>
                <w:szCs w:val="18"/>
                <w:lang w:eastAsia="nl-NL"/>
              </w:rPr>
            </w:pPr>
            <w:r w:rsidRPr="00BC1E67">
              <w:rPr>
                <w:color w:val="595959" w:themeColor="text1" w:themeTint="A6"/>
                <w:szCs w:val="18"/>
              </w:rPr>
              <w:t>De Commissie stelt voor om een buitensporig-tekortprocedure (BTP) te starten voor zeven lidstaten: België, Frankrijk, Italië, Hongarije, Malta, Polen en Slowakije.  Besluitvorming over de maatregelen die deze landen moeten treffen volgt in het najaar.</w:t>
            </w:r>
          </w:p>
        </w:tc>
      </w:tr>
    </w:tbl>
    <w:p w:rsidRPr="00BC1E67" w:rsidR="00900EA8" w:rsidP="00176174" w:rsidRDefault="00900EA8" w14:paraId="50ADEC71" w14:textId="5C9D8245">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176174" w:rsidTr="002F510C" w14:paraId="37810182"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176174" w:rsidP="00566052" w:rsidRDefault="00176174" w14:paraId="544D0376" w14:textId="15D240C3">
            <w:pPr>
              <w:pStyle w:val="Lijstalinea"/>
              <w:numPr>
                <w:ilvl w:val="0"/>
                <w:numId w:val="10"/>
              </w:numPr>
              <w:spacing w:after="240"/>
              <w:ind w:left="312"/>
              <w:rPr>
                <w:color w:val="595959" w:themeColor="text1" w:themeTint="A6"/>
                <w:szCs w:val="18"/>
              </w:rPr>
            </w:pPr>
          </w:p>
        </w:tc>
        <w:tc>
          <w:tcPr>
            <w:tcW w:w="1035" w:type="dxa"/>
          </w:tcPr>
          <w:p w:rsidRPr="00BC1E67" w:rsidR="00176174" w:rsidP="00D4630B" w:rsidRDefault="00176174" w14:paraId="298AA793"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176174" w:rsidP="00D4630B" w:rsidRDefault="009A03E4" w14:paraId="474B86D9" w14:textId="7B3FA9CA">
            <w:pPr>
              <w:spacing w:after="240"/>
              <w:rPr>
                <w:b/>
                <w:color w:val="595959" w:themeColor="text1" w:themeTint="A6"/>
                <w:szCs w:val="18"/>
              </w:rPr>
            </w:pPr>
            <w:r w:rsidRPr="00BC1E67">
              <w:rPr>
                <w:szCs w:val="18"/>
              </w:rPr>
              <w:t xml:space="preserve">ONTWERP Jaarlijkse begroting van de Unie voor het begrotingsjaar 2025 - Algemene inleiding - Algemene staat van uitgaven - Algemene staat van ontvangsten - Staat van ontvangsten en uitgaven per afdeling </w:t>
            </w:r>
            <w:hyperlink w:history="1" r:id="rId38">
              <w:r w:rsidRPr="00BC1E67">
                <w:rPr>
                  <w:rStyle w:val="Hyperlink"/>
                  <w:szCs w:val="18"/>
                </w:rPr>
                <w:t>COM/2024/300</w:t>
              </w:r>
            </w:hyperlink>
          </w:p>
        </w:tc>
      </w:tr>
      <w:tr w:rsidRPr="00BC1E67" w:rsidR="00176174" w:rsidTr="002F510C" w14:paraId="0CAB8125"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3359C8" w:rsidRDefault="00176174" w14:paraId="6B23A76C" w14:textId="77777777">
            <w:pPr>
              <w:pStyle w:val="Lijstalinea"/>
              <w:numPr>
                <w:ilvl w:val="0"/>
                <w:numId w:val="10"/>
              </w:numPr>
              <w:spacing w:after="240"/>
              <w:ind w:left="312"/>
              <w:rPr>
                <w:color w:val="595959" w:themeColor="text1" w:themeTint="A6"/>
                <w:szCs w:val="18"/>
              </w:rPr>
            </w:pPr>
          </w:p>
        </w:tc>
        <w:tc>
          <w:tcPr>
            <w:tcW w:w="1035" w:type="dxa"/>
          </w:tcPr>
          <w:p w:rsidRPr="00BC1E67" w:rsidR="00176174" w:rsidP="00D4630B" w:rsidRDefault="00176174" w14:paraId="51DADA36" w14:textId="38B4405F">
            <w:pPr>
              <w:spacing w:after="240"/>
              <w:rPr>
                <w:szCs w:val="18"/>
              </w:rPr>
            </w:pPr>
            <w:r w:rsidRPr="00BC1E67">
              <w:rPr>
                <w:szCs w:val="18"/>
              </w:rPr>
              <w:t>Voorst</w:t>
            </w:r>
            <w:r w:rsidRPr="00BC1E67" w:rsidR="002F510C">
              <w:rPr>
                <w:szCs w:val="18"/>
              </w:rPr>
              <w:t>e</w:t>
            </w:r>
            <w:r w:rsidRPr="00BC1E67">
              <w:rPr>
                <w:szCs w:val="18"/>
              </w:rPr>
              <w:t>l</w:t>
            </w:r>
          </w:p>
        </w:tc>
        <w:tc>
          <w:tcPr>
            <w:tcW w:w="6529" w:type="dxa"/>
          </w:tcPr>
          <w:p w:rsidRPr="00BC1E67" w:rsidR="00176174" w:rsidP="00D4630B" w:rsidRDefault="001E6CA3" w14:paraId="53F22CBF" w14:textId="3AD93ECF">
            <w:pPr>
              <w:spacing w:after="240"/>
              <w:rPr>
                <w:szCs w:val="18"/>
              </w:rPr>
            </w:pPr>
            <w:r w:rsidRPr="00BC1E67">
              <w:rPr>
                <w:szCs w:val="18"/>
              </w:rPr>
              <w:t>Reeds betrokken bij het commissiedebat Informele Eurogroep/Ecofinraad van 5 september 2024.</w:t>
            </w:r>
          </w:p>
        </w:tc>
      </w:tr>
      <w:tr w:rsidRPr="00BC1E67" w:rsidR="00176174" w:rsidTr="002F510C" w14:paraId="469F1CCB"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3359C8" w:rsidRDefault="00176174" w14:paraId="2A860F2E" w14:textId="77777777">
            <w:pPr>
              <w:pStyle w:val="Lijstalinea"/>
              <w:numPr>
                <w:ilvl w:val="0"/>
                <w:numId w:val="10"/>
              </w:numPr>
              <w:spacing w:after="240"/>
              <w:ind w:left="312"/>
              <w:rPr>
                <w:color w:val="595959" w:themeColor="text1" w:themeTint="A6"/>
                <w:szCs w:val="18"/>
              </w:rPr>
            </w:pPr>
          </w:p>
        </w:tc>
        <w:tc>
          <w:tcPr>
            <w:tcW w:w="1035" w:type="dxa"/>
          </w:tcPr>
          <w:p w:rsidRPr="00BC1E67" w:rsidR="00176174" w:rsidP="00D4630B" w:rsidRDefault="00176174" w14:paraId="74012E07" w14:textId="75606E4E">
            <w:pPr>
              <w:spacing w:after="240"/>
              <w:rPr>
                <w:color w:val="595959" w:themeColor="text1" w:themeTint="A6"/>
                <w:szCs w:val="18"/>
              </w:rPr>
            </w:pPr>
            <w:r w:rsidRPr="00BC1E67">
              <w:rPr>
                <w:color w:val="595959" w:themeColor="text1" w:themeTint="A6"/>
                <w:szCs w:val="18"/>
              </w:rPr>
              <w:t>Noot</w:t>
            </w:r>
          </w:p>
        </w:tc>
        <w:tc>
          <w:tcPr>
            <w:tcW w:w="6529" w:type="dxa"/>
          </w:tcPr>
          <w:p w:rsidRPr="00BC1E67" w:rsidR="00176174" w:rsidP="00D4630B" w:rsidRDefault="001E6CA3" w14:paraId="6C4FA5F8" w14:textId="7716D8F6">
            <w:pPr>
              <w:spacing w:after="240"/>
              <w:rPr>
                <w:color w:val="595959" w:themeColor="text1" w:themeTint="A6"/>
                <w:szCs w:val="18"/>
              </w:rPr>
            </w:pPr>
            <w:r w:rsidRPr="00BC1E67">
              <w:rPr>
                <w:color w:val="595959" w:themeColor="text1" w:themeTint="A6"/>
                <w:szCs w:val="18"/>
              </w:rPr>
              <w:t>Dit betreft het voorstel van de Europese Commissie voor de EU Jaarbegroting 2025. In de Kamerbrief van 4 september heeft de minister de Kamer geïnformeerd over de overeengekomen positie van de Raad ten aanzien van het voorstel van de Europese Commissie. Over de Nederlandse inzet is de Kamer op 28 juni jl. geïnformeerd. Deze Raadspositie vormt het uitgangspunt van de Raad voor de onderhandelingen met het Europees Parlement en de Commissie.</w:t>
            </w:r>
          </w:p>
        </w:tc>
      </w:tr>
    </w:tbl>
    <w:p w:rsidRPr="00BC1E67" w:rsidR="00176174" w:rsidP="00176174" w:rsidRDefault="00176174" w14:paraId="35247FF1"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176174" w:rsidTr="002F510C" w14:paraId="7C0BB8A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176174" w:rsidP="00566052" w:rsidRDefault="00176174" w14:paraId="447CD208" w14:textId="27E04CD6">
            <w:pPr>
              <w:pStyle w:val="Lijstalinea"/>
              <w:numPr>
                <w:ilvl w:val="0"/>
                <w:numId w:val="10"/>
              </w:numPr>
              <w:spacing w:after="240"/>
              <w:ind w:left="312"/>
              <w:rPr>
                <w:szCs w:val="18"/>
              </w:rPr>
            </w:pPr>
          </w:p>
        </w:tc>
        <w:tc>
          <w:tcPr>
            <w:tcW w:w="1035" w:type="dxa"/>
          </w:tcPr>
          <w:p w:rsidRPr="00BC1E67" w:rsidR="00176174" w:rsidP="00D4630B" w:rsidRDefault="00176174" w14:paraId="03924F55"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176174" w:rsidP="00D4630B" w:rsidRDefault="009542C9" w14:paraId="1EFA1BDD" w14:textId="3DFCAF1E">
            <w:pPr>
              <w:spacing w:after="240"/>
              <w:rPr>
                <w:b/>
                <w:color w:val="595959" w:themeColor="text1" w:themeTint="A6"/>
                <w:szCs w:val="18"/>
              </w:rPr>
            </w:pPr>
            <w:r w:rsidRPr="00BC1E67">
              <w:rPr>
                <w:szCs w:val="18"/>
              </w:rPr>
              <w:t xml:space="preserve">Voorstel voor een UITVOERINGSBESLUIT VAN DE RAAD tot wijziging van Uitvoeringsbesluit (EU) 2021/1778 waarbij de machtiging van Duitsland om een bijzondere maatregel te blijven toepassen die afwijkt van artikel 193 van Richtlijn 2006/112/EG betreffende het gemeenschappelijke stelsel van belasting over de toegevoegde waarde, wordt verlengd </w:t>
            </w:r>
            <w:hyperlink w:history="1" r:id="rId39">
              <w:r w:rsidRPr="00BC1E67">
                <w:rPr>
                  <w:rStyle w:val="Hyperlink"/>
                  <w:szCs w:val="18"/>
                </w:rPr>
                <w:t>COM/2024/294</w:t>
              </w:r>
            </w:hyperlink>
          </w:p>
        </w:tc>
      </w:tr>
      <w:tr w:rsidRPr="00BC1E67" w:rsidR="00176174" w:rsidTr="002F510C" w14:paraId="0613CB80"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68B82141" w14:textId="77777777">
            <w:pPr>
              <w:spacing w:after="240"/>
              <w:rPr>
                <w:szCs w:val="18"/>
              </w:rPr>
            </w:pPr>
          </w:p>
        </w:tc>
        <w:tc>
          <w:tcPr>
            <w:tcW w:w="1035" w:type="dxa"/>
          </w:tcPr>
          <w:p w:rsidRPr="00BC1E67" w:rsidR="00176174" w:rsidP="00D4630B" w:rsidRDefault="00176174" w14:paraId="7AE0B02C" w14:textId="77777777">
            <w:pPr>
              <w:spacing w:after="240"/>
              <w:rPr>
                <w:szCs w:val="18"/>
              </w:rPr>
            </w:pPr>
            <w:r w:rsidRPr="00BC1E67">
              <w:rPr>
                <w:szCs w:val="18"/>
              </w:rPr>
              <w:t>Voorstel</w:t>
            </w:r>
          </w:p>
        </w:tc>
        <w:tc>
          <w:tcPr>
            <w:tcW w:w="6529" w:type="dxa"/>
          </w:tcPr>
          <w:p w:rsidRPr="00BC1E67" w:rsidR="00176174" w:rsidP="00D4630B" w:rsidRDefault="001E6CA3" w14:paraId="18D387F7" w14:textId="5754594E">
            <w:pPr>
              <w:spacing w:after="240"/>
              <w:rPr>
                <w:szCs w:val="18"/>
              </w:rPr>
            </w:pPr>
            <w:r w:rsidRPr="00BC1E67">
              <w:rPr>
                <w:szCs w:val="18"/>
              </w:rPr>
              <w:t>Voor kennisgeving aannemen</w:t>
            </w:r>
          </w:p>
        </w:tc>
      </w:tr>
      <w:tr w:rsidRPr="00BC1E67" w:rsidR="00176174" w:rsidTr="002F510C" w14:paraId="18A180BA"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4072ACE4" w14:textId="77777777">
            <w:pPr>
              <w:spacing w:after="240"/>
              <w:rPr>
                <w:color w:val="595959" w:themeColor="text1" w:themeTint="A6"/>
                <w:szCs w:val="18"/>
              </w:rPr>
            </w:pPr>
          </w:p>
        </w:tc>
        <w:tc>
          <w:tcPr>
            <w:tcW w:w="1035" w:type="dxa"/>
          </w:tcPr>
          <w:p w:rsidRPr="00BC1E67" w:rsidR="00176174" w:rsidP="00D4630B" w:rsidRDefault="00176174" w14:paraId="0A5F73EF"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176174" w:rsidP="00D4630B" w:rsidRDefault="001E6CA3" w14:paraId="0AEF47C8" w14:textId="77A270F5">
            <w:pPr>
              <w:spacing w:after="240"/>
              <w:rPr>
                <w:color w:val="595959" w:themeColor="text1" w:themeTint="A6"/>
                <w:szCs w:val="18"/>
              </w:rPr>
            </w:pPr>
            <w:r w:rsidRPr="00BC1E67">
              <w:rPr>
                <w:color w:val="595959" w:themeColor="text1" w:themeTint="A6"/>
                <w:szCs w:val="18"/>
              </w:rPr>
              <w:t xml:space="preserve">In de btw-richtlijn kan de Raad op voorstel van de Commissie met eenparigheid van stemmen elke lidstaat machtigen bijzondere, van de bepalingen van deze richtlijn afwijkende maatregelen te nemen, </w:t>
            </w:r>
            <w:r w:rsidRPr="00BC1E67">
              <w:rPr>
                <w:color w:val="595959" w:themeColor="text1" w:themeTint="A6"/>
                <w:szCs w:val="18"/>
              </w:rPr>
              <w:lastRenderedPageBreak/>
              <w:t>teneinde de belastinginning te vereenvoudigen of bepaalde vormen van belastingfraude of -ontwijking te voorkomen. Duitsland heeft verzocht om de bijzondere maatregel wat betreft de tot voldoening van de btw gehouden persoon in het geval van overdracht van emissierechten die in het nationale systeem worden verhandeld in het kader van de wet op de brandstofemissierechtenhandel (BEHG) van 12 december 2019 te mogen blijven toepassen. De Commissie stelt voor hiermee in te stemmen.</w:t>
            </w:r>
          </w:p>
        </w:tc>
      </w:tr>
    </w:tbl>
    <w:p w:rsidRPr="00BC1E67" w:rsidR="00176174" w:rsidP="00176174" w:rsidRDefault="00176174" w14:paraId="371F3D3B"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D3F0C" w:rsidR="00176174" w:rsidTr="00D4630B" w14:paraId="4B6D5E56"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176174" w:rsidP="00566052" w:rsidRDefault="003359C8" w14:paraId="65953937" w14:textId="712F7AEA">
            <w:pPr>
              <w:pStyle w:val="Lijstalinea"/>
              <w:numPr>
                <w:ilvl w:val="0"/>
                <w:numId w:val="10"/>
              </w:numPr>
              <w:spacing w:after="240"/>
              <w:ind w:left="312"/>
              <w:rPr>
                <w:color w:val="595959" w:themeColor="text1" w:themeTint="A6"/>
                <w:szCs w:val="18"/>
              </w:rPr>
            </w:pPr>
            <w:r w:rsidRPr="00BC1E67">
              <w:rPr>
                <w:color w:val="595959" w:themeColor="text1" w:themeTint="A6"/>
                <w:szCs w:val="18"/>
              </w:rPr>
              <w:t>27</w:t>
            </w:r>
          </w:p>
        </w:tc>
        <w:tc>
          <w:tcPr>
            <w:tcW w:w="1035" w:type="dxa"/>
          </w:tcPr>
          <w:p w:rsidRPr="00BC1E67" w:rsidR="00176174" w:rsidP="00D4630B" w:rsidRDefault="00176174" w14:paraId="28C0EEB0"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176174" w:rsidP="00D4630B" w:rsidRDefault="009542C9" w14:paraId="0C91AB82" w14:textId="49AE6C4D">
            <w:pPr>
              <w:spacing w:after="240"/>
              <w:rPr>
                <w:b/>
                <w:color w:val="595959" w:themeColor="text1" w:themeTint="A6"/>
                <w:szCs w:val="18"/>
                <w:lang w:val="en-US"/>
              </w:rPr>
            </w:pPr>
            <w:r w:rsidRPr="00BC1E67">
              <w:rPr>
                <w:szCs w:val="18"/>
                <w:lang w:val="en-US"/>
              </w:rPr>
              <w:t xml:space="preserve">Proposal for a COUNCIL IMPLEMENTING DECISION on establishing the satisfactory fulfilment of the conditions for the payment of the first instalment of the non-repayable financial support and of the loan support under the Ukraine Plan of the Ukraine Facility </w:t>
            </w:r>
            <w:hyperlink w:history="1" r:id="rId40">
              <w:r w:rsidRPr="00BC1E67">
                <w:rPr>
                  <w:rStyle w:val="Hyperlink"/>
                  <w:szCs w:val="18"/>
                  <w:lang w:val="en-US"/>
                </w:rPr>
                <w:t>COM/2024/321</w:t>
              </w:r>
            </w:hyperlink>
          </w:p>
        </w:tc>
      </w:tr>
      <w:tr w:rsidRPr="00BC1E67" w:rsidR="00176174" w:rsidTr="00D4630B" w14:paraId="5ECEEE91"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3DC8E75A" w14:textId="77777777">
            <w:pPr>
              <w:spacing w:after="240"/>
              <w:rPr>
                <w:szCs w:val="18"/>
                <w:lang w:val="en-US"/>
              </w:rPr>
            </w:pPr>
          </w:p>
        </w:tc>
        <w:tc>
          <w:tcPr>
            <w:tcW w:w="1035" w:type="dxa"/>
          </w:tcPr>
          <w:p w:rsidRPr="00BC1E67" w:rsidR="00176174" w:rsidP="00D4630B" w:rsidRDefault="00176174" w14:paraId="5F6046ED" w14:textId="77777777">
            <w:pPr>
              <w:spacing w:after="240"/>
              <w:rPr>
                <w:szCs w:val="18"/>
              </w:rPr>
            </w:pPr>
            <w:r w:rsidRPr="00BC1E67">
              <w:rPr>
                <w:szCs w:val="18"/>
              </w:rPr>
              <w:t>Voorstel</w:t>
            </w:r>
          </w:p>
        </w:tc>
        <w:tc>
          <w:tcPr>
            <w:tcW w:w="6529" w:type="dxa"/>
          </w:tcPr>
          <w:p w:rsidRPr="00BC1E67" w:rsidR="00176174" w:rsidP="00D4630B" w:rsidRDefault="001E6CA3" w14:paraId="0B8DED22" w14:textId="6E68590A">
            <w:pPr>
              <w:spacing w:after="240"/>
              <w:rPr>
                <w:szCs w:val="18"/>
              </w:rPr>
            </w:pPr>
            <w:r w:rsidRPr="00BC1E67">
              <w:rPr>
                <w:szCs w:val="18"/>
              </w:rPr>
              <w:t>Voor kennisgeving aannemen</w:t>
            </w:r>
          </w:p>
        </w:tc>
      </w:tr>
      <w:tr w:rsidRPr="00BC1E67" w:rsidR="00176174" w:rsidTr="00D4630B" w14:paraId="077BC9C0"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43A319E0" w14:textId="77777777">
            <w:pPr>
              <w:spacing w:after="240"/>
              <w:rPr>
                <w:color w:val="595959" w:themeColor="text1" w:themeTint="A6"/>
                <w:szCs w:val="18"/>
              </w:rPr>
            </w:pPr>
          </w:p>
        </w:tc>
        <w:tc>
          <w:tcPr>
            <w:tcW w:w="1035" w:type="dxa"/>
          </w:tcPr>
          <w:p w:rsidRPr="00BC1E67" w:rsidR="00176174" w:rsidP="00D4630B" w:rsidRDefault="00176174" w14:paraId="6324811D"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176174" w:rsidP="001E6CA3" w:rsidRDefault="001E6CA3" w14:paraId="0A7A0E1B" w14:textId="1FC1C83A">
            <w:pPr>
              <w:spacing w:after="240"/>
              <w:rPr>
                <w:color w:val="595959" w:themeColor="text1" w:themeTint="A6"/>
                <w:szCs w:val="18"/>
              </w:rPr>
            </w:pPr>
            <w:r w:rsidRPr="00BC1E67">
              <w:rPr>
                <w:color w:val="595959" w:themeColor="text1" w:themeTint="A6"/>
                <w:szCs w:val="18"/>
              </w:rPr>
              <w:t>Dit betreft een</w:t>
            </w:r>
            <w:r w:rsidRPr="00BC1E67">
              <w:rPr>
                <w:szCs w:val="18"/>
              </w:rPr>
              <w:t xml:space="preserve"> </w:t>
            </w:r>
            <w:r w:rsidRPr="00BC1E67">
              <w:rPr>
                <w:color w:val="595959" w:themeColor="text1" w:themeTint="A6"/>
                <w:szCs w:val="18"/>
              </w:rPr>
              <w:t xml:space="preserve">voorstel van de Commissie voor een besluit van de Raad waarin wordt vastgesteld dat op ‘bevredigende wijze is voldaan aan de voorwaarden voor de betaling van de eerste tranche van de niet-terugbetaalbare financiële steun en de steun via leningen uit hoofde van het Oekraïneplan’, in het kader van de Oekraïne-faciliteit. Op 25 mei 2025 werd het Oekraïneplan goedgekeurd door de Raad, waar de voorwaarden waaraan Oekraïne moest voldoen zijn vastgelegd. </w:t>
            </w:r>
          </w:p>
        </w:tc>
      </w:tr>
    </w:tbl>
    <w:p w:rsidRPr="00BC1E67" w:rsidR="00176174" w:rsidP="00176174" w:rsidRDefault="00176174" w14:paraId="11222294"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D3F0C" w:rsidR="00176174" w:rsidTr="00D4630B" w14:paraId="74AA7475"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176174" w:rsidP="00566052" w:rsidRDefault="00176174" w14:paraId="757C2ECC" w14:textId="77777777">
            <w:pPr>
              <w:pStyle w:val="Lijstalinea"/>
              <w:numPr>
                <w:ilvl w:val="0"/>
                <w:numId w:val="10"/>
              </w:numPr>
              <w:spacing w:after="240"/>
              <w:ind w:left="312"/>
              <w:rPr>
                <w:color w:val="595959" w:themeColor="text1" w:themeTint="A6"/>
                <w:szCs w:val="18"/>
              </w:rPr>
            </w:pPr>
          </w:p>
        </w:tc>
        <w:tc>
          <w:tcPr>
            <w:tcW w:w="1035" w:type="dxa"/>
          </w:tcPr>
          <w:p w:rsidRPr="00BC1E67" w:rsidR="00176174" w:rsidP="00D4630B" w:rsidRDefault="00176174" w14:paraId="381C3F79"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176174" w:rsidP="00D4630B" w:rsidRDefault="009542C9" w14:paraId="2EBBC612" w14:textId="7C08E682">
            <w:pPr>
              <w:spacing w:after="240"/>
              <w:rPr>
                <w:b/>
                <w:color w:val="595959" w:themeColor="text1" w:themeTint="A6"/>
                <w:szCs w:val="18"/>
                <w:lang w:val="en-US"/>
              </w:rPr>
            </w:pPr>
            <w:r w:rsidRPr="00BC1E67">
              <w:rPr>
                <w:szCs w:val="18"/>
                <w:lang w:val="en-US"/>
              </w:rPr>
              <w:t xml:space="preserve">DRAFT AMENDING BUDGET No 4 TO THE GENERAL BUDGET 2024 Update of revenue (own resources) and adjustments to some decentralised agencies </w:t>
            </w:r>
            <w:hyperlink w:history="1" r:id="rId41">
              <w:r w:rsidRPr="00BC1E67">
                <w:rPr>
                  <w:rStyle w:val="Hyperlink"/>
                  <w:szCs w:val="18"/>
                  <w:lang w:val="en-US"/>
                </w:rPr>
                <w:t>COM/2024/931</w:t>
              </w:r>
            </w:hyperlink>
          </w:p>
        </w:tc>
      </w:tr>
      <w:tr w:rsidRPr="00BC1E67" w:rsidR="00176174" w:rsidTr="00D4630B" w14:paraId="6E0332C7"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4A429720" w14:textId="77777777">
            <w:pPr>
              <w:spacing w:after="240"/>
              <w:rPr>
                <w:szCs w:val="18"/>
                <w:lang w:val="en-US"/>
              </w:rPr>
            </w:pPr>
          </w:p>
        </w:tc>
        <w:tc>
          <w:tcPr>
            <w:tcW w:w="1035" w:type="dxa"/>
          </w:tcPr>
          <w:p w:rsidRPr="00BC1E67" w:rsidR="00176174" w:rsidP="00D4630B" w:rsidRDefault="00176174" w14:paraId="77AC92BE" w14:textId="77777777">
            <w:pPr>
              <w:spacing w:after="240"/>
              <w:rPr>
                <w:szCs w:val="18"/>
              </w:rPr>
            </w:pPr>
            <w:r w:rsidRPr="00BC1E67">
              <w:rPr>
                <w:szCs w:val="18"/>
              </w:rPr>
              <w:t>Voorstel</w:t>
            </w:r>
          </w:p>
        </w:tc>
        <w:tc>
          <w:tcPr>
            <w:tcW w:w="6529" w:type="dxa"/>
          </w:tcPr>
          <w:p w:rsidRPr="00BC1E67" w:rsidR="00176174" w:rsidP="00D4630B" w:rsidRDefault="002418EC" w14:paraId="32868759" w14:textId="5852AEB2">
            <w:pPr>
              <w:spacing w:after="240"/>
              <w:rPr>
                <w:szCs w:val="18"/>
              </w:rPr>
            </w:pPr>
            <w:r w:rsidRPr="00BC1E67">
              <w:rPr>
                <w:szCs w:val="18"/>
              </w:rPr>
              <w:t xml:space="preserve">Desgewenst betrekken bij het commissiedebat Eurogroep/Ecofinraad van 1 oktober 2024. </w:t>
            </w:r>
          </w:p>
        </w:tc>
      </w:tr>
      <w:tr w:rsidRPr="00BC1E67" w:rsidR="00176174" w:rsidTr="00D4630B" w14:paraId="4F74EC13"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176174" w:rsidP="00D4630B" w:rsidRDefault="00176174" w14:paraId="0BBFE725" w14:textId="77777777">
            <w:pPr>
              <w:spacing w:after="240"/>
              <w:rPr>
                <w:color w:val="595959" w:themeColor="text1" w:themeTint="A6"/>
                <w:szCs w:val="18"/>
              </w:rPr>
            </w:pPr>
          </w:p>
        </w:tc>
        <w:tc>
          <w:tcPr>
            <w:tcW w:w="1035" w:type="dxa"/>
          </w:tcPr>
          <w:p w:rsidRPr="00BC1E67" w:rsidR="00176174" w:rsidP="00D4630B" w:rsidRDefault="00176174" w14:paraId="5C132AD1"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2418EC" w:rsidP="00D4630B" w:rsidRDefault="002418EC" w14:paraId="44A17D5D" w14:textId="77777777">
            <w:pPr>
              <w:spacing w:after="240"/>
              <w:rPr>
                <w:color w:val="595959" w:themeColor="text1" w:themeTint="A6"/>
                <w:szCs w:val="18"/>
              </w:rPr>
            </w:pPr>
            <w:r w:rsidRPr="00BC1E67">
              <w:rPr>
                <w:color w:val="595959" w:themeColor="text1" w:themeTint="A6"/>
                <w:szCs w:val="18"/>
              </w:rPr>
              <w:t xml:space="preserve">Dit betreft de vierde aanvullende Europese begroting van 2024 (DAB4). In DAB4 wijzigt de Commissie de Europese begroting voor 2024 op een aantal punten. Ten eerste actualiseert de Commissie, conform het Financieel Reglement, de Europese begroting voor de meest recente economische ramingen voor de eigen middelen. Dit gebeurt op basis van de Lenteraming van de Commissie en de cijfers die zijn vastgesteld in het Raadgevend Comité voor de eigen middelen (Advisory Committee on Own Resources; ACOR). </w:t>
            </w:r>
          </w:p>
          <w:p w:rsidRPr="00BC1E67" w:rsidR="002418EC" w:rsidP="002418EC" w:rsidRDefault="002418EC" w14:paraId="665E6C7D" w14:textId="2CDDA8C1">
            <w:pPr>
              <w:spacing w:after="240"/>
              <w:rPr>
                <w:color w:val="595959" w:themeColor="text1" w:themeTint="A6"/>
                <w:szCs w:val="18"/>
              </w:rPr>
            </w:pPr>
            <w:r w:rsidRPr="00BC1E67">
              <w:rPr>
                <w:color w:val="595959" w:themeColor="text1" w:themeTint="A6"/>
                <w:szCs w:val="18"/>
              </w:rPr>
              <w:t>Deze actualisatie heeft een effect op de raming van de Nederlandse plastic-, btw- en bni-afdracht. Het cumulatieve effect van de bijstellingen op de raming van de Nederlandse afdracht is een stijging van 501 miljoen euro in 2024 en 498 miljoen euro in 2025. Dit effect werkt meerjarig door tot en met 2029. De verwachting op basis van huidige cijfers is een stijging van de raming van de Nederlandse EU-afdracht met 788 miljoen in 2029.</w:t>
            </w:r>
            <w:r w:rsidRPr="00BC1E67" w:rsidR="008717FF">
              <w:rPr>
                <w:color w:val="595959" w:themeColor="text1" w:themeTint="A6"/>
                <w:szCs w:val="18"/>
              </w:rPr>
              <w:t xml:space="preserve"> Uw Kamer is hier reeds over geïnformeerd in de Kamerbrief van 4 september 2024.</w:t>
            </w:r>
          </w:p>
        </w:tc>
      </w:tr>
    </w:tbl>
    <w:p w:rsidRPr="00BC1E67" w:rsidR="00176174" w:rsidP="00176174" w:rsidRDefault="00176174" w14:paraId="5AA13507"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3359C8" w:rsidTr="00363715" w14:paraId="34B880A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3359C8" w:rsidP="00566052" w:rsidRDefault="003359C8" w14:paraId="56CAABB3" w14:textId="28204415">
            <w:pPr>
              <w:pStyle w:val="Lijstalinea"/>
              <w:numPr>
                <w:ilvl w:val="0"/>
                <w:numId w:val="10"/>
              </w:numPr>
              <w:spacing w:after="240"/>
              <w:ind w:left="312"/>
              <w:rPr>
                <w:color w:val="595959" w:themeColor="text1" w:themeTint="A6"/>
                <w:szCs w:val="18"/>
              </w:rPr>
            </w:pPr>
            <w:r w:rsidRPr="00BC1E67">
              <w:rPr>
                <w:color w:val="595959" w:themeColor="text1" w:themeTint="A6"/>
                <w:szCs w:val="18"/>
              </w:rPr>
              <w:t>28</w:t>
            </w:r>
          </w:p>
        </w:tc>
        <w:tc>
          <w:tcPr>
            <w:tcW w:w="1035" w:type="dxa"/>
          </w:tcPr>
          <w:p w:rsidRPr="00BC1E67" w:rsidR="003359C8" w:rsidP="00363715" w:rsidRDefault="003359C8" w14:paraId="3829D263"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3359C8" w:rsidP="00363715" w:rsidRDefault="00560FDE" w14:paraId="3778EA12" w14:textId="52F90BBC">
            <w:pPr>
              <w:spacing w:after="240"/>
              <w:rPr>
                <w:b/>
                <w:color w:val="595959" w:themeColor="text1" w:themeTint="A6"/>
                <w:szCs w:val="18"/>
              </w:rPr>
            </w:pPr>
            <w:r w:rsidRPr="00BC1E67">
              <w:rPr>
                <w:szCs w:val="18"/>
              </w:rPr>
              <w:t xml:space="preserve">VERSLAG VAN DE COMMISSIE AAN HET EUROPEES PARLEMENT EN DE RAAD over de werking van Verordening (EU) nr. 912/2014 inzake de financiële verantwoordelijkheid in verband met scheidsgerechten voor de beslechting van geschillen tussen investeerders en staten die zijn ingesteld bij internationale overeenkomsten waarbij de Europese Unie partij is </w:t>
            </w:r>
            <w:hyperlink w:history="1" r:id="rId42">
              <w:r w:rsidRPr="00BC1E67">
                <w:rPr>
                  <w:rStyle w:val="Hyperlink"/>
                  <w:szCs w:val="18"/>
                </w:rPr>
                <w:t>COM/2024/305</w:t>
              </w:r>
            </w:hyperlink>
          </w:p>
        </w:tc>
      </w:tr>
      <w:tr w:rsidRPr="00BC1E67" w:rsidR="003359C8" w:rsidTr="00363715" w14:paraId="43EF9E5D"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3359C8" w:rsidP="00363715" w:rsidRDefault="003359C8" w14:paraId="252CE894" w14:textId="77777777">
            <w:pPr>
              <w:spacing w:after="240"/>
              <w:rPr>
                <w:szCs w:val="18"/>
              </w:rPr>
            </w:pPr>
          </w:p>
        </w:tc>
        <w:tc>
          <w:tcPr>
            <w:tcW w:w="1035" w:type="dxa"/>
          </w:tcPr>
          <w:p w:rsidRPr="00BC1E67" w:rsidR="003359C8" w:rsidP="00363715" w:rsidRDefault="003359C8" w14:paraId="46E3420B" w14:textId="77777777">
            <w:pPr>
              <w:spacing w:after="240"/>
              <w:rPr>
                <w:szCs w:val="18"/>
              </w:rPr>
            </w:pPr>
            <w:r w:rsidRPr="00BC1E67">
              <w:rPr>
                <w:szCs w:val="18"/>
              </w:rPr>
              <w:t>Voorstel</w:t>
            </w:r>
          </w:p>
        </w:tc>
        <w:tc>
          <w:tcPr>
            <w:tcW w:w="6529" w:type="dxa"/>
          </w:tcPr>
          <w:p w:rsidRPr="00BC1E67" w:rsidR="003359C8" w:rsidP="00363715" w:rsidRDefault="008717FF" w14:paraId="17697664" w14:textId="4E7E1327">
            <w:pPr>
              <w:spacing w:after="240"/>
              <w:rPr>
                <w:szCs w:val="18"/>
              </w:rPr>
            </w:pPr>
            <w:r w:rsidRPr="00BC1E67">
              <w:rPr>
                <w:szCs w:val="18"/>
              </w:rPr>
              <w:t>Voor kennisgeving aannemen</w:t>
            </w:r>
          </w:p>
        </w:tc>
      </w:tr>
      <w:tr w:rsidRPr="00BC1E67" w:rsidR="003359C8" w:rsidTr="00363715" w14:paraId="228EE26D"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3359C8" w:rsidP="00363715" w:rsidRDefault="003359C8" w14:paraId="5A9B2CED" w14:textId="77777777">
            <w:pPr>
              <w:spacing w:after="240"/>
              <w:rPr>
                <w:color w:val="595959" w:themeColor="text1" w:themeTint="A6"/>
                <w:szCs w:val="18"/>
              </w:rPr>
            </w:pPr>
          </w:p>
        </w:tc>
        <w:tc>
          <w:tcPr>
            <w:tcW w:w="1035" w:type="dxa"/>
          </w:tcPr>
          <w:p w:rsidRPr="00BC1E67" w:rsidR="003359C8" w:rsidP="00363715" w:rsidRDefault="003359C8" w14:paraId="0E176375"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3359C8" w:rsidP="00363715" w:rsidRDefault="008717FF" w14:paraId="324F2D70" w14:textId="7AA75C21">
            <w:pPr>
              <w:spacing w:after="240"/>
              <w:rPr>
                <w:color w:val="595959" w:themeColor="text1" w:themeTint="A6"/>
                <w:szCs w:val="18"/>
              </w:rPr>
            </w:pPr>
            <w:r w:rsidRPr="00BC1E67">
              <w:rPr>
                <w:color w:val="595959" w:themeColor="text1" w:themeTint="A6"/>
                <w:szCs w:val="18"/>
              </w:rPr>
              <w:t>Dit betreft een verslag van de Commissie over het kader voor het regelen van de financiële verantwoordelijkheid in verband met scheidsgerechten voor de beslechting van geschillen tussen investeerders en staten die zijn ingesteld bij internationale overeenkomsten waarbij de Europese Unie partij is.</w:t>
            </w:r>
          </w:p>
        </w:tc>
      </w:tr>
    </w:tbl>
    <w:p w:rsidRPr="00BC1E67" w:rsidR="003359C8" w:rsidP="00176174" w:rsidRDefault="003359C8" w14:paraId="3D4D3A84"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3359C8" w:rsidTr="00363715" w14:paraId="6922D4AF"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3359C8" w:rsidP="00363715" w:rsidRDefault="003359C8" w14:paraId="0AE1A950" w14:textId="77777777">
            <w:pPr>
              <w:pStyle w:val="Lijstalinea"/>
              <w:numPr>
                <w:ilvl w:val="0"/>
                <w:numId w:val="10"/>
              </w:numPr>
              <w:spacing w:after="240"/>
              <w:ind w:left="312"/>
              <w:rPr>
                <w:color w:val="595959" w:themeColor="text1" w:themeTint="A6"/>
                <w:szCs w:val="18"/>
              </w:rPr>
            </w:pPr>
          </w:p>
        </w:tc>
        <w:tc>
          <w:tcPr>
            <w:tcW w:w="1035" w:type="dxa"/>
          </w:tcPr>
          <w:p w:rsidRPr="00BC1E67" w:rsidR="003359C8" w:rsidP="00363715" w:rsidRDefault="003359C8" w14:paraId="0E29244D"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3359C8" w:rsidP="00363715" w:rsidRDefault="00CB7E3F" w14:paraId="5B626753" w14:textId="7A2ABD5B">
            <w:pPr>
              <w:spacing w:after="240"/>
              <w:rPr>
                <w:b/>
                <w:color w:val="595959" w:themeColor="text1" w:themeTint="A6"/>
                <w:szCs w:val="18"/>
              </w:rPr>
            </w:pPr>
            <w:r w:rsidRPr="00BC1E67">
              <w:rPr>
                <w:szCs w:val="18"/>
              </w:rPr>
              <w:t xml:space="preserve">VERSLAG VAN DE COMMISSIE AAN HET EUROPEES PARLEMENT EN DE RAAD overeenkomstig artikel 410 ter van de btw-richtlijn, over de toepassing van de btw-regels voor vouchers - definitie, distributieketens en niet-ingewisselde vouchers - </w:t>
            </w:r>
            <w:hyperlink w:history="1" r:id="rId43">
              <w:r w:rsidRPr="00BC1E67">
                <w:rPr>
                  <w:rStyle w:val="Hyperlink"/>
                  <w:szCs w:val="18"/>
                </w:rPr>
                <w:t>COM/2024/307</w:t>
              </w:r>
            </w:hyperlink>
          </w:p>
        </w:tc>
      </w:tr>
      <w:tr w:rsidRPr="00BC1E67" w:rsidR="003359C8" w:rsidTr="00363715" w14:paraId="4F002126"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3359C8" w:rsidP="00363715" w:rsidRDefault="003359C8" w14:paraId="78462F3D" w14:textId="77777777">
            <w:pPr>
              <w:spacing w:after="240"/>
              <w:rPr>
                <w:szCs w:val="18"/>
              </w:rPr>
            </w:pPr>
          </w:p>
        </w:tc>
        <w:tc>
          <w:tcPr>
            <w:tcW w:w="1035" w:type="dxa"/>
          </w:tcPr>
          <w:p w:rsidRPr="00BC1E67" w:rsidR="003359C8" w:rsidP="00363715" w:rsidRDefault="003359C8" w14:paraId="378F260E" w14:textId="77777777">
            <w:pPr>
              <w:spacing w:after="240"/>
              <w:rPr>
                <w:szCs w:val="18"/>
              </w:rPr>
            </w:pPr>
            <w:r w:rsidRPr="00BC1E67">
              <w:rPr>
                <w:szCs w:val="18"/>
              </w:rPr>
              <w:t>Voorstel</w:t>
            </w:r>
          </w:p>
        </w:tc>
        <w:tc>
          <w:tcPr>
            <w:tcW w:w="6529" w:type="dxa"/>
          </w:tcPr>
          <w:p w:rsidRPr="00BC1E67" w:rsidR="003359C8" w:rsidP="00363715" w:rsidRDefault="006D5087" w14:paraId="09B3BA56" w14:textId="3B1C6802">
            <w:pPr>
              <w:spacing w:after="240"/>
              <w:rPr>
                <w:szCs w:val="18"/>
              </w:rPr>
            </w:pPr>
            <w:r w:rsidRPr="00BC1E67">
              <w:rPr>
                <w:szCs w:val="18"/>
              </w:rPr>
              <w:t>Voor kennisgeving aannemen</w:t>
            </w:r>
          </w:p>
        </w:tc>
      </w:tr>
      <w:tr w:rsidRPr="00BC1E67" w:rsidR="003359C8" w:rsidTr="00363715" w14:paraId="45629CB9"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3359C8" w:rsidP="00363715" w:rsidRDefault="003359C8" w14:paraId="53049994" w14:textId="77777777">
            <w:pPr>
              <w:spacing w:after="240"/>
              <w:rPr>
                <w:color w:val="595959" w:themeColor="text1" w:themeTint="A6"/>
                <w:szCs w:val="18"/>
              </w:rPr>
            </w:pPr>
          </w:p>
        </w:tc>
        <w:tc>
          <w:tcPr>
            <w:tcW w:w="1035" w:type="dxa"/>
          </w:tcPr>
          <w:p w:rsidRPr="00BC1E67" w:rsidR="003359C8" w:rsidP="00363715" w:rsidRDefault="003359C8" w14:paraId="72849662"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3359C8" w:rsidP="00363715" w:rsidRDefault="006D5087" w14:paraId="638A22B6" w14:textId="19805D92">
            <w:pPr>
              <w:spacing w:after="240"/>
              <w:rPr>
                <w:color w:val="595959" w:themeColor="text1" w:themeTint="A6"/>
                <w:szCs w:val="18"/>
              </w:rPr>
            </w:pPr>
            <w:r w:rsidRPr="00BC1E67">
              <w:rPr>
                <w:color w:val="595959" w:themeColor="text1" w:themeTint="A6"/>
                <w:szCs w:val="18"/>
              </w:rPr>
              <w:t>Dit artikel is gericht op de vereenvoudiging, modernisering en harmonisering van de btw-regels voor vouchers. De Commissie legt hierbij een evaluatieverslag voor over de btw-behandeling van vouchers, met bijzondere aandacht voor de definitie van vouchers, de btw-regels met betrekking tot de heffing op vouchers in de distributieketen en niet-ingewisselde vouchers.</w:t>
            </w:r>
          </w:p>
        </w:tc>
      </w:tr>
    </w:tbl>
    <w:p w:rsidRPr="00BC1E67" w:rsidR="003359C8" w:rsidP="00176174" w:rsidRDefault="003359C8" w14:paraId="065F2380"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D3F0C" w:rsidR="003359C8" w:rsidTr="00363715" w14:paraId="26B9990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3359C8" w:rsidP="00363715" w:rsidRDefault="003359C8" w14:paraId="1BA1638C" w14:textId="77777777">
            <w:pPr>
              <w:pStyle w:val="Lijstalinea"/>
              <w:numPr>
                <w:ilvl w:val="0"/>
                <w:numId w:val="10"/>
              </w:numPr>
              <w:spacing w:after="240"/>
              <w:ind w:left="312"/>
              <w:rPr>
                <w:color w:val="595959" w:themeColor="text1" w:themeTint="A6"/>
                <w:szCs w:val="18"/>
              </w:rPr>
            </w:pPr>
          </w:p>
        </w:tc>
        <w:tc>
          <w:tcPr>
            <w:tcW w:w="1035" w:type="dxa"/>
          </w:tcPr>
          <w:p w:rsidRPr="00BC1E67" w:rsidR="003359C8" w:rsidP="00363715" w:rsidRDefault="003359C8" w14:paraId="1974ADCE"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3359C8" w:rsidP="00363715" w:rsidRDefault="00A40CA1" w14:paraId="2C3C774D" w14:textId="16132504">
            <w:pPr>
              <w:spacing w:after="240"/>
              <w:rPr>
                <w:b/>
                <w:color w:val="595959" w:themeColor="text1" w:themeTint="A6"/>
                <w:szCs w:val="18"/>
                <w:lang w:val="en-US"/>
              </w:rPr>
            </w:pPr>
            <w:r w:rsidRPr="00BC1E67">
              <w:rPr>
                <w:szCs w:val="18"/>
                <w:lang w:val="en-US"/>
              </w:rPr>
              <w:t xml:space="preserve">Proposal for a COUNCIL IMPLEMENTING DECISION amending Implementing Decision (EU) (ST 10155/21 INIT; ST 10155/21 ADD1) of 13 July 2021 on the approval of the assessment of the recovery and resilience plan for Luxembourg </w:t>
            </w:r>
            <w:hyperlink w:history="1" r:id="rId44">
              <w:r w:rsidRPr="00BC1E67">
                <w:rPr>
                  <w:rStyle w:val="Hyperlink"/>
                  <w:szCs w:val="18"/>
                  <w:lang w:val="en-US"/>
                </w:rPr>
                <w:t>COM(2024)347</w:t>
              </w:r>
            </w:hyperlink>
          </w:p>
        </w:tc>
      </w:tr>
      <w:tr w:rsidRPr="00BC1E67" w:rsidR="003359C8" w:rsidTr="00363715" w14:paraId="3063DF19"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3359C8" w:rsidP="00363715" w:rsidRDefault="003359C8" w14:paraId="39310D31" w14:textId="77777777">
            <w:pPr>
              <w:spacing w:after="240"/>
              <w:rPr>
                <w:szCs w:val="18"/>
                <w:lang w:val="en-US"/>
              </w:rPr>
            </w:pPr>
          </w:p>
        </w:tc>
        <w:tc>
          <w:tcPr>
            <w:tcW w:w="1035" w:type="dxa"/>
          </w:tcPr>
          <w:p w:rsidRPr="00BC1E67" w:rsidR="003359C8" w:rsidP="00363715" w:rsidRDefault="003359C8" w14:paraId="29D3F49B" w14:textId="77777777">
            <w:pPr>
              <w:spacing w:after="240"/>
              <w:rPr>
                <w:szCs w:val="18"/>
              </w:rPr>
            </w:pPr>
            <w:r w:rsidRPr="00BC1E67">
              <w:rPr>
                <w:szCs w:val="18"/>
              </w:rPr>
              <w:t>Voorstel</w:t>
            </w:r>
          </w:p>
        </w:tc>
        <w:tc>
          <w:tcPr>
            <w:tcW w:w="6529" w:type="dxa"/>
          </w:tcPr>
          <w:p w:rsidRPr="00BC1E67" w:rsidR="003359C8" w:rsidP="00363715" w:rsidRDefault="006D5087" w14:paraId="435BB60D" w14:textId="3D9E4E16">
            <w:pPr>
              <w:spacing w:after="240"/>
              <w:rPr>
                <w:szCs w:val="18"/>
              </w:rPr>
            </w:pPr>
            <w:r w:rsidRPr="00BC1E67">
              <w:rPr>
                <w:szCs w:val="18"/>
              </w:rPr>
              <w:t>Reeds betrokken bij het schriftelijk overleg over de Eurogroep/Ecofinraad van 9 juli 2024.</w:t>
            </w:r>
          </w:p>
        </w:tc>
      </w:tr>
      <w:tr w:rsidRPr="00BC1E67" w:rsidR="006D5087" w:rsidTr="00363715" w14:paraId="79261DCD"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6D5087" w:rsidP="006D5087" w:rsidRDefault="006D5087" w14:paraId="02729BC6" w14:textId="77777777">
            <w:pPr>
              <w:spacing w:after="240"/>
              <w:rPr>
                <w:color w:val="595959" w:themeColor="text1" w:themeTint="A6"/>
                <w:szCs w:val="18"/>
              </w:rPr>
            </w:pPr>
          </w:p>
        </w:tc>
        <w:tc>
          <w:tcPr>
            <w:tcW w:w="1035" w:type="dxa"/>
          </w:tcPr>
          <w:p w:rsidRPr="00BC1E67" w:rsidR="006D5087" w:rsidP="006D5087" w:rsidRDefault="006D5087" w14:paraId="01CEBEAB"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6D5087" w:rsidP="006D5087" w:rsidRDefault="006D5087" w14:paraId="73756164" w14:textId="3DE5757B">
            <w:pPr>
              <w:spacing w:after="240"/>
              <w:rPr>
                <w:color w:val="595959" w:themeColor="text1" w:themeTint="A6"/>
                <w:szCs w:val="18"/>
              </w:rPr>
            </w:pPr>
            <w:r w:rsidRPr="00BC1E67">
              <w:rPr>
                <w:color w:val="595959" w:themeColor="text1" w:themeTint="A6"/>
                <w:szCs w:val="18"/>
              </w:rPr>
              <w:t>Dit betreft het uitvoeringsbesluit van de Raad over de goedkeuring van het aangepaste Luxemburgs Herstel- en Veerkrachtplan.</w:t>
            </w:r>
          </w:p>
        </w:tc>
      </w:tr>
    </w:tbl>
    <w:p w:rsidRPr="00BC1E67" w:rsidR="003359C8" w:rsidP="00176174" w:rsidRDefault="003359C8" w14:paraId="2A9B1C82"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D3F0C" w:rsidR="003359C8" w:rsidTr="00363715" w14:paraId="18BA0F1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3359C8" w:rsidP="00363715" w:rsidRDefault="003359C8" w14:paraId="09120121" w14:textId="77777777">
            <w:pPr>
              <w:pStyle w:val="Lijstalinea"/>
              <w:numPr>
                <w:ilvl w:val="0"/>
                <w:numId w:val="10"/>
              </w:numPr>
              <w:spacing w:after="240"/>
              <w:ind w:left="312"/>
              <w:rPr>
                <w:color w:val="595959" w:themeColor="text1" w:themeTint="A6"/>
                <w:szCs w:val="18"/>
              </w:rPr>
            </w:pPr>
          </w:p>
        </w:tc>
        <w:tc>
          <w:tcPr>
            <w:tcW w:w="1035" w:type="dxa"/>
          </w:tcPr>
          <w:p w:rsidRPr="00BC1E67" w:rsidR="003359C8" w:rsidP="00363715" w:rsidRDefault="003359C8" w14:paraId="12C215CC"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3359C8" w:rsidP="00363715" w:rsidRDefault="00D74D2C" w14:paraId="3ACAFF89" w14:textId="60E0CF8B">
            <w:pPr>
              <w:spacing w:after="240"/>
              <w:rPr>
                <w:b/>
                <w:color w:val="595959" w:themeColor="text1" w:themeTint="A6"/>
                <w:szCs w:val="18"/>
                <w:lang w:val="en-US"/>
              </w:rPr>
            </w:pPr>
            <w:r w:rsidRPr="00BC1E67">
              <w:rPr>
                <w:szCs w:val="18"/>
                <w:lang w:val="en-US"/>
              </w:rPr>
              <w:t xml:space="preserve">REPORT FROM THE COMMISSION TO THE EUROPEAN PARLIAMENT AND THE COUNCIL Half-yearly report on the implementation of borrowing, debt management and related lending operations pursuant to Article 13 of Commission Implementing Decision C(2023)8010 1 January 2024 - 30 June 2024 </w:t>
            </w:r>
            <w:hyperlink w:history="1" r:id="rId45">
              <w:r w:rsidRPr="00BC1E67">
                <w:rPr>
                  <w:rStyle w:val="Hyperlink"/>
                  <w:szCs w:val="18"/>
                  <w:lang w:val="en-US"/>
                </w:rPr>
                <w:t>COM(2024)369</w:t>
              </w:r>
            </w:hyperlink>
          </w:p>
        </w:tc>
      </w:tr>
      <w:tr w:rsidRPr="00BC1E67" w:rsidR="003359C8" w:rsidTr="00363715" w14:paraId="49829DB7"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3359C8" w:rsidP="00363715" w:rsidRDefault="003359C8" w14:paraId="34E2143D" w14:textId="77777777">
            <w:pPr>
              <w:spacing w:after="240"/>
              <w:rPr>
                <w:szCs w:val="18"/>
                <w:lang w:val="en-US"/>
              </w:rPr>
            </w:pPr>
          </w:p>
        </w:tc>
        <w:tc>
          <w:tcPr>
            <w:tcW w:w="1035" w:type="dxa"/>
          </w:tcPr>
          <w:p w:rsidRPr="00BC1E67" w:rsidR="003359C8" w:rsidP="00363715" w:rsidRDefault="003359C8" w14:paraId="602F400D" w14:textId="77777777">
            <w:pPr>
              <w:spacing w:after="240"/>
              <w:rPr>
                <w:szCs w:val="18"/>
              </w:rPr>
            </w:pPr>
            <w:r w:rsidRPr="00BC1E67">
              <w:rPr>
                <w:szCs w:val="18"/>
              </w:rPr>
              <w:t>Voorstel</w:t>
            </w:r>
          </w:p>
        </w:tc>
        <w:tc>
          <w:tcPr>
            <w:tcW w:w="6529" w:type="dxa"/>
          </w:tcPr>
          <w:p w:rsidRPr="00BC1E67" w:rsidR="003359C8" w:rsidP="00363715" w:rsidRDefault="00490646" w14:paraId="0FB90F0A" w14:textId="521E81F0">
            <w:pPr>
              <w:spacing w:after="240"/>
              <w:rPr>
                <w:szCs w:val="18"/>
              </w:rPr>
            </w:pPr>
            <w:r w:rsidRPr="00BC1E67">
              <w:rPr>
                <w:szCs w:val="18"/>
              </w:rPr>
              <w:t>Voor kennisgeving aannemen</w:t>
            </w:r>
          </w:p>
        </w:tc>
      </w:tr>
      <w:tr w:rsidRPr="00BC1E67" w:rsidR="003359C8" w:rsidTr="00363715" w14:paraId="3FF4F63B"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3359C8" w:rsidP="00363715" w:rsidRDefault="003359C8" w14:paraId="32E96054" w14:textId="77777777">
            <w:pPr>
              <w:spacing w:after="240"/>
              <w:rPr>
                <w:color w:val="595959" w:themeColor="text1" w:themeTint="A6"/>
                <w:szCs w:val="18"/>
              </w:rPr>
            </w:pPr>
          </w:p>
        </w:tc>
        <w:tc>
          <w:tcPr>
            <w:tcW w:w="1035" w:type="dxa"/>
          </w:tcPr>
          <w:p w:rsidRPr="00BC1E67" w:rsidR="003359C8" w:rsidP="00363715" w:rsidRDefault="003359C8" w14:paraId="3E21511B"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3359C8" w:rsidP="00363715" w:rsidRDefault="00490646" w14:paraId="1F314371" w14:textId="6348A3B5">
            <w:pPr>
              <w:spacing w:after="240"/>
              <w:rPr>
                <w:color w:val="595959" w:themeColor="text1" w:themeTint="A6"/>
                <w:szCs w:val="18"/>
              </w:rPr>
            </w:pPr>
            <w:r w:rsidRPr="00BC1E67">
              <w:rPr>
                <w:color w:val="595959" w:themeColor="text1" w:themeTint="A6"/>
                <w:szCs w:val="18"/>
              </w:rPr>
              <w:t xml:space="preserve">Dit halfjaarlijkse verslag ziet op de uitvoering door de Commissie van de lenings- en schuldbeheertransacties van de EU. In de eerste helft van 2024 heeft de EU 73,8 miljard EUR aan langlopende financiering opgehaald door middel van zes syndicaties en zeven veilingen, in overeenstemming met de doelstelling van het in december 2023 gepubliceerde financieringsplan. Met deze emissies overschreed het uitstaande bedrag aan EU-obligaties voor het eerst de grens van een half biljoen EUR (514 miljard EUR per eind juni). </w:t>
            </w:r>
          </w:p>
        </w:tc>
      </w:tr>
    </w:tbl>
    <w:p w:rsidRPr="00BC1E67" w:rsidR="003359C8" w:rsidP="00176174" w:rsidRDefault="003359C8" w14:paraId="59220476"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D3F0C" w:rsidR="003359C8" w:rsidTr="00363715" w14:paraId="050F0FA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3359C8" w:rsidP="00363715" w:rsidRDefault="003359C8" w14:paraId="660ECA50" w14:textId="77777777">
            <w:pPr>
              <w:pStyle w:val="Lijstalinea"/>
              <w:numPr>
                <w:ilvl w:val="0"/>
                <w:numId w:val="10"/>
              </w:numPr>
              <w:spacing w:after="240"/>
              <w:ind w:left="312"/>
              <w:rPr>
                <w:color w:val="595959" w:themeColor="text1" w:themeTint="A6"/>
                <w:szCs w:val="18"/>
              </w:rPr>
            </w:pPr>
          </w:p>
        </w:tc>
        <w:tc>
          <w:tcPr>
            <w:tcW w:w="1035" w:type="dxa"/>
          </w:tcPr>
          <w:p w:rsidRPr="00BC1E67" w:rsidR="003359C8" w:rsidP="00363715" w:rsidRDefault="003359C8" w14:paraId="607452AD"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3359C8" w:rsidP="00363715" w:rsidRDefault="000807BE" w14:paraId="69949B19" w14:textId="5F324C48">
            <w:pPr>
              <w:spacing w:after="240"/>
              <w:rPr>
                <w:b/>
                <w:color w:val="595959" w:themeColor="text1" w:themeTint="A6"/>
                <w:szCs w:val="18"/>
                <w:lang w:val="en-US"/>
              </w:rPr>
            </w:pPr>
            <w:r w:rsidRPr="00BC1E67">
              <w:rPr>
                <w:szCs w:val="18"/>
                <w:lang w:val="en-US"/>
              </w:rPr>
              <w:t xml:space="preserve">REPORT FROM THE COMMISSION TO THE COUNCIL AND THE EUROPEAN PARLIAMENT 35th Annual Report on the protection of the European Union’s financial interests and the fight against fraud – 2023 </w:t>
            </w:r>
            <w:hyperlink w:history="1" r:id="rId46">
              <w:r w:rsidRPr="00BC1E67">
                <w:rPr>
                  <w:rStyle w:val="Hyperlink"/>
                  <w:szCs w:val="18"/>
                  <w:lang w:val="en-US"/>
                </w:rPr>
                <w:t>COM(2024)318</w:t>
              </w:r>
            </w:hyperlink>
          </w:p>
        </w:tc>
      </w:tr>
      <w:tr w:rsidRPr="00BC1E67" w:rsidR="003359C8" w:rsidTr="00363715" w14:paraId="0D4D7BF1"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3359C8" w:rsidP="00363715" w:rsidRDefault="003359C8" w14:paraId="2DD795DD" w14:textId="77777777">
            <w:pPr>
              <w:spacing w:after="240"/>
              <w:rPr>
                <w:szCs w:val="18"/>
                <w:lang w:val="en-US"/>
              </w:rPr>
            </w:pPr>
          </w:p>
        </w:tc>
        <w:tc>
          <w:tcPr>
            <w:tcW w:w="1035" w:type="dxa"/>
          </w:tcPr>
          <w:p w:rsidRPr="00BC1E67" w:rsidR="003359C8" w:rsidP="00363715" w:rsidRDefault="003359C8" w14:paraId="429D1B39" w14:textId="77777777">
            <w:pPr>
              <w:spacing w:after="240"/>
              <w:rPr>
                <w:szCs w:val="18"/>
              </w:rPr>
            </w:pPr>
            <w:r w:rsidRPr="00BC1E67">
              <w:rPr>
                <w:szCs w:val="18"/>
              </w:rPr>
              <w:t>Voorstel</w:t>
            </w:r>
          </w:p>
        </w:tc>
        <w:tc>
          <w:tcPr>
            <w:tcW w:w="6529" w:type="dxa"/>
          </w:tcPr>
          <w:p w:rsidRPr="00BC1E67" w:rsidR="003359C8" w:rsidP="00363715" w:rsidRDefault="00BC1E67" w14:paraId="202A2EAE" w14:textId="5868032A">
            <w:pPr>
              <w:spacing w:after="240"/>
              <w:rPr>
                <w:szCs w:val="18"/>
              </w:rPr>
            </w:pPr>
            <w:r>
              <w:rPr>
                <w:szCs w:val="18"/>
              </w:rPr>
              <w:t>Voor kennisgeving aannemen</w:t>
            </w:r>
          </w:p>
        </w:tc>
      </w:tr>
      <w:tr w:rsidRPr="00BC1E67" w:rsidR="003359C8" w:rsidTr="00363715" w14:paraId="557C6091"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3359C8" w:rsidP="00363715" w:rsidRDefault="003359C8" w14:paraId="70987EE6" w14:textId="77777777">
            <w:pPr>
              <w:spacing w:after="240"/>
              <w:rPr>
                <w:color w:val="595959" w:themeColor="text1" w:themeTint="A6"/>
                <w:szCs w:val="18"/>
              </w:rPr>
            </w:pPr>
          </w:p>
        </w:tc>
        <w:tc>
          <w:tcPr>
            <w:tcW w:w="1035" w:type="dxa"/>
          </w:tcPr>
          <w:p w:rsidRPr="00BC1E67" w:rsidR="003359C8" w:rsidP="00363715" w:rsidRDefault="003359C8" w14:paraId="25494028"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3359C8" w:rsidP="00363715" w:rsidRDefault="00BC1E67" w14:paraId="062F0917" w14:textId="0B66C1BE">
            <w:pPr>
              <w:spacing w:after="240"/>
              <w:rPr>
                <w:color w:val="595959" w:themeColor="text1" w:themeTint="A6"/>
                <w:szCs w:val="18"/>
              </w:rPr>
            </w:pPr>
            <w:r>
              <w:rPr>
                <w:color w:val="595959" w:themeColor="text1" w:themeTint="A6"/>
                <w:szCs w:val="18"/>
              </w:rPr>
              <w:t xml:space="preserve">Dit betreft het </w:t>
            </w:r>
            <w:r w:rsidRPr="00BC1E67">
              <w:rPr>
                <w:color w:val="595959" w:themeColor="text1" w:themeTint="A6"/>
                <w:szCs w:val="18"/>
              </w:rPr>
              <w:t>Jaarverslag over de bescherming van de financiële belangen van de Europese Unie en de strijd tegen fraude</w:t>
            </w:r>
            <w:r>
              <w:rPr>
                <w:color w:val="595959" w:themeColor="text1" w:themeTint="A6"/>
                <w:szCs w:val="18"/>
              </w:rPr>
              <w:t xml:space="preserve">. </w:t>
            </w:r>
            <w:r w:rsidRPr="00BC1E67">
              <w:rPr>
                <w:color w:val="595959" w:themeColor="text1" w:themeTint="A6"/>
                <w:szCs w:val="18"/>
              </w:rPr>
              <w:t>De belangrijkste indicatoren voor gedetecteerde fraude en onregelmatigheden blijven in lijn met voorgaande jaren, evenals de belangrijkste geïdentificeerde kwesties, bijvoorbeeld met betrekking tot de follow-up van vermoedelijke fraude. De Commissie herhaalt daarom de aanbevelingen die in het rapport 2022 zijn gedaan.</w:t>
            </w:r>
          </w:p>
        </w:tc>
      </w:tr>
    </w:tbl>
    <w:p w:rsidRPr="00BC1E67" w:rsidR="003359C8" w:rsidP="00176174" w:rsidRDefault="003359C8" w14:paraId="4403EFAE" w14:textId="77777777">
      <w:pPr>
        <w:tabs>
          <w:tab w:val="left" w:pos="2052"/>
        </w:tabs>
        <w:rPr>
          <w:szCs w:val="18"/>
        </w:rPr>
      </w:pPr>
    </w:p>
    <w:p w:rsidRPr="00BC1E67" w:rsidR="003359C8" w:rsidP="00176174" w:rsidRDefault="003359C8" w14:paraId="29A00418"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3359C8" w:rsidTr="00363715" w14:paraId="116E6C3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3359C8" w:rsidP="00363715" w:rsidRDefault="003359C8" w14:paraId="446276F3" w14:textId="77777777">
            <w:pPr>
              <w:pStyle w:val="Lijstalinea"/>
              <w:numPr>
                <w:ilvl w:val="0"/>
                <w:numId w:val="10"/>
              </w:numPr>
              <w:spacing w:after="240"/>
              <w:ind w:left="312"/>
              <w:rPr>
                <w:color w:val="595959" w:themeColor="text1" w:themeTint="A6"/>
                <w:szCs w:val="18"/>
              </w:rPr>
            </w:pPr>
          </w:p>
        </w:tc>
        <w:tc>
          <w:tcPr>
            <w:tcW w:w="1035" w:type="dxa"/>
          </w:tcPr>
          <w:p w:rsidRPr="00BC1E67" w:rsidR="003359C8" w:rsidP="00363715" w:rsidRDefault="003359C8" w14:paraId="107A0F16"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3359C8" w:rsidP="00363715" w:rsidRDefault="0067537E" w14:paraId="35A18B6C" w14:textId="2160585A">
            <w:pPr>
              <w:spacing w:after="240"/>
              <w:rPr>
                <w:b/>
                <w:color w:val="595959" w:themeColor="text1" w:themeTint="A6"/>
                <w:szCs w:val="18"/>
              </w:rPr>
            </w:pPr>
            <w:r w:rsidRPr="00BC1E67">
              <w:rPr>
                <w:color w:val="000000"/>
                <w:szCs w:val="18"/>
              </w:rPr>
              <w:t xml:space="preserve">ONTWERP Jaarlijkse begroting van de Unie voor het begrotingsjaar 2025 - Algemene inleiding - Algemene staat van uitgaven - Algemene staat van ontvangsten - Staat van ontvangsten en uitgaven per afdeling </w:t>
            </w:r>
            <w:hyperlink w:history="1" r:id="rId47">
              <w:r w:rsidRPr="00BC1E67">
                <w:rPr>
                  <w:rStyle w:val="Hyperlink"/>
                  <w:szCs w:val="18"/>
                </w:rPr>
                <w:t>COM(2024)300</w:t>
              </w:r>
            </w:hyperlink>
          </w:p>
        </w:tc>
      </w:tr>
      <w:tr w:rsidRPr="00BC1E67" w:rsidR="003359C8" w:rsidTr="00363715" w14:paraId="067815F2"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3359C8" w:rsidP="00363715" w:rsidRDefault="003359C8" w14:paraId="5439C2AF" w14:textId="77777777">
            <w:pPr>
              <w:spacing w:after="240"/>
              <w:rPr>
                <w:szCs w:val="18"/>
              </w:rPr>
            </w:pPr>
          </w:p>
        </w:tc>
        <w:tc>
          <w:tcPr>
            <w:tcW w:w="1035" w:type="dxa"/>
          </w:tcPr>
          <w:p w:rsidRPr="00BC1E67" w:rsidR="003359C8" w:rsidP="00363715" w:rsidRDefault="003359C8" w14:paraId="46EE8B77" w14:textId="77777777">
            <w:pPr>
              <w:spacing w:after="240"/>
              <w:rPr>
                <w:szCs w:val="18"/>
              </w:rPr>
            </w:pPr>
            <w:r w:rsidRPr="00BC1E67">
              <w:rPr>
                <w:szCs w:val="18"/>
              </w:rPr>
              <w:t>Voorstel</w:t>
            </w:r>
          </w:p>
        </w:tc>
        <w:tc>
          <w:tcPr>
            <w:tcW w:w="6529" w:type="dxa"/>
          </w:tcPr>
          <w:p w:rsidRPr="00BC1E67" w:rsidR="003359C8" w:rsidP="00363715" w:rsidRDefault="00BC1E67" w14:paraId="4869308B" w14:textId="6BA03E54">
            <w:pPr>
              <w:spacing w:after="240"/>
              <w:rPr>
                <w:szCs w:val="18"/>
              </w:rPr>
            </w:pPr>
            <w:r w:rsidRPr="00BC1E67">
              <w:rPr>
                <w:szCs w:val="18"/>
              </w:rPr>
              <w:t>Reeds betrokken bij het commissiedebat Informele Eurogroep/Ecofinraad van 5 september 2024.</w:t>
            </w:r>
          </w:p>
        </w:tc>
      </w:tr>
      <w:tr w:rsidRPr="00BC1E67" w:rsidR="003359C8" w:rsidTr="00363715" w14:paraId="5BFB7394"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3359C8" w:rsidP="00363715" w:rsidRDefault="003359C8" w14:paraId="47EEA966" w14:textId="77777777">
            <w:pPr>
              <w:spacing w:after="240"/>
              <w:rPr>
                <w:color w:val="595959" w:themeColor="text1" w:themeTint="A6"/>
                <w:szCs w:val="18"/>
              </w:rPr>
            </w:pPr>
          </w:p>
        </w:tc>
        <w:tc>
          <w:tcPr>
            <w:tcW w:w="1035" w:type="dxa"/>
          </w:tcPr>
          <w:p w:rsidRPr="00BC1E67" w:rsidR="003359C8" w:rsidP="00363715" w:rsidRDefault="003359C8" w14:paraId="29E588A5"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3359C8" w:rsidP="00363715" w:rsidRDefault="00BC1E67" w14:paraId="65B7EC91" w14:textId="50D552F3">
            <w:pPr>
              <w:spacing w:after="240"/>
              <w:rPr>
                <w:color w:val="595959" w:themeColor="text1" w:themeTint="A6"/>
                <w:szCs w:val="18"/>
              </w:rPr>
            </w:pPr>
            <w:r>
              <w:rPr>
                <w:color w:val="595959" w:themeColor="text1" w:themeTint="A6"/>
                <w:szCs w:val="18"/>
              </w:rPr>
              <w:t xml:space="preserve">Dit betreft de algemene inleiding bij het voorstel van de Europese Commissie voor de jaarbegroting 2025. </w:t>
            </w:r>
          </w:p>
        </w:tc>
      </w:tr>
    </w:tbl>
    <w:p w:rsidRPr="00BC1E67" w:rsidR="003359C8" w:rsidP="00176174" w:rsidRDefault="003359C8" w14:paraId="366B1070"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AD2669" w:rsidTr="00363715" w14:paraId="5F4C6D6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AD2669" w:rsidP="00AD2669" w:rsidRDefault="00AD2669" w14:paraId="0D4B8D14" w14:textId="77777777">
            <w:pPr>
              <w:pStyle w:val="Lijstalinea"/>
              <w:numPr>
                <w:ilvl w:val="0"/>
                <w:numId w:val="10"/>
              </w:numPr>
              <w:spacing w:after="240"/>
              <w:ind w:left="312"/>
              <w:rPr>
                <w:color w:val="595959" w:themeColor="text1" w:themeTint="A6"/>
                <w:szCs w:val="18"/>
              </w:rPr>
            </w:pPr>
          </w:p>
        </w:tc>
        <w:tc>
          <w:tcPr>
            <w:tcW w:w="1035" w:type="dxa"/>
          </w:tcPr>
          <w:p w:rsidRPr="00BC1E67" w:rsidR="00AD2669" w:rsidP="00AD2669" w:rsidRDefault="00AD2669" w14:paraId="266FDF28" w14:textId="77777777">
            <w:pPr>
              <w:spacing w:after="240"/>
              <w:rPr>
                <w:color w:val="595959" w:themeColor="text1" w:themeTint="A6"/>
                <w:szCs w:val="18"/>
              </w:rPr>
            </w:pPr>
            <w:r w:rsidRPr="00BC1E67">
              <w:rPr>
                <w:color w:val="595959" w:themeColor="text1" w:themeTint="A6"/>
                <w:szCs w:val="18"/>
              </w:rPr>
              <w:t>Titel</w:t>
            </w:r>
          </w:p>
        </w:tc>
        <w:tc>
          <w:tcPr>
            <w:tcW w:w="6529" w:type="dxa"/>
          </w:tcPr>
          <w:p w:rsidRPr="00BC1E67" w:rsidR="00AD2669" w:rsidP="00AD2669" w:rsidRDefault="00AD2669" w14:paraId="2D96E055" w14:textId="77777777">
            <w:pPr>
              <w:shd w:val="clear" w:color="auto" w:fill="FFFFFF"/>
              <w:spacing w:after="75"/>
              <w:rPr>
                <w:szCs w:val="18"/>
              </w:rPr>
            </w:pPr>
            <w:r w:rsidRPr="00BC1E67">
              <w:rPr>
                <w:color w:val="000000"/>
                <w:szCs w:val="18"/>
              </w:rPr>
              <w:t xml:space="preserve">Voorstel voor een BESLUIT VAN HET EUROPEES PARLEMENT EN DE RAAD betreffende de beschikbaarstelling van middelen uit het Solidariteitsfonds van de Europese Unie voor steun aan Italië, Slovenië, Oostenrijk, Griekenland en Frankrijk naar aanleiding van zes natuurrampen in 2023 </w:t>
            </w:r>
            <w:hyperlink w:history="1" r:id="rId48">
              <w:r w:rsidRPr="00BC1E67">
                <w:rPr>
                  <w:rStyle w:val="Hyperlink"/>
                  <w:szCs w:val="18"/>
                </w:rPr>
                <w:t>COM(2024)325</w:t>
              </w:r>
            </w:hyperlink>
          </w:p>
          <w:p w:rsidRPr="00BC1E67" w:rsidR="00AD2669" w:rsidP="00AD2669" w:rsidRDefault="00AD2669" w14:paraId="2CD0BF6C" w14:textId="11D66B90">
            <w:pPr>
              <w:shd w:val="clear" w:color="auto" w:fill="FFFFFF"/>
              <w:spacing w:after="75"/>
              <w:rPr>
                <w:szCs w:val="18"/>
              </w:rPr>
            </w:pPr>
          </w:p>
        </w:tc>
      </w:tr>
      <w:tr w:rsidRPr="00BC1E67" w:rsidR="00AD2669" w:rsidTr="00363715" w14:paraId="786353D9"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AD2669" w:rsidP="00AD2669" w:rsidRDefault="00AD2669" w14:paraId="120EA440" w14:textId="77777777">
            <w:pPr>
              <w:spacing w:after="240"/>
              <w:rPr>
                <w:szCs w:val="18"/>
              </w:rPr>
            </w:pPr>
          </w:p>
        </w:tc>
        <w:tc>
          <w:tcPr>
            <w:tcW w:w="1035" w:type="dxa"/>
          </w:tcPr>
          <w:p w:rsidRPr="00BC1E67" w:rsidR="00AD2669" w:rsidP="00AD2669" w:rsidRDefault="00AD2669" w14:paraId="56BFE0D3" w14:textId="77777777">
            <w:pPr>
              <w:spacing w:after="240"/>
              <w:rPr>
                <w:szCs w:val="18"/>
              </w:rPr>
            </w:pPr>
            <w:r w:rsidRPr="00BC1E67">
              <w:rPr>
                <w:szCs w:val="18"/>
              </w:rPr>
              <w:t>Voorstel</w:t>
            </w:r>
          </w:p>
        </w:tc>
        <w:tc>
          <w:tcPr>
            <w:tcW w:w="6529" w:type="dxa"/>
          </w:tcPr>
          <w:p w:rsidRPr="00BC1E67" w:rsidR="00AD2669" w:rsidP="00AD2669" w:rsidRDefault="00BC1E67" w14:paraId="1A20D3A0" w14:textId="3AAD914C">
            <w:pPr>
              <w:spacing w:after="240"/>
              <w:rPr>
                <w:szCs w:val="18"/>
              </w:rPr>
            </w:pPr>
            <w:r>
              <w:rPr>
                <w:szCs w:val="18"/>
              </w:rPr>
              <w:t>Voor kennisgeving aannemen</w:t>
            </w:r>
          </w:p>
        </w:tc>
      </w:tr>
      <w:tr w:rsidRPr="00BC1E67" w:rsidR="00AD2669" w:rsidTr="00363715" w14:paraId="6E6DECBB"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AD2669" w:rsidP="00AD2669" w:rsidRDefault="00AD2669" w14:paraId="1594AAEA" w14:textId="77777777">
            <w:pPr>
              <w:spacing w:after="240"/>
              <w:rPr>
                <w:color w:val="595959" w:themeColor="text1" w:themeTint="A6"/>
                <w:szCs w:val="18"/>
              </w:rPr>
            </w:pPr>
          </w:p>
        </w:tc>
        <w:tc>
          <w:tcPr>
            <w:tcW w:w="1035" w:type="dxa"/>
          </w:tcPr>
          <w:p w:rsidRPr="00BC1E67" w:rsidR="00AD2669" w:rsidP="00AD2669" w:rsidRDefault="00AD2669" w14:paraId="036D88E3"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AD2669" w:rsidP="00AD2669" w:rsidRDefault="00BC1E67" w14:paraId="1C291095" w14:textId="05491BB6">
            <w:pPr>
              <w:spacing w:after="240"/>
              <w:rPr>
                <w:color w:val="595959" w:themeColor="text1" w:themeTint="A6"/>
                <w:szCs w:val="18"/>
              </w:rPr>
            </w:pPr>
            <w:r w:rsidRPr="00BC1E67">
              <w:rPr>
                <w:color w:val="595959" w:themeColor="text1" w:themeTint="A6"/>
                <w:szCs w:val="18"/>
              </w:rPr>
              <w:t xml:space="preserve">Dit besluit heeft betrekking op de beschikbaarstelling van een bedrag van 1 028 541 689 EUR uit het Solidariteitsfonds van de Europese Unie voor het verlenen van steun aan Italië, Slovenië, Oostenrijk, </w:t>
            </w:r>
            <w:r w:rsidRPr="00BC1E67">
              <w:rPr>
                <w:color w:val="595959" w:themeColor="text1" w:themeTint="A6"/>
                <w:szCs w:val="18"/>
              </w:rPr>
              <w:lastRenderedPageBreak/>
              <w:t>Griekenland en Frankrijk naar aanleiding van overstromingen die zich in 2023 in die landen hebben voorgedaan.</w:t>
            </w:r>
          </w:p>
        </w:tc>
      </w:tr>
    </w:tbl>
    <w:p w:rsidRPr="00BC1E67" w:rsidR="003359C8" w:rsidP="00176174" w:rsidRDefault="003359C8" w14:paraId="57CDCD58" w14:textId="77777777">
      <w:pPr>
        <w:tabs>
          <w:tab w:val="left" w:pos="2052"/>
        </w:tabs>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C1E67" w:rsidR="003359C8" w:rsidTr="00363715" w14:paraId="2CAA85B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C1E67" w:rsidR="003359C8" w:rsidP="00363715" w:rsidRDefault="003359C8" w14:paraId="6994E2CE" w14:textId="77777777">
            <w:pPr>
              <w:pStyle w:val="Lijstalinea"/>
              <w:numPr>
                <w:ilvl w:val="0"/>
                <w:numId w:val="10"/>
              </w:numPr>
              <w:spacing w:after="240"/>
              <w:ind w:left="312"/>
              <w:rPr>
                <w:color w:val="595959" w:themeColor="text1" w:themeTint="A6"/>
                <w:szCs w:val="18"/>
              </w:rPr>
            </w:pPr>
          </w:p>
        </w:tc>
        <w:tc>
          <w:tcPr>
            <w:tcW w:w="1035" w:type="dxa"/>
          </w:tcPr>
          <w:p w:rsidRPr="00BC1E67" w:rsidR="003359C8" w:rsidP="00363715" w:rsidRDefault="003359C8" w14:paraId="0FCDEF73" w14:textId="77777777">
            <w:pPr>
              <w:spacing w:after="240"/>
              <w:rPr>
                <w:color w:val="595959" w:themeColor="text1" w:themeTint="A6"/>
                <w:szCs w:val="18"/>
              </w:rPr>
            </w:pPr>
            <w:r w:rsidRPr="00BC1E67">
              <w:rPr>
                <w:color w:val="595959" w:themeColor="text1" w:themeTint="A6"/>
                <w:szCs w:val="18"/>
              </w:rPr>
              <w:t>Titel</w:t>
            </w:r>
          </w:p>
        </w:tc>
        <w:tc>
          <w:tcPr>
            <w:tcW w:w="6529" w:type="dxa"/>
          </w:tcPr>
          <w:p w:rsidR="003359C8" w:rsidP="00146A16" w:rsidRDefault="00146A16" w14:paraId="759323D6" w14:textId="77777777">
            <w:pPr>
              <w:pStyle w:val="xmsonormal"/>
              <w:rPr>
                <w:rFonts w:ascii="Verdana" w:hAnsi="Verdana"/>
                <w:color w:val="000000"/>
                <w:sz w:val="18"/>
                <w:szCs w:val="18"/>
              </w:rPr>
            </w:pPr>
            <w:r w:rsidRPr="00BC1E67">
              <w:rPr>
                <w:rFonts w:ascii="Verdana" w:hAnsi="Verdana"/>
                <w:color w:val="000000"/>
                <w:sz w:val="18"/>
                <w:szCs w:val="18"/>
              </w:rPr>
              <w:t xml:space="preserve">Voorstel voor een BESLUIT VAN DE RAAD betreffende het standpunt dat namens de Europese Unie moet worden ingenomen ten aanzien van de herziening van artikel 6 van de regeling inzake door de overheid gesteunde exportkredieten </w:t>
            </w:r>
            <w:hyperlink w:history="1" r:id="rId49">
              <w:r w:rsidRPr="00BC1E67">
                <w:rPr>
                  <w:rStyle w:val="Hyperlink"/>
                  <w:rFonts w:ascii="Verdana" w:hAnsi="Verdana"/>
                  <w:sz w:val="18"/>
                  <w:szCs w:val="18"/>
                </w:rPr>
                <w:t>COM(2024)282</w:t>
              </w:r>
            </w:hyperlink>
          </w:p>
          <w:p w:rsidRPr="00BC1E67" w:rsidR="00BC1E67" w:rsidP="00146A16" w:rsidRDefault="00BC1E67" w14:paraId="6A67D6DB" w14:textId="0E232B2B">
            <w:pPr>
              <w:pStyle w:val="xmsonormal"/>
              <w:rPr>
                <w:rFonts w:ascii="Verdana" w:hAnsi="Verdana"/>
                <w:sz w:val="18"/>
                <w:szCs w:val="18"/>
              </w:rPr>
            </w:pPr>
          </w:p>
        </w:tc>
      </w:tr>
      <w:tr w:rsidRPr="00BC1E67" w:rsidR="003359C8" w:rsidTr="00363715" w14:paraId="611A6673"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3359C8" w:rsidP="00363715" w:rsidRDefault="003359C8" w14:paraId="24D8CED8" w14:textId="77777777">
            <w:pPr>
              <w:spacing w:after="240"/>
              <w:rPr>
                <w:szCs w:val="18"/>
              </w:rPr>
            </w:pPr>
          </w:p>
        </w:tc>
        <w:tc>
          <w:tcPr>
            <w:tcW w:w="1035" w:type="dxa"/>
          </w:tcPr>
          <w:p w:rsidRPr="00BC1E67" w:rsidR="003359C8" w:rsidP="00363715" w:rsidRDefault="003359C8" w14:paraId="2C83F6A2" w14:textId="77777777">
            <w:pPr>
              <w:spacing w:after="240"/>
              <w:rPr>
                <w:szCs w:val="18"/>
              </w:rPr>
            </w:pPr>
            <w:r w:rsidRPr="00BC1E67">
              <w:rPr>
                <w:szCs w:val="18"/>
              </w:rPr>
              <w:t>Voorstel</w:t>
            </w:r>
          </w:p>
        </w:tc>
        <w:tc>
          <w:tcPr>
            <w:tcW w:w="6529" w:type="dxa"/>
          </w:tcPr>
          <w:p w:rsidRPr="00BC1E67" w:rsidR="003359C8" w:rsidP="00363715" w:rsidRDefault="00BC1E67" w14:paraId="5D99673D" w14:textId="6457979C">
            <w:pPr>
              <w:spacing w:after="240"/>
              <w:rPr>
                <w:szCs w:val="18"/>
              </w:rPr>
            </w:pPr>
            <w:r>
              <w:rPr>
                <w:szCs w:val="18"/>
              </w:rPr>
              <w:t xml:space="preserve">Voor kennisgeving aannemen </w:t>
            </w:r>
          </w:p>
        </w:tc>
      </w:tr>
      <w:tr w:rsidRPr="00BC1E67" w:rsidR="003359C8" w:rsidTr="00363715" w14:paraId="45C66D27" w14:textId="77777777">
        <w:tc>
          <w:tcPr>
            <w:tcW w:w="421" w:type="dxa"/>
            <w:vMerge/>
            <w:tcBorders>
              <w:top w:val="nil"/>
              <w:bottom w:val="single" w:color="D9D9D9" w:themeColor="background1" w:themeShade="D9" w:sz="4" w:space="0"/>
            </w:tcBorders>
            <w:shd w:val="clear" w:color="auto" w:fill="F2F2F2" w:themeFill="background1" w:themeFillShade="F2"/>
          </w:tcPr>
          <w:p w:rsidRPr="00BC1E67" w:rsidR="003359C8" w:rsidP="00363715" w:rsidRDefault="003359C8" w14:paraId="4CD93B12" w14:textId="77777777">
            <w:pPr>
              <w:spacing w:after="240"/>
              <w:rPr>
                <w:color w:val="595959" w:themeColor="text1" w:themeTint="A6"/>
                <w:szCs w:val="18"/>
              </w:rPr>
            </w:pPr>
          </w:p>
        </w:tc>
        <w:tc>
          <w:tcPr>
            <w:tcW w:w="1035" w:type="dxa"/>
          </w:tcPr>
          <w:p w:rsidRPr="00BC1E67" w:rsidR="003359C8" w:rsidP="00363715" w:rsidRDefault="003359C8" w14:paraId="44BBED97" w14:textId="77777777">
            <w:pPr>
              <w:spacing w:after="240"/>
              <w:rPr>
                <w:color w:val="595959" w:themeColor="text1" w:themeTint="A6"/>
                <w:szCs w:val="18"/>
              </w:rPr>
            </w:pPr>
            <w:r w:rsidRPr="00BC1E67">
              <w:rPr>
                <w:color w:val="595959" w:themeColor="text1" w:themeTint="A6"/>
                <w:szCs w:val="18"/>
              </w:rPr>
              <w:t>Noot</w:t>
            </w:r>
          </w:p>
        </w:tc>
        <w:tc>
          <w:tcPr>
            <w:tcW w:w="6529" w:type="dxa"/>
          </w:tcPr>
          <w:p w:rsidRPr="00BC1E67" w:rsidR="003359C8" w:rsidP="00363715" w:rsidRDefault="00BC1E67" w14:paraId="7896A1B4" w14:textId="2811D187">
            <w:pPr>
              <w:spacing w:after="240"/>
              <w:rPr>
                <w:color w:val="595959" w:themeColor="text1" w:themeTint="A6"/>
                <w:szCs w:val="18"/>
              </w:rPr>
            </w:pPr>
            <w:r>
              <w:rPr>
                <w:color w:val="595959" w:themeColor="text1" w:themeTint="A6"/>
                <w:szCs w:val="18"/>
              </w:rPr>
              <w:t xml:space="preserve">Hierin wordt het </w:t>
            </w:r>
            <w:r w:rsidRPr="00BC1E67">
              <w:rPr>
                <w:color w:val="595959" w:themeColor="text1" w:themeTint="A6"/>
                <w:szCs w:val="18"/>
              </w:rPr>
              <w:t xml:space="preserve">standpunt dat namens de Unie moet worden ingenomen in het kader van de herziening van artikel 6 van de regeling inzake door de overheid gesteunde exportkredieten </w:t>
            </w:r>
            <w:r>
              <w:rPr>
                <w:color w:val="595959" w:themeColor="text1" w:themeTint="A6"/>
                <w:szCs w:val="18"/>
              </w:rPr>
              <w:t>vastgesteld. Dit betreft een</w:t>
            </w:r>
            <w:r w:rsidRPr="00BC1E67">
              <w:rPr>
                <w:color w:val="595959" w:themeColor="text1" w:themeTint="A6"/>
                <w:szCs w:val="18"/>
              </w:rPr>
              <w:t xml:space="preserve"> regeling tussen Australië, Canada, de EU, Japan, Korea, Nieuw-Zeeland, Noorwegen, Turkije, het Verenigd Koninkrijk, de Verenigde Staten en Zwitserland</w:t>
            </w:r>
            <w:r>
              <w:rPr>
                <w:color w:val="595959" w:themeColor="text1" w:themeTint="A6"/>
                <w:szCs w:val="18"/>
              </w:rPr>
              <w:t xml:space="preserve">, </w:t>
            </w:r>
            <w:r w:rsidRPr="00BC1E67">
              <w:rPr>
                <w:color w:val="595959" w:themeColor="text1" w:themeTint="A6"/>
                <w:szCs w:val="18"/>
              </w:rPr>
              <w:t>en heeft ten doel een kader te creëren voor het ordelijke gebruik van door de overheid gesteunde exportkredieten.</w:t>
            </w:r>
            <w:r>
              <w:rPr>
                <w:color w:val="595959" w:themeColor="text1" w:themeTint="A6"/>
                <w:szCs w:val="18"/>
              </w:rPr>
              <w:t xml:space="preserve"> </w:t>
            </w:r>
            <w:r w:rsidRPr="00BC1E67">
              <w:rPr>
                <w:color w:val="595959" w:themeColor="text1" w:themeTint="A6"/>
                <w:szCs w:val="18"/>
              </w:rPr>
              <w:t>Met deze voorstellen wordt beoogd de regeling in overeenstemming te brengen met internationale klimaatdoelstellingen door een bestaand verbod op steun voor kolengestookte elektriciteitscentrales zonder emissiereductie in artikel 6 uit te breiden tot de fossiele-energiesector als geheel, behalve in beperkte en duidelijk omschreven omstandigheden.</w:t>
            </w:r>
          </w:p>
        </w:tc>
      </w:tr>
    </w:tbl>
    <w:p w:rsidRPr="00BC1E67" w:rsidR="003359C8" w:rsidP="00176174" w:rsidRDefault="003359C8" w14:paraId="7F75E9BD" w14:textId="77777777">
      <w:pPr>
        <w:tabs>
          <w:tab w:val="left" w:pos="2052"/>
        </w:tabs>
        <w:rPr>
          <w:szCs w:val="18"/>
        </w:rPr>
      </w:pPr>
    </w:p>
    <w:p w:rsidRPr="00BC1E67" w:rsidR="003359C8" w:rsidP="00176174" w:rsidRDefault="003359C8" w14:paraId="50F8A3DD" w14:textId="77777777">
      <w:pPr>
        <w:tabs>
          <w:tab w:val="left" w:pos="2052"/>
        </w:tabs>
        <w:rPr>
          <w:szCs w:val="18"/>
        </w:rPr>
      </w:pPr>
    </w:p>
    <w:p w:rsidRPr="00BC1E67" w:rsidR="003359C8" w:rsidP="00176174" w:rsidRDefault="003359C8" w14:paraId="7492ED6E" w14:textId="77777777">
      <w:pPr>
        <w:tabs>
          <w:tab w:val="left" w:pos="2052"/>
        </w:tabs>
        <w:rPr>
          <w:szCs w:val="18"/>
        </w:rPr>
      </w:pPr>
    </w:p>
    <w:p w:rsidRPr="00BC1E67" w:rsidR="00A706B4" w:rsidP="00176174" w:rsidRDefault="00A706B4" w14:paraId="38D644E1" w14:textId="77777777">
      <w:pPr>
        <w:tabs>
          <w:tab w:val="left" w:pos="2052"/>
        </w:tabs>
        <w:rPr>
          <w:szCs w:val="18"/>
        </w:rPr>
      </w:pPr>
    </w:p>
    <w:p w:rsidRPr="00BC1E67" w:rsidR="00A706B4" w:rsidP="00176174" w:rsidRDefault="00A706B4" w14:paraId="624B5366" w14:textId="77777777">
      <w:pPr>
        <w:tabs>
          <w:tab w:val="left" w:pos="2052"/>
        </w:tabs>
        <w:rPr>
          <w:szCs w:val="18"/>
        </w:rPr>
      </w:pPr>
    </w:p>
    <w:p w:rsidRPr="00BC1E67" w:rsidR="00A706B4" w:rsidP="00176174" w:rsidRDefault="00A706B4" w14:paraId="3C865CE1" w14:textId="77777777">
      <w:pPr>
        <w:tabs>
          <w:tab w:val="left" w:pos="2052"/>
        </w:tabs>
        <w:rPr>
          <w:szCs w:val="18"/>
        </w:rPr>
      </w:pPr>
    </w:p>
    <w:p w:rsidRPr="00BC1E67" w:rsidR="00A706B4" w:rsidP="00176174" w:rsidRDefault="00A706B4" w14:paraId="34BC87EF" w14:textId="77777777">
      <w:pPr>
        <w:tabs>
          <w:tab w:val="left" w:pos="2052"/>
        </w:tabs>
        <w:rPr>
          <w:szCs w:val="18"/>
        </w:rPr>
      </w:pPr>
    </w:p>
    <w:sectPr w:rsidRPr="00BC1E67" w:rsidR="00A706B4" w:rsidSect="00BF62AD">
      <w:headerReference w:type="default" r:id="rId50"/>
      <w:footerReference w:type="default" r:id="rId5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6890" w14:textId="77777777" w:rsidR="004175A6" w:rsidRDefault="004175A6">
      <w:r>
        <w:separator/>
      </w:r>
    </w:p>
  </w:endnote>
  <w:endnote w:type="continuationSeparator" w:id="0">
    <w:p w14:paraId="07A4CC80" w14:textId="77777777" w:rsidR="004175A6" w:rsidRDefault="004175A6">
      <w:r>
        <w:continuationSeparator/>
      </w:r>
    </w:p>
  </w:endnote>
  <w:endnote w:type="continuationNotice" w:id="1">
    <w:p w14:paraId="0F587B11" w14:textId="77777777" w:rsidR="004175A6" w:rsidRDefault="00417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CFED" w14:textId="77777777" w:rsidR="00A42CDC" w:rsidRDefault="00F407B0">
    <w:pPr>
      <w:pStyle w:val="Voettekst"/>
    </w:pPr>
    <w:r>
      <w:rPr>
        <w:noProof/>
        <w:lang w:eastAsia="nl-NL"/>
      </w:rPr>
      <mc:AlternateContent>
        <mc:Choice Requires="wps">
          <w:drawing>
            <wp:anchor distT="0" distB="0" distL="0" distR="0" simplePos="0" relativeHeight="251658246"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kstvak 6" o:spid="_x0000_s1028" type="#_x0000_t202" style="position:absolute;margin-left:232.45pt;margin-top:813.65pt;width:92.15pt;height:9.9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8240"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kstvak 4" o:spid="_x0000_s1029" type="#_x0000_t202" style="position:absolute;margin-left:110.55pt;margin-top:751pt;width:399.4pt;height:3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289E" w14:textId="77777777" w:rsidR="00A42CDC" w:rsidRDefault="00F407B0">
    <w:pPr>
      <w:pStyle w:val="Voettekst"/>
    </w:pPr>
    <w:r>
      <w:rPr>
        <w:noProof/>
        <w:lang w:eastAsia="nl-NL"/>
      </w:rPr>
      <mc:AlternateContent>
        <mc:Choice Requires="wps">
          <w:drawing>
            <wp:anchor distT="0" distB="0" distL="0" distR="0" simplePos="0" relativeHeight="251658247"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Tekstvak 3" o:spid="_x0000_s1031" type="#_x0000_t202" style="position:absolute;margin-left:232.45pt;margin-top:813.65pt;width:92.15pt;height:9.9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8241"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kstvak 11" o:spid="_x0000_s1032" type="#_x0000_t202" style="position:absolute;margin-left:129pt;margin-top:759.95pt;width:388.35pt;height:3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CFDA1" w14:textId="77777777" w:rsidR="004175A6" w:rsidRDefault="004175A6">
      <w:r>
        <w:separator/>
      </w:r>
    </w:p>
  </w:footnote>
  <w:footnote w:type="continuationSeparator" w:id="0">
    <w:p w14:paraId="1F1C576E" w14:textId="77777777" w:rsidR="004175A6" w:rsidRDefault="004175A6">
      <w:r>
        <w:continuationSeparator/>
      </w:r>
    </w:p>
  </w:footnote>
  <w:footnote w:type="continuationNotice" w:id="1">
    <w:p w14:paraId="0F51D827" w14:textId="77777777" w:rsidR="004175A6" w:rsidRDefault="004175A6"/>
  </w:footnote>
  <w:footnote w:id="2">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34FF" w14:textId="77777777" w:rsidR="00A42CDC" w:rsidRDefault="00A42CDC">
    <w:pPr>
      <w:pStyle w:val="Koptekst"/>
    </w:pPr>
    <w:r>
      <w:rPr>
        <w:noProof/>
        <w:lang w:eastAsia="nl-NL"/>
      </w:rPr>
      <w:drawing>
        <wp:anchor distT="0" distB="0" distL="114300" distR="114300" simplePos="0" relativeHeight="251658244"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8243"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58242"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58245"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295926">
    <w:abstractNumId w:val="1"/>
  </w:num>
  <w:num w:numId="2" w16cid:durableId="797987264">
    <w:abstractNumId w:val="5"/>
  </w:num>
  <w:num w:numId="3" w16cid:durableId="1343049436">
    <w:abstractNumId w:val="9"/>
  </w:num>
  <w:num w:numId="4" w16cid:durableId="1358920455">
    <w:abstractNumId w:val="4"/>
  </w:num>
  <w:num w:numId="5" w16cid:durableId="1102843723">
    <w:abstractNumId w:val="2"/>
  </w:num>
  <w:num w:numId="6" w16cid:durableId="667246171">
    <w:abstractNumId w:val="0"/>
  </w:num>
  <w:num w:numId="7" w16cid:durableId="522977946">
    <w:abstractNumId w:val="8"/>
  </w:num>
  <w:num w:numId="8" w16cid:durableId="1318992251">
    <w:abstractNumId w:val="6"/>
  </w:num>
  <w:num w:numId="9" w16cid:durableId="1031145458">
    <w:abstractNumId w:val="7"/>
  </w:num>
  <w:num w:numId="10" w16cid:durableId="519857257">
    <w:abstractNumId w:val="3"/>
  </w:num>
  <w:num w:numId="11" w16cid:durableId="188883572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07BE"/>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90"/>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6A16"/>
    <w:rsid w:val="00147017"/>
    <w:rsid w:val="00151AC8"/>
    <w:rsid w:val="001545B9"/>
    <w:rsid w:val="00154EC0"/>
    <w:rsid w:val="001555A9"/>
    <w:rsid w:val="00160E6E"/>
    <w:rsid w:val="00161D1B"/>
    <w:rsid w:val="001706B1"/>
    <w:rsid w:val="00170AFB"/>
    <w:rsid w:val="001715CC"/>
    <w:rsid w:val="0017367F"/>
    <w:rsid w:val="00176174"/>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E6CA3"/>
    <w:rsid w:val="001F1517"/>
    <w:rsid w:val="001F171F"/>
    <w:rsid w:val="001F4221"/>
    <w:rsid w:val="001F7012"/>
    <w:rsid w:val="002048D9"/>
    <w:rsid w:val="00210705"/>
    <w:rsid w:val="00211391"/>
    <w:rsid w:val="00216C27"/>
    <w:rsid w:val="00221D6B"/>
    <w:rsid w:val="0022374D"/>
    <w:rsid w:val="00224294"/>
    <w:rsid w:val="00227D85"/>
    <w:rsid w:val="00235B3D"/>
    <w:rsid w:val="002418EC"/>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037"/>
    <w:rsid w:val="002C18DB"/>
    <w:rsid w:val="002C488A"/>
    <w:rsid w:val="002E43EB"/>
    <w:rsid w:val="002E5CC6"/>
    <w:rsid w:val="002E6686"/>
    <w:rsid w:val="002E72EA"/>
    <w:rsid w:val="002F363A"/>
    <w:rsid w:val="002F45EE"/>
    <w:rsid w:val="002F510C"/>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359C8"/>
    <w:rsid w:val="003410ED"/>
    <w:rsid w:val="00346125"/>
    <w:rsid w:val="00352A08"/>
    <w:rsid w:val="00355DCC"/>
    <w:rsid w:val="00356E8E"/>
    <w:rsid w:val="003575FA"/>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24F"/>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175A6"/>
    <w:rsid w:val="00420882"/>
    <w:rsid w:val="00424531"/>
    <w:rsid w:val="00424D04"/>
    <w:rsid w:val="004265B2"/>
    <w:rsid w:val="00427600"/>
    <w:rsid w:val="0043382C"/>
    <w:rsid w:val="0043446E"/>
    <w:rsid w:val="00434BC6"/>
    <w:rsid w:val="00435C99"/>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0646"/>
    <w:rsid w:val="00491847"/>
    <w:rsid w:val="004A0757"/>
    <w:rsid w:val="004A2857"/>
    <w:rsid w:val="004A48F2"/>
    <w:rsid w:val="004A553E"/>
    <w:rsid w:val="004B109E"/>
    <w:rsid w:val="004B447F"/>
    <w:rsid w:val="004B572A"/>
    <w:rsid w:val="004B5B19"/>
    <w:rsid w:val="004C7B01"/>
    <w:rsid w:val="004E3424"/>
    <w:rsid w:val="004E426E"/>
    <w:rsid w:val="004E5595"/>
    <w:rsid w:val="00501F98"/>
    <w:rsid w:val="00505F93"/>
    <w:rsid w:val="00507A41"/>
    <w:rsid w:val="00511442"/>
    <w:rsid w:val="005115F8"/>
    <w:rsid w:val="005158C0"/>
    <w:rsid w:val="0051638F"/>
    <w:rsid w:val="00520D88"/>
    <w:rsid w:val="00521E24"/>
    <w:rsid w:val="00522540"/>
    <w:rsid w:val="00522C4B"/>
    <w:rsid w:val="00525BF3"/>
    <w:rsid w:val="00525CAA"/>
    <w:rsid w:val="00526065"/>
    <w:rsid w:val="00527428"/>
    <w:rsid w:val="005324DF"/>
    <w:rsid w:val="005376B8"/>
    <w:rsid w:val="00540F78"/>
    <w:rsid w:val="00543233"/>
    <w:rsid w:val="00543BB4"/>
    <w:rsid w:val="00554CBF"/>
    <w:rsid w:val="00560FDE"/>
    <w:rsid w:val="00565011"/>
    <w:rsid w:val="00566052"/>
    <w:rsid w:val="0057470C"/>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4561"/>
    <w:rsid w:val="0061596D"/>
    <w:rsid w:val="00617577"/>
    <w:rsid w:val="006200E7"/>
    <w:rsid w:val="00621260"/>
    <w:rsid w:val="00626F56"/>
    <w:rsid w:val="00626FD8"/>
    <w:rsid w:val="006301F4"/>
    <w:rsid w:val="00633333"/>
    <w:rsid w:val="0064051F"/>
    <w:rsid w:val="00643A98"/>
    <w:rsid w:val="006466A7"/>
    <w:rsid w:val="006475E6"/>
    <w:rsid w:val="00653181"/>
    <w:rsid w:val="0065323F"/>
    <w:rsid w:val="006537C4"/>
    <w:rsid w:val="00655929"/>
    <w:rsid w:val="00656188"/>
    <w:rsid w:val="00661ACE"/>
    <w:rsid w:val="00661F6A"/>
    <w:rsid w:val="006635A7"/>
    <w:rsid w:val="00667A74"/>
    <w:rsid w:val="00673519"/>
    <w:rsid w:val="0067537E"/>
    <w:rsid w:val="00682002"/>
    <w:rsid w:val="0068440D"/>
    <w:rsid w:val="00690F44"/>
    <w:rsid w:val="006919C8"/>
    <w:rsid w:val="0069362C"/>
    <w:rsid w:val="00693D3B"/>
    <w:rsid w:val="00694B16"/>
    <w:rsid w:val="00697687"/>
    <w:rsid w:val="006A15AD"/>
    <w:rsid w:val="006A1A27"/>
    <w:rsid w:val="006A45D8"/>
    <w:rsid w:val="006A4888"/>
    <w:rsid w:val="006A5210"/>
    <w:rsid w:val="006B0B28"/>
    <w:rsid w:val="006B488A"/>
    <w:rsid w:val="006C4176"/>
    <w:rsid w:val="006D2B66"/>
    <w:rsid w:val="006D3AA5"/>
    <w:rsid w:val="006D4B9F"/>
    <w:rsid w:val="006D5087"/>
    <w:rsid w:val="006D7AEF"/>
    <w:rsid w:val="006E0F91"/>
    <w:rsid w:val="006E2C94"/>
    <w:rsid w:val="006E4D2D"/>
    <w:rsid w:val="006E5214"/>
    <w:rsid w:val="006E6571"/>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1E9"/>
    <w:rsid w:val="00745D31"/>
    <w:rsid w:val="00755534"/>
    <w:rsid w:val="00757AA5"/>
    <w:rsid w:val="00760F0B"/>
    <w:rsid w:val="007642F9"/>
    <w:rsid w:val="007659CE"/>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679"/>
    <w:rsid w:val="007D49C7"/>
    <w:rsid w:val="007E249D"/>
    <w:rsid w:val="007E4BFD"/>
    <w:rsid w:val="007F04F9"/>
    <w:rsid w:val="007F714A"/>
    <w:rsid w:val="00802D86"/>
    <w:rsid w:val="00802F06"/>
    <w:rsid w:val="008035D0"/>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677B1"/>
    <w:rsid w:val="00870719"/>
    <w:rsid w:val="008717FF"/>
    <w:rsid w:val="00892314"/>
    <w:rsid w:val="0089371C"/>
    <w:rsid w:val="008A4075"/>
    <w:rsid w:val="008A502B"/>
    <w:rsid w:val="008A5C07"/>
    <w:rsid w:val="008A5F82"/>
    <w:rsid w:val="008B33EB"/>
    <w:rsid w:val="008B3ABC"/>
    <w:rsid w:val="008B4B43"/>
    <w:rsid w:val="008B5E4B"/>
    <w:rsid w:val="008B7783"/>
    <w:rsid w:val="008C43A5"/>
    <w:rsid w:val="008C4443"/>
    <w:rsid w:val="008E1635"/>
    <w:rsid w:val="008E1DAE"/>
    <w:rsid w:val="008E363B"/>
    <w:rsid w:val="008E7DAC"/>
    <w:rsid w:val="00900EA8"/>
    <w:rsid w:val="00901055"/>
    <w:rsid w:val="0090730F"/>
    <w:rsid w:val="0091479F"/>
    <w:rsid w:val="00914C45"/>
    <w:rsid w:val="00916678"/>
    <w:rsid w:val="0091744E"/>
    <w:rsid w:val="00922C5B"/>
    <w:rsid w:val="009273FA"/>
    <w:rsid w:val="00927826"/>
    <w:rsid w:val="00930D89"/>
    <w:rsid w:val="00935201"/>
    <w:rsid w:val="00935FD0"/>
    <w:rsid w:val="0093711F"/>
    <w:rsid w:val="009373A1"/>
    <w:rsid w:val="009411C2"/>
    <w:rsid w:val="00942CDE"/>
    <w:rsid w:val="00946E0E"/>
    <w:rsid w:val="009531A4"/>
    <w:rsid w:val="009542C9"/>
    <w:rsid w:val="00956342"/>
    <w:rsid w:val="009575DB"/>
    <w:rsid w:val="00962A95"/>
    <w:rsid w:val="009647CC"/>
    <w:rsid w:val="00970CA0"/>
    <w:rsid w:val="0097614E"/>
    <w:rsid w:val="00981B9B"/>
    <w:rsid w:val="00986DA2"/>
    <w:rsid w:val="009870EA"/>
    <w:rsid w:val="009874C6"/>
    <w:rsid w:val="00990B28"/>
    <w:rsid w:val="0099243E"/>
    <w:rsid w:val="009940CE"/>
    <w:rsid w:val="009956D1"/>
    <w:rsid w:val="00995B14"/>
    <w:rsid w:val="009A03E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37E96"/>
    <w:rsid w:val="00A40CA1"/>
    <w:rsid w:val="00A42CDC"/>
    <w:rsid w:val="00A464BD"/>
    <w:rsid w:val="00A501AD"/>
    <w:rsid w:val="00A57E41"/>
    <w:rsid w:val="00A657BB"/>
    <w:rsid w:val="00A706B4"/>
    <w:rsid w:val="00A77085"/>
    <w:rsid w:val="00A770BD"/>
    <w:rsid w:val="00A80CBB"/>
    <w:rsid w:val="00A828E3"/>
    <w:rsid w:val="00A841A6"/>
    <w:rsid w:val="00A9227F"/>
    <w:rsid w:val="00A95091"/>
    <w:rsid w:val="00A96541"/>
    <w:rsid w:val="00AA0328"/>
    <w:rsid w:val="00AA44E4"/>
    <w:rsid w:val="00AB0987"/>
    <w:rsid w:val="00AB3504"/>
    <w:rsid w:val="00AB365C"/>
    <w:rsid w:val="00AB601C"/>
    <w:rsid w:val="00AB6D0E"/>
    <w:rsid w:val="00AC226A"/>
    <w:rsid w:val="00AC2D1E"/>
    <w:rsid w:val="00AC68C0"/>
    <w:rsid w:val="00AD0985"/>
    <w:rsid w:val="00AD2669"/>
    <w:rsid w:val="00AD33F2"/>
    <w:rsid w:val="00AD4211"/>
    <w:rsid w:val="00AE17EA"/>
    <w:rsid w:val="00AE31C8"/>
    <w:rsid w:val="00AE3B5E"/>
    <w:rsid w:val="00AE4AA4"/>
    <w:rsid w:val="00AE681E"/>
    <w:rsid w:val="00AE69BE"/>
    <w:rsid w:val="00AE768D"/>
    <w:rsid w:val="00AF27EB"/>
    <w:rsid w:val="00AF294D"/>
    <w:rsid w:val="00AF57CB"/>
    <w:rsid w:val="00AF7BAC"/>
    <w:rsid w:val="00B257AD"/>
    <w:rsid w:val="00B2723B"/>
    <w:rsid w:val="00B30327"/>
    <w:rsid w:val="00B306FA"/>
    <w:rsid w:val="00B34C2F"/>
    <w:rsid w:val="00B53C93"/>
    <w:rsid w:val="00B5478B"/>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1E67"/>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4482"/>
    <w:rsid w:val="00C3534E"/>
    <w:rsid w:val="00C4073F"/>
    <w:rsid w:val="00C4727D"/>
    <w:rsid w:val="00C5067A"/>
    <w:rsid w:val="00C60BB7"/>
    <w:rsid w:val="00C643E9"/>
    <w:rsid w:val="00C660F6"/>
    <w:rsid w:val="00C71065"/>
    <w:rsid w:val="00C727FA"/>
    <w:rsid w:val="00C75EFA"/>
    <w:rsid w:val="00C76646"/>
    <w:rsid w:val="00C776F3"/>
    <w:rsid w:val="00C77C19"/>
    <w:rsid w:val="00C80567"/>
    <w:rsid w:val="00C81CF5"/>
    <w:rsid w:val="00C920B0"/>
    <w:rsid w:val="00C92FEA"/>
    <w:rsid w:val="00C95F3E"/>
    <w:rsid w:val="00C97A62"/>
    <w:rsid w:val="00CA2071"/>
    <w:rsid w:val="00CA2568"/>
    <w:rsid w:val="00CA2E09"/>
    <w:rsid w:val="00CA686E"/>
    <w:rsid w:val="00CA7319"/>
    <w:rsid w:val="00CB6655"/>
    <w:rsid w:val="00CB6D12"/>
    <w:rsid w:val="00CB7E3F"/>
    <w:rsid w:val="00CC06B3"/>
    <w:rsid w:val="00CC0D76"/>
    <w:rsid w:val="00CC14BA"/>
    <w:rsid w:val="00CC1F4A"/>
    <w:rsid w:val="00CC4922"/>
    <w:rsid w:val="00CD180F"/>
    <w:rsid w:val="00CD3F0C"/>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1A5"/>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64CF8"/>
    <w:rsid w:val="00D64F93"/>
    <w:rsid w:val="00D6591C"/>
    <w:rsid w:val="00D67F7F"/>
    <w:rsid w:val="00D7255C"/>
    <w:rsid w:val="00D72CC9"/>
    <w:rsid w:val="00D74D2C"/>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031E"/>
    <w:rsid w:val="00F11149"/>
    <w:rsid w:val="00F14A3A"/>
    <w:rsid w:val="00F17D6A"/>
    <w:rsid w:val="00F21FB6"/>
    <w:rsid w:val="00F246AB"/>
    <w:rsid w:val="00F268FE"/>
    <w:rsid w:val="00F26D7C"/>
    <w:rsid w:val="00F2799A"/>
    <w:rsid w:val="00F30E66"/>
    <w:rsid w:val="00F33E5F"/>
    <w:rsid w:val="00F40383"/>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435C99"/>
    <w:rPr>
      <w:color w:val="605E5C"/>
      <w:shd w:val="clear" w:color="auto" w:fill="E1DFDD"/>
    </w:rPr>
  </w:style>
  <w:style w:type="paragraph" w:customStyle="1" w:styleId="xmsonormal">
    <w:name w:val="x_msonormal"/>
    <w:basedOn w:val="Standaard"/>
    <w:rsid w:val="00146A16"/>
    <w:rPr>
      <w:rFonts w:ascii="Calibri" w:eastAsiaTheme="minorHAnsi" w:hAnsi="Calibri" w:cs="Calibr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3271">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068279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935145">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91484067">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2413858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9275">
      <w:bodyDiv w:val="1"/>
      <w:marLeft w:val="0"/>
      <w:marRight w:val="0"/>
      <w:marTop w:val="0"/>
      <w:marBottom w:val="0"/>
      <w:divBdr>
        <w:top w:val="none" w:sz="0" w:space="0" w:color="auto"/>
        <w:left w:val="none" w:sz="0" w:space="0" w:color="auto"/>
        <w:bottom w:val="none" w:sz="0" w:space="0" w:color="auto"/>
        <w:right w:val="none" w:sz="0" w:space="0" w:color="auto"/>
      </w:divBdr>
    </w:div>
    <w:div w:id="90672229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094590127">
      <w:bodyDiv w:val="1"/>
      <w:marLeft w:val="0"/>
      <w:marRight w:val="0"/>
      <w:marTop w:val="0"/>
      <w:marBottom w:val="0"/>
      <w:divBdr>
        <w:top w:val="none" w:sz="0" w:space="0" w:color="auto"/>
        <w:left w:val="none" w:sz="0" w:space="0" w:color="auto"/>
        <w:bottom w:val="none" w:sz="0" w:space="0" w:color="auto"/>
        <w:right w:val="none" w:sz="0" w:space="0" w:color="auto"/>
      </w:divBdr>
    </w:div>
    <w:div w:id="1288391958">
      <w:bodyDiv w:val="1"/>
      <w:marLeft w:val="0"/>
      <w:marRight w:val="0"/>
      <w:marTop w:val="0"/>
      <w:marBottom w:val="0"/>
      <w:divBdr>
        <w:top w:val="none" w:sz="0" w:space="0" w:color="auto"/>
        <w:left w:val="none" w:sz="0" w:space="0" w:color="auto"/>
        <w:bottom w:val="none" w:sz="0" w:space="0" w:color="auto"/>
        <w:right w:val="none" w:sz="0" w:space="0" w:color="auto"/>
      </w:divBdr>
    </w:div>
    <w:div w:id="1325356049">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8581020">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7005787">
      <w:bodyDiv w:val="1"/>
      <w:marLeft w:val="0"/>
      <w:marRight w:val="0"/>
      <w:marTop w:val="0"/>
      <w:marBottom w:val="0"/>
      <w:divBdr>
        <w:top w:val="none" w:sz="0" w:space="0" w:color="auto"/>
        <w:left w:val="none" w:sz="0" w:space="0" w:color="auto"/>
        <w:bottom w:val="none" w:sz="0" w:space="0" w:color="auto"/>
        <w:right w:val="none" w:sz="0" w:space="0" w:color="auto"/>
      </w:divBdr>
    </w:div>
    <w:div w:id="171838552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96169445">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59932701">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eur06.safelinks.protection.outlook.com/?url=https%3A%2F%2Feur-lex.europa.eu%2Flegal-content%2FNL%2FTXT%2F%3Furi%3DCELEX%253A52024DC0272%26qid%3D1719823692403&amp;data=05%7C02%7Ccie.fin%40tweedekamer.nl%7Cff594b64bc674f8cb33c08dc9c0c4b85%7C238cb5073f714afeaaab8382731a4345%7C0%7C0%7C638556823840511833%7CUnknown%7CTWFpbGZsb3d8eyJWIjoiMC4wLjAwMDAiLCJQIjoiV2luMzIiLCJBTiI6Ik1haWwiLCJXVCI6Mn0%3D%7C0%7C%7C%7C&amp;sdata=sjQjRfo9sA6qUJ%2FfEN7zWhWqocCwpTyMS8MwTQhhd%2FQ%3D&amp;reserved=0" TargetMode="External" Id="rId18" /><Relationship Type="http://schemas.openxmlformats.org/officeDocument/2006/relationships/hyperlink" Target="https://eur06.safelinks.protection.outlook.com/?url=https%3A%2F%2Feur-lex.europa.eu%2Flegal-content%2FNL%2FTXT%2F%3Furi%3DCELEX%253A52024PC0288%26qid%3D1720513178497&amp;data=05%7C02%7Ccie.fin%40tweedekamer.nl%7C97dfce91263f43fb29b808dca1a86cf5%7C238cb5073f714afeaaab8382731a4345%7C0%7C0%7C638562991994984086%7CUnknown%7CTWFpbGZsb3d8eyJWIjoiMC4wLjAwMDAiLCJQIjoiV2luMzIiLCJBTiI6Ik1haWwiLCJXVCI6Mn0%3D%7C0%7C%7C%7C&amp;sdata=XFW9jgkSasTfgCoATHnQU2AigqqHT1dtm7dq9AVI9Bs%3D&amp;reserved=0" TargetMode="External" Id="rId26" /><Relationship Type="http://schemas.openxmlformats.org/officeDocument/2006/relationships/hyperlink" Target="https://eur-lex.europa.eu/legal-content/NL/TXT/?uri=COM%3A2024%3A294%3AFIN&amp;qid=1721043559359" TargetMode="External" Id="rId39" /><Relationship Type="http://schemas.openxmlformats.org/officeDocument/2006/relationships/hyperlink" Target="https://eur06.safelinks.protection.outlook.com/?url=https%3A%2F%2Feur-lex.europa.eu%2Flegal-content%2FNL%2FTXT%2F%3Furi%3DCELEX%253A52024PC0277%26qid%3D1719824244008&amp;data=05%7C02%7Ccie.fin%40tweedekamer.nl%7Cff594b64bc674f8cb33c08dc9c0c4b85%7C238cb5073f714afeaaab8382731a4345%7C0%7C0%7C638556823840588748%7CUnknown%7CTWFpbGZsb3d8eyJWIjoiMC4wLjAwMDAiLCJQIjoiV2luMzIiLCJBTiI6Ik1haWwiLCJXVCI6Mn0%3D%7C0%7C%7C%7C&amp;sdata=5f22Sa0MYkx1AQXD5Zdyz51678xYgG1tEVpDm3mIkNI%3D&amp;reserved=0" TargetMode="External" Id="rId21" /><Relationship Type="http://schemas.openxmlformats.org/officeDocument/2006/relationships/hyperlink" Target="https://eur06.safelinks.protection.outlook.com/?url=https%3A%2F%2Feur-lex.europa.eu%2Flegal-content%2FNL%2FTXT%2F%3Furi%3DCELEX%253A52024PC0514%26qid%3D1720518254785&amp;data=05%7C02%7Ccie.fin%40tweedekamer.nl%7C97dfce91263f43fb29b808dca1a86cf5%7C238cb5073f714afeaaab8382731a4345%7C0%7C0%7C638562991995211348%7CUnknown%7CTWFpbGZsb3d8eyJWIjoiMC4wLjAwMDAiLCJQIjoiV2luMzIiLCJBTiI6Ik1haWwiLCJXVCI6Mn0%3D%7C0%7C%7C%7C&amp;sdata=epvhhxOkDUSv38I7vRKtRVPqvjm5TaXGyY3KjUmKdSI%3D&amp;reserved=0" TargetMode="External" Id="rId34" /><Relationship Type="http://schemas.openxmlformats.org/officeDocument/2006/relationships/hyperlink" Target="https://eur-lex.europa.eu/legal-content/NL/TXT/?uri=CELEX%3A52024DC0305&amp;qid=1721724954073" TargetMode="External" Id="rId42" /><Relationship Type="http://schemas.openxmlformats.org/officeDocument/2006/relationships/hyperlink" Target="https://eur06.safelinks.protection.outlook.com/?url=https%3A%2F%2Feur-lex.europa.eu%2Flegal-content%2FNL%2FTXT%2F%3Furi%3DCOM%253A2024%253A300%253AFIN%26qid%3D1721042716746&amp;data=05%7C02%7Ccie.fin%40tweedekamer.nl%7C867c4e51f8ee420ef35808dcc76bde70%7C238cb5073f714afeaaab8382731a4345%7C0%7C0%7C638604513359340508%7CUnknown%7CTWFpbGZsb3d8eyJWIjoiMC4wLjAwMDAiLCJQIjoiV2luMzIiLCJBTiI6Ik1haWwiLCJXVCI6Mn0%3D%7C0%7C%7C%7C&amp;sdata=W0I7GVGvUTB3YjnUZo6jPns0MJacmw0DSWpH3vTGUYM%3D&amp;reserved=0" TargetMode="External" Id="rId47" /><Relationship Type="http://schemas.openxmlformats.org/officeDocument/2006/relationships/header" Target="header2.xml" Id="rId50" /><Relationship Type="http://schemas.openxmlformats.org/officeDocument/2006/relationships/numbering" Target="numbering.xml" Id="rId7" /><Relationship Type="http://schemas.openxmlformats.org/officeDocument/2006/relationships/hyperlink" Target="https://eur06.safelinks.protection.outlook.com/?url=https%3A%2F%2Feur-lex.europa.eu%2Flegal-content%2FNL%2FTXT%2F%3Furi%3DCELEX%253A52024PC0279%26qid%3D1720517418188&amp;data=05%7C02%7Ccie.fin%40tweedekamer.nl%7C97dfce91263f43fb29b808dca1a86cf5%7C238cb5073f714afeaaab8382731a4345%7C0%7C0%7C638562991994926634%7CUnknown%7CTWFpbGZsb3d8eyJWIjoiMC4wLjAwMDAiLCJQIjoiV2luMzIiLCJBTiI6Ik1haWwiLCJXVCI6Mn0%3D%7C0%7C%7C%7C&amp;sdata=u9Rfw%2Fwm8gsD%2F1h2DPP6YP7N5zhHwTdRtdGWeqCBilg%3D&amp;reserved=0" TargetMode="External" Id="rId16" /><Relationship Type="http://schemas.openxmlformats.org/officeDocument/2006/relationships/hyperlink" Target="https://eur06.safelinks.protection.outlook.com/?url=https%3A%2F%2Feur-lex.europa.eu%2Flegal-content%2FNL%2FTXT%2F%3Furi%3DCELEX%253A52024PC0283%26qid%3D1720517094768&amp;data=05%7C02%7Ccie.fin%40tweedekamer.nl%7C97dfce91263f43fb29b808dca1a86cf5%7C238cb5073f714afeaaab8382731a4345%7C0%7C0%7C638562991995133842%7CUnknown%7CTWFpbGZsb3d8eyJWIjoiMC4wLjAwMDAiLCJQIjoiV2luMzIiLCJBTiI6Ik1haWwiLCJXVCI6Mn0%3D%7C0%7C%7C%7C&amp;sdata=306A25I8e0Xn2xpmhXT1hTn3%2FEoIkR7M6odoWrWB5XY%3D&amp;reserved=0" TargetMode="External" Id="rId29" /><Relationship Type="http://schemas.openxmlformats.org/officeDocument/2006/relationships/footnotes" Target="footnotes.xml" Id="rId11" /><Relationship Type="http://schemas.openxmlformats.org/officeDocument/2006/relationships/hyperlink" Target="https://eur06.safelinks.protection.outlook.com/?url=https%3A%2F%2Feur-lex.europa.eu%2Flegal-content%2FNL%2FTXT%2F%3Furi%3DCELEX%253A52024DC0180%26qid%3D1719824478543&amp;data=05%7C02%7Ccie.fin%40tweedekamer.nl%7Cff594b64bc674f8cb33c08dc9c0c4b85%7C238cb5073f714afeaaab8382731a4345%7C0%7C0%7C638556823840612147%7CUnknown%7CTWFpbGZsb3d8eyJWIjoiMC4wLjAwMDAiLCJQIjoiV2luMzIiLCJBTiI6Ik1haWwiLCJXVCI6Mn0%3D%7C0%7C%7C%7C&amp;sdata=46wo4P53QyrZP%2BYOixHWjQimqMipXM7gWdsNb0E3IMA%3D&amp;reserved=0" TargetMode="External" Id="rId24" /><Relationship Type="http://schemas.openxmlformats.org/officeDocument/2006/relationships/hyperlink" Target="https://eur06.safelinks.protection.outlook.com/?url=https%3A%2F%2Feur-lex.europa.eu%2Flegal-content%2FNL%2FTXT%2F%3Furi%3DCELEX%253A52024PC0513%26qid%3D1720517762539&amp;data=05%7C02%7Ccie.fin%40tweedekamer.nl%7C97dfce91263f43fb29b808dca1a86cf5%7C238cb5073f714afeaaab8382731a4345%7C0%7C0%7C638562991995191837%7CUnknown%7CTWFpbGZsb3d8eyJWIjoiMC4wLjAwMDAiLCJQIjoiV2luMzIiLCJBTiI6Ik1haWwiLCJXVCI6Mn0%3D%7C0%7C%7C%7C&amp;sdata=sbojwYZUKsG2XSNc7N2Ml2SD9BeNILYvXXZEWKLGCIg%3D&amp;reserved=0" TargetMode="External" Id="rId32" /><Relationship Type="http://schemas.openxmlformats.org/officeDocument/2006/relationships/hyperlink" Target="https://eur06.safelinks.protection.outlook.com/?url=https%3A%2F%2Feur-lex.europa.eu%2Flegal-content%2FNL%2FTXT%2F%3Furi%3DCELEX%253A52024PC0516%26qid%3D1720518897598&amp;data=05%7C02%7Ccie.fin%40tweedekamer.nl%7C97dfce91263f43fb29b808dca1a86cf5%7C238cb5073f714afeaaab8382731a4345%7C0%7C0%7C638562991995231978%7CUnknown%7CTWFpbGZsb3d8eyJWIjoiMC4wLjAwMDAiLCJQIjoiV2luMzIiLCJBTiI6Ik1haWwiLCJXVCI6Mn0%3D%7C0%7C%7C%7C&amp;sdata=cVL22NJOXINefUHos2NtMNdzwNPPtMRnOw8E4IpbCtw%3D&amp;reserved=0" TargetMode="External" Id="rId37" /><Relationship Type="http://schemas.openxmlformats.org/officeDocument/2006/relationships/hyperlink" Target="https://eur-lex.europa.eu/legal-content/NL/TXT/?uri=CELEX%3A52024PC0321&amp;qid=1721722996121" TargetMode="External" Id="rId40" /><Relationship Type="http://schemas.openxmlformats.org/officeDocument/2006/relationships/hyperlink" Target="https://eur-lex.europa.eu/legal-content/NL/TXT/?uri=CELEX%3A52024DC0369&amp;qid=1722319778845" TargetMode="External" Id="rId45" /><Relationship Type="http://schemas.openxmlformats.org/officeDocument/2006/relationships/theme" Target="theme/theme1.xml" Id="rId53" /><Relationship Type="http://schemas.openxmlformats.org/officeDocument/2006/relationships/webSettings" Target="webSettings.xml" Id="rId10" /><Relationship Type="http://schemas.openxmlformats.org/officeDocument/2006/relationships/hyperlink" Target="https://eur06.safelinks.protection.outlook.com/?url=https%3A%2F%2Feur-lex.europa.eu%2Flegal-content%2FNL%2FTXT%2F%3Furi%3DCELEX%253A52024DC0267%26qid%3D1719824032872&amp;data=05%7C02%7Ccie.fin%40tweedekamer.nl%7Cff594b64bc674f8cb33c08dc9c0c4b85%7C238cb5073f714afeaaab8382731a4345%7C0%7C0%7C638556823840559934%7CUnknown%7CTWFpbGZsb3d8eyJWIjoiMC4wLjAwMDAiLCJQIjoiV2luMzIiLCJBTiI6Ik1haWwiLCJXVCI6Mn0%3D%7C0%7C%7C%7C&amp;sdata=Z7Wm%2FjsAUO3rjvSariDLxbEEgmsLhQswIdTSFfGVTsU%3D&amp;reserved=0" TargetMode="External" Id="rId19" /><Relationship Type="http://schemas.openxmlformats.org/officeDocument/2006/relationships/hyperlink" Target="https://eur06.safelinks.protection.outlook.com/?url=https%3A%2F%2Feur-lex.europa.eu%2Flegal-content%2FNL%2FTXT%2F%3Furi%3DCELEX%253A52024PC0511%26qid%3D1720518161444&amp;data=05%7C02%7Ccie.fin%40tweedekamer.nl%7C97dfce91263f43fb29b808dca1a86cf5%7C238cb5073f714afeaaab8382731a4345%7C0%7C0%7C638562991995178407%7CUnknown%7CTWFpbGZsb3d8eyJWIjoiMC4wLjAwMDAiLCJQIjoiV2luMzIiLCJBTiI6Ik1haWwiLCJXVCI6Mn0%3D%7C0%7C%7C%7C&amp;sdata=R5rFPtFt2eaQNDkgrg%2BAKc1O2EKFy6vgME4l3AqaaX4%3D&amp;reserved=0" TargetMode="External" Id="rId31" /><Relationship Type="http://schemas.openxmlformats.org/officeDocument/2006/relationships/hyperlink" Target="https://eur-lex.europa.eu/legal-content/NL/TXT/?uri=CELEX%3A52024PC0347&amp;qid=1722319534142" TargetMode="External" Id="rId44" /><Relationship Type="http://schemas.openxmlformats.org/officeDocument/2006/relationships/fontTable" Target="fontTable.xml" Id="rId52"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ur06.safelinks.protection.outlook.com/?url=https%3A%2F%2Feur-lex.europa.eu%2Flegal-content%2FNL%2FTXT%2F%3Furi%3DCELEX%253A52024DC0270%26qid%3D1719824300408&amp;data=05%7C02%7Ccie.fin%40tweedekamer.nl%7Cff594b64bc674f8cb33c08dc9c0c4b85%7C238cb5073f714afeaaab8382731a4345%7C0%7C0%7C638556823840597028%7CUnknown%7CTWFpbGZsb3d8eyJWIjoiMC4wLjAwMDAiLCJQIjoiV2luMzIiLCJBTiI6Ik1haWwiLCJXVCI6Mn0%3D%7C0%7C%7C%7C&amp;sdata=B%2FACL2zoPG2sCFIuaf0CSc55yIZX5TOamGMVa3p7mf0%3D&amp;reserved=0" TargetMode="External" Id="rId22" /><Relationship Type="http://schemas.openxmlformats.org/officeDocument/2006/relationships/hyperlink" Target="https://eur06.safelinks.protection.outlook.com/?url=https%3A%2F%2Feur-lex.europa.eu%2Flegal-content%2FNL%2FTXT%2F%3Furi%3DCELEX%253A52024PC0263%26qid%3D1720514615754&amp;data=05%7C02%7Ccie.fin%40tweedekamer.nl%7C97dfce91263f43fb29b808dca1a86cf5%7C238cb5073f714afeaaab8382731a4345%7C0%7C0%7C638562991995048723%7CUnknown%7CTWFpbGZsb3d8eyJWIjoiMC4wLjAwMDAiLCJQIjoiV2luMzIiLCJBTiI6Ik1haWwiLCJXVCI6Mn0%3D%7C0%7C%7C%7C&amp;sdata=Tv5ciR%2B1hexVyhkxX%2FOlR1rBGvsfg4an%2FsHi2DZ6R%2Bo%3D&amp;reserved=0" TargetMode="External" Id="rId27" /><Relationship Type="http://schemas.openxmlformats.org/officeDocument/2006/relationships/hyperlink" Target="https://eur06.safelinks.protection.outlook.com/?url=https%3A%2F%2Feur-lex.europa.eu%2Flegal-content%2FNL%2FTXT%2F%3Furi%3DCELEX%253A52024PC0284%26qid%3D1720517171159&amp;data=05%7C02%7Ccie.fin%40tweedekamer.nl%7C97dfce91263f43fb29b808dca1a86cf5%7C238cb5073f714afeaaab8382731a4345%7C0%7C0%7C638562991995149961%7CUnknown%7CTWFpbGZsb3d8eyJWIjoiMC4wLjAwMDAiLCJQIjoiV2luMzIiLCJBTiI6Ik1haWwiLCJXVCI6Mn0%3D%7C0%7C%7C%7C&amp;sdata=yCyqvMia0mGfWAcTxQgW73njgdKCfVAyi2Ng%2BGdAGTI%3D&amp;reserved=0" TargetMode="External" Id="rId30" /><Relationship Type="http://schemas.openxmlformats.org/officeDocument/2006/relationships/hyperlink" Target="https://eur06.safelinks.protection.outlook.com/?url=https%3A%2F%2Feur-lex.europa.eu%2Flegal-content%2FNL%2FTXT%2F%3Furi%3DCELEX%253A52024PC0515%26qid%3D1720518627090&amp;data=05%7C02%7Ccie.fin%40tweedekamer.nl%7C97dfce91263f43fb29b808dca1a86cf5%7C238cb5073f714afeaaab8382731a4345%7C0%7C0%7C638562991995218639%7CUnknown%7CTWFpbGZsb3d8eyJWIjoiMC4wLjAwMDAiLCJQIjoiV2luMzIiLCJBTiI6Ik1haWwiLCJXVCI6Mn0%3D%7C0%7C%7C%7C&amp;sdata=NL4LzNihgecLdazb28ye7uLVm2k9Oog1uBv7GB3JTdQ%3D&amp;reserved=0" TargetMode="External" Id="rId35" /><Relationship Type="http://schemas.openxmlformats.org/officeDocument/2006/relationships/hyperlink" Target="https://eur-lex.europa.eu/legal-content/NL/TXT/?uri=COM%3A2024%3A307%3AFIN&amp;qid=1721726408567" TargetMode="External" Id="rId43" /><Relationship Type="http://schemas.openxmlformats.org/officeDocument/2006/relationships/hyperlink" Target="https://eur06.safelinks.protection.outlook.com/?url=https%3A%2F%2Feur-lex.europa.eu%2Flegal-content%2FNL%2FTXT%2F%3Furi%3DCELEX%253A52024PC0325%26qid%3D1724829790830&amp;data=05%7C02%7Ccie.fin%40tweedekamer.nl%7C867c4e51f8ee420ef35808dcc76bde70%7C238cb5073f714afeaaab8382731a4345%7C0%7C0%7C638604513359688029%7CUnknown%7CTWFpbGZsb3d8eyJWIjoiMC4wLjAwMDAiLCJQIjoiV2luMzIiLCJBTiI6Ik1haWwiLCJXVCI6Mn0%3D%7C0%7C%7C%7C&amp;sdata=%2FwujX05dXjHuhreEy%2FAXoZEke%2BTYt6cMCEkwk7uzXAg%3D&amp;reserved=0" TargetMode="External" Id="rId48" /><Relationship Type="http://schemas.openxmlformats.org/officeDocument/2006/relationships/styles" Target="styles.xml" Id="rId8" /><Relationship Type="http://schemas.openxmlformats.org/officeDocument/2006/relationships/footer" Target="footer2.xml" Id="rId51" /><Relationship Type="http://schemas.openxmlformats.org/officeDocument/2006/relationships/endnotes" Target="endnotes.xml" Id="rId12" /><Relationship Type="http://schemas.openxmlformats.org/officeDocument/2006/relationships/hyperlink" Target="https://eur06.safelinks.protection.outlook.com/?url=https%3A%2F%2Feur-lex.europa.eu%2Flegal-content%2FNL%2FTXT%2F%3Furi%3DCELEX%253A52024DC0273%26qid%3D1719823444143&amp;data=05%7C02%7Ccie.fin%40tweedekamer.nl%7Cff594b64bc674f8cb33c08dc9c0c4b85%7C238cb5073f714afeaaab8382731a4345%7C0%7C0%7C638556823840489672%7CUnknown%7CTWFpbGZsb3d8eyJWIjoiMC4wLjAwMDAiLCJQIjoiV2luMzIiLCJBTiI6Ik1haWwiLCJXVCI6Mn0%3D%7C0%7C%7C%7C&amp;sdata=qjFIyjh1quKKDhRIYJqTHpedf5faECmLoXkA6RKwdLQ%3D&amp;reserved=0" TargetMode="External" Id="rId17" /><Relationship Type="http://schemas.openxmlformats.org/officeDocument/2006/relationships/hyperlink" Target="https://eur06.safelinks.protection.outlook.com/?url=https%3A%2F%2Feur-lex.europa.eu%2Flegal-content%2FNL%2FTXT%2F%3Furi%3DCELEX%253A52024DC0248%26qid%3D1719231674906&amp;data=05%7C02%7Ca.vdlaar%40tweedekamer.nl%7C070880acfcd24504d8c608dc9c1ff462%7C238cb5073f714afeaaab8382731a4345%7C0%7C0%7C638556908266225337%7CUnknown%7CTWFpbGZsb3d8eyJWIjoiMC4wLjAwMDAiLCJQIjoiV2luMzIiLCJBTiI6Ik1haWwiLCJXVCI6Mn0%3D%7C0%7C%7C%7C&amp;sdata=PYsLGIvaHZ5FGHEQkAlSK1ed2SfdIZSHL%2FSOOfYg9Ns%3D&amp;reserved=0" TargetMode="External" Id="rId25" /><Relationship Type="http://schemas.openxmlformats.org/officeDocument/2006/relationships/hyperlink" Target="https://eur06.safelinks.protection.outlook.com/?url=https%3A%2F%2Feur-lex.europa.eu%2Flegal-content%2FNL%2FTXT%2F%3Furi%3DCELEX%253A52024PC0512%26qid%3D1720517812943&amp;data=05%7C02%7Ccie.fin%40tweedekamer.nl%7C97dfce91263f43fb29b808dca1a86cf5%7C238cb5073f714afeaaab8382731a4345%7C0%7C0%7C638562991995202839%7CUnknown%7CTWFpbGZsb3d8eyJWIjoiMC4wLjAwMDAiLCJQIjoiV2luMzIiLCJBTiI6Ik1haWwiLCJXVCI6Mn0%3D%7C0%7C%7C%7C&amp;sdata=AMmky1mVTD5jVhz0iN0Wqbx90rYAmObaeWPD5onRMIs%3D&amp;reserved=0" TargetMode="External" Id="rId33" /><Relationship Type="http://schemas.openxmlformats.org/officeDocument/2006/relationships/hyperlink" Target="https://eur-lex.europa.eu/legal-content/NL/TXT/?uri=COM%3A2024%3A300%3AFIN&amp;qid=1721042716746" TargetMode="External" Id="rId38" /><Relationship Type="http://schemas.openxmlformats.org/officeDocument/2006/relationships/hyperlink" Target="https://eur-lex.europa.eu/legal-content/NL/TXT/?uri=CELEX%3A52024DC0318&amp;qid=1722319855774" TargetMode="External" Id="rId46" /><Relationship Type="http://schemas.openxmlformats.org/officeDocument/2006/relationships/hyperlink" Target="https://eur06.safelinks.protection.outlook.com/?url=https%3A%2F%2Feur-lex.europa.eu%2Flegal-content%2FNL%2FTXT%2F%3Furi%3DCELEX%253A52024DC0276%26qid%3D1719824145429&amp;data=05%7C02%7Ccie.fin%40tweedekamer.nl%7Cff594b64bc674f8cb33c08dc9c0c4b85%7C238cb5073f714afeaaab8382731a4345%7C0%7C0%7C638556823840577425%7CUnknown%7CTWFpbGZsb3d8eyJWIjoiMC4wLjAwMDAiLCJQIjoiV2luMzIiLCJBTiI6Ik1haWwiLCJXVCI6Mn0%3D%7C0%7C%7C%7C&amp;sdata=ASwCtzmA%2FlzrTw7jU%2FcgbiGlHmd%2BfirsszsCkwLGV64%3D&amp;reserved=0" TargetMode="External" Id="rId20" /><Relationship Type="http://schemas.openxmlformats.org/officeDocument/2006/relationships/hyperlink" Target="https://eur-lex.europa.eu/legal-content/NL/TXT/?uri=CELEX%3A52024DC0931&amp;qid=1721723063160" TargetMode="External" Id="rId41" /><Relationship Type="http://schemas.openxmlformats.org/officeDocument/2006/relationships/hyperlink" Target="https://eur06.safelinks.protection.outlook.com/?url=https%3A%2F%2Feur-lex.europa.eu%2Flegal-content%2FNL%2FTXT%2F%3Furi%3DCELEX%253A52024PC0278%26qid%3D1720517228947&amp;data=05%7C02%7Ccie.fin%40tweedekamer.nl%7C97dfce91263f43fb29b808dca1a86cf5%7C238cb5073f714afeaaab8382731a4345%7C0%7C0%7C638562991994905216%7CUnknown%7CTWFpbGZsb3d8eyJWIjoiMC4wLjAwMDAiLCJQIjoiV2luMzIiLCJBTiI6Ik1haWwiLCJXVCI6Mn0%3D%7C0%7C%7C%7C&amp;sdata=9hPVu4YOBQHBLEgZuA2kmPA%2FEFVz2Zd4caump0q9VDc%3D&amp;reserved=0" TargetMode="External" Id="rId15" /><Relationship Type="http://schemas.openxmlformats.org/officeDocument/2006/relationships/hyperlink" Target="https://eur06.safelinks.protection.outlook.com/?url=https%3A%2F%2Feur-lex.europa.eu%2Flegal-content%2FNL%2FTXT%2F%3Furi%3DCELEX%253A52024DC0259%26qid%3D1719824418144&amp;data=05%7C02%7Ccie.fin%40tweedekamer.nl%7Cff594b64bc674f8cb33c08dc9c0c4b85%7C238cb5073f714afeaaab8382731a4345%7C0%7C0%7C638556823840605413%7CUnknown%7CTWFpbGZsb3d8eyJWIjoiMC4wLjAwMDAiLCJQIjoiV2luMzIiLCJBTiI6Ik1haWwiLCJXVCI6Mn0%3D%7C0%7C%7C%7C&amp;sdata=A3kCzKpL42vqhV9%2BSa8RY8ha0z25O2oDPlsSV795EUA%3D&amp;reserved=0" TargetMode="External" Id="rId23" /><Relationship Type="http://schemas.openxmlformats.org/officeDocument/2006/relationships/hyperlink" Target="https://eur06.safelinks.protection.outlook.com/?url=https%3A%2F%2Feur-lex.europa.eu%2Flegal-content%2FNL%2FTXT%2F%3Furi%3DCELEX%253A52024DC0268%26qid%3D1720516032315&amp;data=05%7C02%7Ccie.fin%40tweedekamer.nl%7C97dfce91263f43fb29b808dca1a86cf5%7C238cb5073f714afeaaab8382731a4345%7C0%7C0%7C638562991995092212%7CUnknown%7CTWFpbGZsb3d8eyJWIjoiMC4wLjAwMDAiLCJQIjoiV2luMzIiLCJBTiI6Ik1haWwiLCJXVCI6Mn0%3D%7C0%7C%7C%7C&amp;sdata=lRaePLLVthAtiSuzmsaJEbdrQFEOp9soyQMWvb71WAQ%3D&amp;reserved=0" TargetMode="External" Id="rId28" /><Relationship Type="http://schemas.openxmlformats.org/officeDocument/2006/relationships/hyperlink" Target="https://eur06.safelinks.protection.outlook.com/?url=https%3A%2F%2Feur-lex.europa.eu%2Flegal-content%2FNL%2FTXT%2F%3Furi%3DCELEX%253A52024PC0518%26qid%3D1720518794774&amp;data=05%7C02%7Ccie.fin%40tweedekamer.nl%7C97dfce91263f43fb29b808dca1a86cf5%7C238cb5073f714afeaaab8382731a4345%7C0%7C0%7C638562991995225289%7CUnknown%7CTWFpbGZsb3d8eyJWIjoiMC4wLjAwMDAiLCJQIjoiV2luMzIiLCJBTiI6Ik1haWwiLCJXVCI6Mn0%3D%7C0%7C%7C%7C&amp;sdata=di3ZzLxUFPEtiyjobVvswdtfpbRCygbql1GQseQgS2E%3D&amp;reserved=0" TargetMode="External" Id="rId36" /><Relationship Type="http://schemas.openxmlformats.org/officeDocument/2006/relationships/hyperlink" Target="https://eur06.safelinks.protection.outlook.com/?url=https%3A%2F%2Feur-lex.europa.eu%2Flegal-content%2FNL%2FTXT%2F%3Furi%3DCELEX%253A52024PC0282%26qid%3D1721043056484&amp;data=05%7C02%7Ca.vdlaar%40tweedekamer.nl%7C18d1bc2c4183437bdaff08dccce275c8%7C238cb5073f714afeaaab8382731a4345%7C0%7C0%7C638610520205665513%7CUnknown%7CTWFpbGZsb3d8eyJWIjoiMC4wLjAwMDAiLCJQIjoiV2luMzIiLCJBTiI6Ik1haWwiLCJXVCI6Mn0%3D%7C0%7C%7C%7C&amp;sdata=9%2FiJKD4rLwIkBAZstZ8X%2BL4MlYUFcSCBYlbh04peWIM%3D&amp;reserved=0" TargetMode="External" Id="rId49"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5594</ap:Words>
  <ap:Characters>30771</ap:Characters>
  <ap:DocSecurity>0</ap:DocSecurity>
  <ap:Lines>256</ap:Lines>
  <ap:Paragraphs>72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36293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2024-09-09T06:57:00.0000000Z</dcterms:created>
  <dcterms:modified xsi:type="dcterms:W3CDTF">2024-09-09T06:58:00.0000000Z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8cd77ee2-f421-41c0-b3ff-e15fa76c78f9</vt:lpwstr>
  </property>
</Properties>
</file>