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05D" w:rsidR="006F4799" w:rsidP="00C4305D" w:rsidRDefault="006F4799" w14:paraId="67781A89" w14:textId="285C9522">
      <w:pPr>
        <w:pStyle w:val="Geenafstand"/>
        <w:spacing w:line="276" w:lineRule="auto"/>
        <w:rPr>
          <w:b/>
          <w:bCs/>
          <w:szCs w:val="18"/>
          <w:lang w:val="nl-NL"/>
        </w:rPr>
      </w:pPr>
      <w:r w:rsidRPr="00C4305D">
        <w:rPr>
          <w:b/>
          <w:bCs/>
          <w:szCs w:val="18"/>
          <w:lang w:val="nl-NL"/>
        </w:rPr>
        <w:t>Verslag Eurogroep en Ecofinraad 15 en 16 juli 2024</w:t>
      </w:r>
    </w:p>
    <w:p w:rsidRPr="00C4305D" w:rsidR="006F4799" w:rsidP="00C4305D" w:rsidRDefault="006F4799" w14:paraId="059EE8D1" w14:textId="77777777">
      <w:pPr>
        <w:pStyle w:val="Geenafstand"/>
        <w:spacing w:line="276" w:lineRule="auto"/>
        <w:rPr>
          <w:szCs w:val="18"/>
          <w:lang w:val="nl-NL"/>
        </w:rPr>
      </w:pPr>
    </w:p>
    <w:p w:rsidRPr="00C4305D" w:rsidR="00A831AE" w:rsidP="00C4305D" w:rsidRDefault="006F4799" w14:paraId="09D8C0CF" w14:textId="77777777">
      <w:pPr>
        <w:pStyle w:val="Geenafstand"/>
        <w:spacing w:line="276" w:lineRule="auto"/>
        <w:rPr>
          <w:b/>
          <w:bCs/>
          <w:szCs w:val="18"/>
          <w:u w:val="single"/>
          <w:lang w:val="nl-NL"/>
        </w:rPr>
      </w:pPr>
      <w:r w:rsidRPr="00C4305D">
        <w:rPr>
          <w:b/>
          <w:bCs/>
          <w:szCs w:val="18"/>
          <w:u w:val="single"/>
          <w:lang w:val="nl-NL"/>
        </w:rPr>
        <w:t>Eurogroep in reguliere samenstelling</w:t>
      </w:r>
    </w:p>
    <w:p w:rsidRPr="00C4305D" w:rsidR="006F4799" w:rsidP="00C4305D" w:rsidRDefault="00A831AE" w14:paraId="38037308" w14:textId="5B698363">
      <w:pPr>
        <w:pStyle w:val="Geenafstand"/>
        <w:spacing w:line="276" w:lineRule="auto"/>
        <w:rPr>
          <w:b/>
          <w:bCs/>
          <w:szCs w:val="18"/>
          <w:u w:val="single"/>
          <w:lang w:val="nl-NL"/>
        </w:rPr>
      </w:pPr>
      <w:r w:rsidRPr="00C4305D">
        <w:rPr>
          <w:b/>
          <w:bCs/>
          <w:szCs w:val="18"/>
          <w:lang w:val="nl-NL"/>
        </w:rPr>
        <w:t>Macro-economische ontwikkelingen en begrotingsbeleid in de eurozone</w:t>
      </w:r>
    </w:p>
    <w:p w:rsidRPr="00C4305D" w:rsidR="00427B0C" w:rsidP="00C4305D" w:rsidRDefault="00414CE3" w14:paraId="77DAE8BF" w14:textId="15FABB36">
      <w:pPr>
        <w:spacing w:after="0" w:line="276" w:lineRule="auto"/>
        <w:rPr>
          <w:szCs w:val="18"/>
          <w:lang w:val="nl-NL"/>
        </w:rPr>
      </w:pPr>
      <w:r w:rsidRPr="00C4305D">
        <w:rPr>
          <w:szCs w:val="18"/>
          <w:lang w:val="nl-NL"/>
        </w:rPr>
        <w:t xml:space="preserve">De voorzitter van de Eurogroep gaf een toelichting op het geaggregeerde begrotingsbeleid van </w:t>
      </w:r>
      <w:r w:rsidR="00A0218E">
        <w:rPr>
          <w:szCs w:val="18"/>
          <w:lang w:val="nl-NL"/>
        </w:rPr>
        <w:t xml:space="preserve">lidstaten in </w:t>
      </w:r>
      <w:r w:rsidRPr="00C4305D">
        <w:rPr>
          <w:szCs w:val="18"/>
          <w:lang w:val="nl-NL"/>
        </w:rPr>
        <w:t xml:space="preserve">de eurozone, de zogenoemde </w:t>
      </w:r>
      <w:proofErr w:type="spellStart"/>
      <w:r w:rsidRPr="00C4305D">
        <w:rPr>
          <w:i/>
          <w:iCs/>
          <w:szCs w:val="18"/>
          <w:lang w:val="nl-NL"/>
        </w:rPr>
        <w:t>fiscal</w:t>
      </w:r>
      <w:proofErr w:type="spellEnd"/>
      <w:r w:rsidRPr="00C4305D">
        <w:rPr>
          <w:i/>
          <w:iCs/>
          <w:szCs w:val="18"/>
          <w:lang w:val="nl-NL"/>
        </w:rPr>
        <w:t xml:space="preserve"> stance</w:t>
      </w:r>
      <w:r w:rsidRPr="00C4305D">
        <w:rPr>
          <w:szCs w:val="18"/>
          <w:lang w:val="nl-NL"/>
        </w:rPr>
        <w:t xml:space="preserve">. Hij constateerde </w:t>
      </w:r>
      <w:r w:rsidR="00AE4816">
        <w:rPr>
          <w:szCs w:val="18"/>
          <w:lang w:val="nl-NL"/>
        </w:rPr>
        <w:t xml:space="preserve">onder andere </w:t>
      </w:r>
      <w:r w:rsidRPr="00C4305D">
        <w:rPr>
          <w:szCs w:val="18"/>
          <w:lang w:val="nl-NL"/>
        </w:rPr>
        <w:t>dat de schulden in diverse lidstaten toenemen. In dat verband wees hij op</w:t>
      </w:r>
      <w:r w:rsidRPr="00C4305D" w:rsidR="00427B0C">
        <w:rPr>
          <w:szCs w:val="18"/>
          <w:lang w:val="nl-NL"/>
        </w:rPr>
        <w:t xml:space="preserve"> het belang van</w:t>
      </w:r>
      <w:r w:rsidRPr="00C4305D">
        <w:rPr>
          <w:szCs w:val="18"/>
          <w:lang w:val="nl-NL"/>
        </w:rPr>
        <w:t xml:space="preserve"> de implementatie van de nieuwe begrotingsregels uit het Stabiliteits- en Groeipact (SGP) om schulden te verlagen. In aanvulling daarop gaf de voorzitter van het Europees Begrotingscomité (</w:t>
      </w:r>
      <w:r w:rsidRPr="00C4305D">
        <w:rPr>
          <w:i/>
          <w:iCs/>
          <w:szCs w:val="18"/>
          <w:lang w:val="nl-NL"/>
        </w:rPr>
        <w:t xml:space="preserve">European </w:t>
      </w:r>
      <w:proofErr w:type="spellStart"/>
      <w:r w:rsidRPr="00C4305D">
        <w:rPr>
          <w:i/>
          <w:iCs/>
          <w:szCs w:val="18"/>
          <w:lang w:val="nl-NL"/>
        </w:rPr>
        <w:t>Fiscal</w:t>
      </w:r>
      <w:proofErr w:type="spellEnd"/>
      <w:r w:rsidRPr="00C4305D">
        <w:rPr>
          <w:i/>
          <w:iCs/>
          <w:szCs w:val="18"/>
          <w:lang w:val="nl-NL"/>
        </w:rPr>
        <w:t xml:space="preserve"> Board; EFB)</w:t>
      </w:r>
      <w:r w:rsidRPr="00C4305D">
        <w:rPr>
          <w:szCs w:val="18"/>
          <w:lang w:val="nl-NL"/>
        </w:rPr>
        <w:t xml:space="preserve"> een korte beschouwing op de macro-economische ontwikkelingen. </w:t>
      </w:r>
      <w:r w:rsidRPr="00C4305D" w:rsidR="00427B0C">
        <w:rPr>
          <w:szCs w:val="18"/>
          <w:lang w:val="nl-NL"/>
        </w:rPr>
        <w:t xml:space="preserve">De verwachting is dat de economische groei in 2025 verder stijgt, van 0,4% in 2023 naar 0,8% in 2024 en 1,4% in 2025. De inflatie zal naar verwachting eind 2025 dalen tot net boven de doelstelling van 2%. Ook </w:t>
      </w:r>
      <w:r w:rsidR="001A01C3">
        <w:rPr>
          <w:szCs w:val="18"/>
          <w:lang w:val="nl-NL"/>
        </w:rPr>
        <w:t xml:space="preserve">de voorzitter van het EFB </w:t>
      </w:r>
      <w:proofErr w:type="gramStart"/>
      <w:r w:rsidRPr="00C4305D" w:rsidR="00427B0C">
        <w:rPr>
          <w:szCs w:val="18"/>
          <w:lang w:val="nl-NL"/>
        </w:rPr>
        <w:t>onderstreepte</w:t>
      </w:r>
      <w:proofErr w:type="gramEnd"/>
      <w:r w:rsidRPr="00C4305D" w:rsidR="00427B0C">
        <w:rPr>
          <w:szCs w:val="18"/>
          <w:lang w:val="nl-NL"/>
        </w:rPr>
        <w:t xml:space="preserve"> het belang van goede implementatie van de nieuwe begrotingsregels van het SGP. Deze boodschap werd eveneens onderschreven door de Europese Commissie (Commissie), de Europese Centrale Bank (ECB) en het Europees Stabiliteitsmechanisme (ESM).</w:t>
      </w:r>
    </w:p>
    <w:p w:rsidRPr="00C4305D" w:rsidR="00427B0C" w:rsidP="00C4305D" w:rsidRDefault="00427B0C" w14:paraId="0BC69F8E" w14:textId="77777777">
      <w:pPr>
        <w:spacing w:after="0" w:line="276" w:lineRule="auto"/>
        <w:rPr>
          <w:szCs w:val="18"/>
          <w:lang w:val="nl-NL"/>
        </w:rPr>
      </w:pPr>
    </w:p>
    <w:p w:rsidRPr="00C4305D" w:rsidR="006F4799" w:rsidP="00C4305D" w:rsidRDefault="00427B0C" w14:paraId="5729C942" w14:textId="376BDEAF">
      <w:pPr>
        <w:spacing w:after="0" w:line="276" w:lineRule="auto"/>
        <w:rPr>
          <w:szCs w:val="18"/>
          <w:lang w:val="nl-NL"/>
        </w:rPr>
      </w:pPr>
      <w:r w:rsidRPr="00C4305D">
        <w:rPr>
          <w:szCs w:val="18"/>
          <w:lang w:val="nl-NL"/>
        </w:rPr>
        <w:t xml:space="preserve">Verschillende lidstaten namen deel aan de gedachtewisseling die volgde. Nederland wees tijdens dit gesprek op het rapport van de EFB waaruit blijkt dat sprake is van een snel stijgende uitgavengroei in een aantal lidstaten met </w:t>
      </w:r>
      <w:proofErr w:type="gramStart"/>
      <w:r w:rsidRPr="00C4305D">
        <w:rPr>
          <w:szCs w:val="18"/>
          <w:lang w:val="nl-NL"/>
        </w:rPr>
        <w:t>reeds</w:t>
      </w:r>
      <w:proofErr w:type="gramEnd"/>
      <w:r w:rsidRPr="00C4305D">
        <w:rPr>
          <w:szCs w:val="18"/>
          <w:lang w:val="nl-NL"/>
        </w:rPr>
        <w:t xml:space="preserve"> hoge schulden.</w:t>
      </w:r>
      <w:r w:rsidRPr="00C4305D">
        <w:rPr>
          <w:rStyle w:val="Voetnootmarkering"/>
          <w:szCs w:val="18"/>
          <w:lang w:val="nl-NL"/>
        </w:rPr>
        <w:footnoteReference w:id="1"/>
      </w:r>
      <w:r w:rsidRPr="00C4305D">
        <w:rPr>
          <w:szCs w:val="18"/>
          <w:lang w:val="nl-NL"/>
        </w:rPr>
        <w:t xml:space="preserve"> Ook sloot Nederland zich aan bij opmerkingen van andere aanwezigen over het belang van een goede implementatie van de nieuwe begrotingsregels van het SGP. </w:t>
      </w:r>
    </w:p>
    <w:p w:rsidRPr="00C4305D" w:rsidR="00427B0C" w:rsidP="00C4305D" w:rsidRDefault="00427B0C" w14:paraId="08497798" w14:textId="77777777">
      <w:pPr>
        <w:spacing w:after="0" w:line="276" w:lineRule="auto"/>
        <w:rPr>
          <w:szCs w:val="18"/>
          <w:lang w:val="nl-NL"/>
        </w:rPr>
      </w:pPr>
    </w:p>
    <w:p w:rsidRPr="00C4305D" w:rsidR="00427B0C" w:rsidP="00C4305D" w:rsidRDefault="00AE481B" w14:paraId="45A43D53" w14:textId="24B96D7B">
      <w:pPr>
        <w:spacing w:after="0" w:line="276" w:lineRule="auto"/>
        <w:rPr>
          <w:szCs w:val="18"/>
          <w:lang w:val="nl-NL"/>
        </w:rPr>
      </w:pPr>
      <w:r w:rsidRPr="00C4305D">
        <w:rPr>
          <w:szCs w:val="18"/>
          <w:lang w:val="nl-NL"/>
        </w:rPr>
        <w:t>Na afloop van de gedachtewisseling publiceerde de Eurogroep een verklaring over het geaggregeerde begrotingsbeleid voor 2025.</w:t>
      </w:r>
      <w:r w:rsidRPr="00C4305D">
        <w:rPr>
          <w:rStyle w:val="Voetnootmarkering"/>
          <w:szCs w:val="18"/>
          <w:lang w:val="nl-NL"/>
        </w:rPr>
        <w:footnoteReference w:id="2"/>
      </w:r>
    </w:p>
    <w:p w:rsidRPr="00C4305D" w:rsidR="00427B0C" w:rsidP="00C4305D" w:rsidRDefault="00427B0C" w14:paraId="7FC9D720" w14:textId="77777777">
      <w:pPr>
        <w:spacing w:after="0" w:line="276" w:lineRule="auto"/>
        <w:rPr>
          <w:szCs w:val="18"/>
          <w:lang w:val="nl-NL"/>
        </w:rPr>
      </w:pPr>
    </w:p>
    <w:p w:rsidRPr="00C4305D" w:rsidR="00AE481B" w:rsidP="00C4305D" w:rsidRDefault="00AE481B" w14:paraId="1F1A4E1C" w14:textId="77777777">
      <w:pPr>
        <w:spacing w:after="0" w:line="276" w:lineRule="auto"/>
        <w:rPr>
          <w:b/>
          <w:bCs/>
          <w:szCs w:val="18"/>
          <w:lang w:val="nl-NL"/>
        </w:rPr>
      </w:pPr>
      <w:r w:rsidRPr="00C4305D">
        <w:rPr>
          <w:b/>
          <w:bCs/>
          <w:szCs w:val="18"/>
          <w:lang w:val="nl-NL"/>
        </w:rPr>
        <w:t>Werkprogramma Eurogroep tot en met maart 2025</w:t>
      </w:r>
    </w:p>
    <w:p w:rsidRPr="00C4305D" w:rsidR="00AE481B" w:rsidP="00C4305D" w:rsidRDefault="00AE481B" w14:paraId="4F333AD3" w14:textId="3DF07B23">
      <w:pPr>
        <w:spacing w:after="0" w:line="276" w:lineRule="auto"/>
        <w:rPr>
          <w:szCs w:val="18"/>
          <w:lang w:val="nl-NL"/>
        </w:rPr>
      </w:pPr>
      <w:r w:rsidRPr="00C4305D">
        <w:rPr>
          <w:szCs w:val="18"/>
          <w:lang w:val="nl-NL"/>
        </w:rPr>
        <w:t>Het werkprogramma van de Eurogroep tot en met maart 2025 werd door de voorzitter van de Eurogroep gepresenteerd. Het werkprogramma is online te raadplegen.</w:t>
      </w:r>
      <w:r w:rsidRPr="00C4305D">
        <w:rPr>
          <w:rStyle w:val="Voetnootmarkering"/>
          <w:szCs w:val="18"/>
          <w:lang w:val="nl-NL"/>
        </w:rPr>
        <w:footnoteReference w:id="3"/>
      </w:r>
    </w:p>
    <w:p w:rsidRPr="00C4305D" w:rsidR="00AE481B" w:rsidP="00C4305D" w:rsidRDefault="00AE481B" w14:paraId="30113490" w14:textId="77777777">
      <w:pPr>
        <w:spacing w:after="0" w:line="276" w:lineRule="auto"/>
        <w:rPr>
          <w:szCs w:val="18"/>
          <w:lang w:val="nl-NL"/>
        </w:rPr>
      </w:pPr>
    </w:p>
    <w:p w:rsidRPr="00C4305D" w:rsidR="00A831AE" w:rsidP="00C4305D" w:rsidRDefault="00A831AE" w14:paraId="08F5BCC8" w14:textId="55AA3FFB">
      <w:pPr>
        <w:spacing w:after="0" w:line="276" w:lineRule="auto"/>
        <w:rPr>
          <w:b/>
          <w:bCs/>
          <w:szCs w:val="18"/>
          <w:lang w:val="nl-NL"/>
        </w:rPr>
      </w:pPr>
      <w:r w:rsidRPr="00C4305D">
        <w:rPr>
          <w:b/>
          <w:bCs/>
          <w:szCs w:val="18"/>
          <w:lang w:val="nl-NL"/>
        </w:rPr>
        <w:t>Functioneren van ERM-II</w:t>
      </w:r>
    </w:p>
    <w:p w:rsidRPr="00C4305D" w:rsidR="003D6D2C" w:rsidP="003D6D2C" w:rsidRDefault="003D6D2C" w14:paraId="639655D8" w14:textId="6F034BA2">
      <w:pPr>
        <w:spacing w:after="0" w:line="276" w:lineRule="auto"/>
        <w:rPr>
          <w:rFonts w:eastAsia="Calibri"/>
          <w:szCs w:val="18"/>
          <w:lang w:val="nl-NL"/>
        </w:rPr>
      </w:pPr>
      <w:r w:rsidRPr="00C4305D">
        <w:rPr>
          <w:szCs w:val="18"/>
          <w:lang w:val="nl-NL"/>
        </w:rPr>
        <w:t>In aanwezigheid van niet</w:t>
      </w:r>
      <w:r>
        <w:rPr>
          <w:szCs w:val="18"/>
          <w:lang w:val="nl-NL"/>
        </w:rPr>
        <w:t>-</w:t>
      </w:r>
      <w:r w:rsidRPr="00C4305D">
        <w:rPr>
          <w:szCs w:val="18"/>
          <w:lang w:val="nl-NL"/>
        </w:rPr>
        <w:t xml:space="preserve">eurolanden Bulgarije en Denemarken besprak de Eurogroep het functioneren van het vaste wisselkoersmechanisme ERM-II (Exchange </w:t>
      </w:r>
      <w:proofErr w:type="spellStart"/>
      <w:r w:rsidRPr="00C4305D">
        <w:rPr>
          <w:szCs w:val="18"/>
          <w:lang w:val="nl-NL"/>
        </w:rPr>
        <w:t>Rate</w:t>
      </w:r>
      <w:proofErr w:type="spellEnd"/>
      <w:r w:rsidRPr="00C4305D">
        <w:rPr>
          <w:szCs w:val="18"/>
          <w:lang w:val="nl-NL"/>
        </w:rPr>
        <w:t xml:space="preserve"> </w:t>
      </w:r>
      <w:proofErr w:type="spellStart"/>
      <w:r w:rsidRPr="00C4305D">
        <w:rPr>
          <w:szCs w:val="18"/>
          <w:lang w:val="nl-NL"/>
        </w:rPr>
        <w:t>Mechanism</w:t>
      </w:r>
      <w:proofErr w:type="spellEnd"/>
      <w:r w:rsidRPr="00C4305D">
        <w:rPr>
          <w:szCs w:val="18"/>
          <w:lang w:val="nl-NL"/>
        </w:rPr>
        <w:t>). Beide landen zitten in ERM-II. D</w:t>
      </w:r>
      <w:r w:rsidRPr="00C4305D">
        <w:rPr>
          <w:rFonts w:eastAsia="Calibri"/>
          <w:szCs w:val="18"/>
          <w:lang w:val="nl-NL"/>
        </w:rPr>
        <w:t xml:space="preserve">enemarken heeft geen verplichting om de euro in te voeren en heeft geen intentie </w:t>
      </w:r>
      <w:r>
        <w:rPr>
          <w:rFonts w:eastAsia="Calibri"/>
          <w:szCs w:val="18"/>
          <w:lang w:val="nl-NL"/>
        </w:rPr>
        <w:t>om op korte termijn toe treden tot de muntunie</w:t>
      </w:r>
      <w:r w:rsidRPr="00C4305D">
        <w:rPr>
          <w:rFonts w:eastAsia="Calibri"/>
          <w:szCs w:val="18"/>
          <w:lang w:val="nl-NL"/>
        </w:rPr>
        <w:t xml:space="preserve">. Bulgarije heeft </w:t>
      </w:r>
      <w:r>
        <w:rPr>
          <w:rFonts w:eastAsia="Calibri"/>
          <w:szCs w:val="18"/>
          <w:lang w:val="nl-NL"/>
        </w:rPr>
        <w:t xml:space="preserve">wel </w:t>
      </w:r>
      <w:r w:rsidRPr="00C4305D">
        <w:rPr>
          <w:rFonts w:eastAsia="Calibri"/>
          <w:szCs w:val="18"/>
          <w:lang w:val="nl-NL"/>
        </w:rPr>
        <w:t>de intentie om snel de euro in te voeren.</w:t>
      </w:r>
      <w:r>
        <w:rPr>
          <w:rFonts w:eastAsia="Calibri"/>
          <w:szCs w:val="18"/>
          <w:lang w:val="nl-NL"/>
        </w:rPr>
        <w:t xml:space="preserve"> De Commissie lichtte toe dat Bulgarije momenteel aan drie van de vier formele toetredingscriteria voldoet. Aan het </w:t>
      </w:r>
      <w:r w:rsidRPr="00232BF7">
        <w:rPr>
          <w:lang w:val="nl-NL"/>
        </w:rPr>
        <w:t xml:space="preserve">prijsstabiliteitscriterium </w:t>
      </w:r>
      <w:r>
        <w:rPr>
          <w:lang w:val="nl-NL"/>
        </w:rPr>
        <w:t xml:space="preserve">wordt nog niet voldaan </w:t>
      </w:r>
      <w:r w:rsidRPr="00232BF7">
        <w:rPr>
          <w:lang w:val="nl-NL"/>
        </w:rPr>
        <w:t xml:space="preserve">aangezien </w:t>
      </w:r>
      <w:r>
        <w:rPr>
          <w:lang w:val="nl-NL"/>
        </w:rPr>
        <w:t>de</w:t>
      </w:r>
      <w:r w:rsidRPr="00232BF7">
        <w:rPr>
          <w:lang w:val="nl-NL"/>
        </w:rPr>
        <w:t xml:space="preserve"> inflatie te hoog is. </w:t>
      </w:r>
      <w:r>
        <w:rPr>
          <w:lang w:val="nl-NL"/>
        </w:rPr>
        <w:t xml:space="preserve">Daarnaast heeft Bulgarije ook nog stappen te zetten op de omvorming van staatsdeelnemingen, als onderdeel van de </w:t>
      </w:r>
      <w:r>
        <w:rPr>
          <w:i/>
          <w:iCs/>
          <w:lang w:val="nl-NL"/>
        </w:rPr>
        <w:t>post-entry</w:t>
      </w:r>
      <w:r>
        <w:rPr>
          <w:lang w:val="nl-NL"/>
        </w:rPr>
        <w:t xml:space="preserve"> toezeggingen die zijn gedaan bij toetreding tot ERM-II. </w:t>
      </w:r>
      <w:r w:rsidRPr="00C4305D">
        <w:rPr>
          <w:rFonts w:eastAsia="Calibri"/>
          <w:szCs w:val="18"/>
          <w:lang w:val="nl-NL"/>
        </w:rPr>
        <w:t xml:space="preserve">Een verdere inhoudelijke toelichting kunt u vinden in de geannoteerde agenda die </w:t>
      </w:r>
      <w:r w:rsidR="00AE4816">
        <w:rPr>
          <w:rFonts w:eastAsia="Calibri"/>
          <w:szCs w:val="18"/>
          <w:lang w:val="nl-NL"/>
        </w:rPr>
        <w:t>de</w:t>
      </w:r>
      <w:r w:rsidRPr="00C4305D">
        <w:rPr>
          <w:rFonts w:eastAsia="Calibri"/>
          <w:szCs w:val="18"/>
          <w:lang w:val="nl-NL"/>
        </w:rPr>
        <w:t xml:space="preserve"> Kamer eerder ontving.</w:t>
      </w:r>
      <w:r w:rsidRPr="00C4305D">
        <w:rPr>
          <w:rStyle w:val="Voetnootmarkering"/>
          <w:rFonts w:eastAsia="Calibri"/>
          <w:szCs w:val="18"/>
          <w:lang w:val="nl-NL"/>
        </w:rPr>
        <w:footnoteReference w:id="4"/>
      </w:r>
      <w:r w:rsidRPr="00C4305D">
        <w:rPr>
          <w:rFonts w:eastAsia="Calibri"/>
          <w:szCs w:val="18"/>
          <w:lang w:val="nl-NL"/>
        </w:rPr>
        <w:t xml:space="preserve"> </w:t>
      </w:r>
      <w:r w:rsidRPr="00703601">
        <w:rPr>
          <w:rFonts w:eastAsia="Calibri"/>
          <w:szCs w:val="18"/>
          <w:lang w:val="nl-NL"/>
        </w:rPr>
        <w:t xml:space="preserve">Dit onderwerp </w:t>
      </w:r>
      <w:r>
        <w:rPr>
          <w:rFonts w:eastAsia="Calibri"/>
          <w:szCs w:val="18"/>
          <w:lang w:val="nl-NL"/>
        </w:rPr>
        <w:t>is ook aan bod gekomen in de</w:t>
      </w:r>
      <w:r w:rsidRPr="00703601">
        <w:rPr>
          <w:rFonts w:eastAsia="Calibri"/>
          <w:szCs w:val="18"/>
          <w:lang w:val="nl-NL"/>
        </w:rPr>
        <w:t xml:space="preserve"> Ecofinraad (zie verdere toelichting</w:t>
      </w:r>
      <w:r>
        <w:rPr>
          <w:rFonts w:eastAsia="Calibri"/>
          <w:szCs w:val="18"/>
          <w:lang w:val="nl-NL"/>
        </w:rPr>
        <w:t xml:space="preserve"> onder ‘</w:t>
      </w:r>
      <w:r w:rsidRPr="00F75409">
        <w:rPr>
          <w:szCs w:val="18"/>
          <w:lang w:val="nl-NL"/>
        </w:rPr>
        <w:t>Convergentierapporten’</w:t>
      </w:r>
      <w:r w:rsidRPr="00703601">
        <w:rPr>
          <w:rFonts w:eastAsia="Calibri"/>
          <w:szCs w:val="18"/>
          <w:lang w:val="nl-NL"/>
        </w:rPr>
        <w:t>).</w:t>
      </w:r>
    </w:p>
    <w:p w:rsidRPr="00C4305D" w:rsidR="00A171C4" w:rsidP="00C4305D" w:rsidRDefault="00A171C4" w14:paraId="757F7B0B" w14:textId="77777777">
      <w:pPr>
        <w:spacing w:after="0" w:line="276" w:lineRule="auto"/>
        <w:rPr>
          <w:rFonts w:eastAsia="Calibri"/>
          <w:szCs w:val="18"/>
          <w:lang w:val="nl-NL"/>
        </w:rPr>
      </w:pPr>
    </w:p>
    <w:p w:rsidRPr="00C4305D" w:rsidR="00A831AE" w:rsidP="00C4305D" w:rsidRDefault="00A831AE" w14:paraId="32555443" w14:textId="7DC394FC">
      <w:pPr>
        <w:spacing w:after="0" w:line="276" w:lineRule="auto"/>
        <w:rPr>
          <w:b/>
          <w:bCs/>
          <w:szCs w:val="18"/>
          <w:lang w:val="nl-NL"/>
        </w:rPr>
      </w:pPr>
      <w:r w:rsidRPr="00C4305D">
        <w:rPr>
          <w:b/>
          <w:bCs/>
          <w:szCs w:val="18"/>
          <w:lang w:val="nl-NL"/>
        </w:rPr>
        <w:t>Beleidsprioriteiten van de nieuwe regering van Nederland</w:t>
      </w:r>
    </w:p>
    <w:p w:rsidRPr="00C4305D" w:rsidR="00A831AE" w:rsidP="00C4305D" w:rsidRDefault="00AE4816" w14:paraId="37494CA4" w14:textId="64CDEF70">
      <w:pPr>
        <w:spacing w:after="0" w:line="276" w:lineRule="auto"/>
        <w:rPr>
          <w:szCs w:val="18"/>
          <w:lang w:val="nl-NL"/>
        </w:rPr>
      </w:pPr>
      <w:r>
        <w:rPr>
          <w:szCs w:val="18"/>
          <w:lang w:val="nl-NL"/>
        </w:rPr>
        <w:t>De Nederlandse minister van Financiën heeft</w:t>
      </w:r>
      <w:r w:rsidRPr="00C4305D" w:rsidR="00A831AE">
        <w:rPr>
          <w:szCs w:val="18"/>
          <w:lang w:val="nl-NL"/>
        </w:rPr>
        <w:t xml:space="preserve"> een korte toelichting </w:t>
      </w:r>
      <w:r>
        <w:rPr>
          <w:szCs w:val="18"/>
          <w:lang w:val="nl-NL"/>
        </w:rPr>
        <w:t xml:space="preserve">gegeven </w:t>
      </w:r>
      <w:r w:rsidRPr="00C4305D" w:rsidR="00A831AE">
        <w:rPr>
          <w:szCs w:val="18"/>
          <w:lang w:val="nl-NL"/>
        </w:rPr>
        <w:t>op de prioriteiten van de nieuwe Nederlandse regering</w:t>
      </w:r>
      <w:r w:rsidR="001A01C3">
        <w:rPr>
          <w:szCs w:val="18"/>
          <w:lang w:val="nl-NL"/>
        </w:rPr>
        <w:t>, in lijn met het Hoofdlijnenakkoord ‘Hoop, Lef en Trots’</w:t>
      </w:r>
      <w:r w:rsidRPr="00C4305D" w:rsidR="00A831AE">
        <w:rPr>
          <w:szCs w:val="18"/>
          <w:lang w:val="nl-NL"/>
        </w:rPr>
        <w:t xml:space="preserve">. Dit gebeurt standaard in de Eurogroep bij het aantreden van nieuwe regeringen. </w:t>
      </w:r>
    </w:p>
    <w:p w:rsidRPr="00C4305D" w:rsidR="00A831AE" w:rsidP="00C4305D" w:rsidRDefault="00A831AE" w14:paraId="1A050296" w14:textId="77777777">
      <w:pPr>
        <w:spacing w:after="0" w:line="276" w:lineRule="auto"/>
        <w:rPr>
          <w:szCs w:val="18"/>
          <w:lang w:val="nl-NL"/>
        </w:rPr>
      </w:pPr>
    </w:p>
    <w:p w:rsidRPr="00C4305D" w:rsidR="006F4799" w:rsidP="00C4305D" w:rsidRDefault="006F4799" w14:paraId="2DE3C70B" w14:textId="77777777">
      <w:pPr>
        <w:pStyle w:val="Geenafstand"/>
        <w:spacing w:line="276" w:lineRule="auto"/>
        <w:rPr>
          <w:b/>
          <w:bCs/>
          <w:szCs w:val="18"/>
          <w:u w:val="single"/>
          <w:lang w:val="nl-NL"/>
        </w:rPr>
      </w:pPr>
      <w:r w:rsidRPr="00C4305D">
        <w:rPr>
          <w:b/>
          <w:bCs/>
          <w:szCs w:val="18"/>
          <w:u w:val="single"/>
          <w:lang w:val="nl-NL"/>
        </w:rPr>
        <w:t>Eurogroep in inclusieve samenstelling</w:t>
      </w:r>
    </w:p>
    <w:p w:rsidRPr="00C4305D" w:rsidR="006F4799" w:rsidP="00C4305D" w:rsidRDefault="00A831AE" w14:paraId="7886923F" w14:textId="6CD6F9E3">
      <w:pPr>
        <w:spacing w:after="0" w:line="276" w:lineRule="auto"/>
        <w:rPr>
          <w:szCs w:val="18"/>
          <w:lang w:val="nl-NL"/>
        </w:rPr>
      </w:pPr>
      <w:r w:rsidRPr="00C4305D">
        <w:rPr>
          <w:b/>
          <w:bCs/>
          <w:szCs w:val="18"/>
          <w:lang w:val="nl-NL"/>
        </w:rPr>
        <w:t>Concurrentievermogen van de eurozone: het aanpakken van het financieringstekort</w:t>
      </w:r>
    </w:p>
    <w:p w:rsidR="006C6791" w:rsidP="00C4305D" w:rsidRDefault="00947FA5" w14:paraId="5165A3F2" w14:textId="7F4D2C9C">
      <w:pPr>
        <w:autoSpaceDE w:val="0"/>
        <w:autoSpaceDN w:val="0"/>
        <w:adjustRightInd w:val="0"/>
        <w:spacing w:after="0" w:line="276" w:lineRule="auto"/>
        <w:rPr>
          <w:rFonts w:eastAsia="Cambria" w:cs="Arial"/>
          <w:szCs w:val="18"/>
          <w:lang w:val="nl-NL"/>
        </w:rPr>
      </w:pPr>
      <w:r>
        <w:rPr>
          <w:rFonts w:eastAsia="Cambria" w:cs="Arial"/>
          <w:szCs w:val="18"/>
          <w:lang w:val="nl-NL"/>
        </w:rPr>
        <w:t>In</w:t>
      </w:r>
      <w:r w:rsidRPr="00C4305D" w:rsidR="00C4305D">
        <w:rPr>
          <w:rFonts w:eastAsia="Cambria" w:cs="Arial"/>
          <w:szCs w:val="18"/>
          <w:lang w:val="nl-NL"/>
        </w:rPr>
        <w:t xml:space="preserve"> de Eurogroep </w:t>
      </w:r>
      <w:r>
        <w:rPr>
          <w:rFonts w:eastAsia="Cambria" w:cs="Arial"/>
          <w:szCs w:val="18"/>
          <w:lang w:val="nl-NL"/>
        </w:rPr>
        <w:t xml:space="preserve">vond ook deze </w:t>
      </w:r>
      <w:r w:rsidR="00AE4816">
        <w:rPr>
          <w:rFonts w:eastAsia="Cambria" w:cs="Arial"/>
          <w:szCs w:val="18"/>
          <w:lang w:val="nl-NL"/>
        </w:rPr>
        <w:t>keer</w:t>
      </w:r>
      <w:r>
        <w:rPr>
          <w:rFonts w:eastAsia="Cambria" w:cs="Arial"/>
          <w:szCs w:val="18"/>
          <w:lang w:val="nl-NL"/>
        </w:rPr>
        <w:t xml:space="preserve"> </w:t>
      </w:r>
      <w:r w:rsidRPr="00C4305D" w:rsidR="00C4305D">
        <w:rPr>
          <w:rFonts w:eastAsia="Cambria" w:cs="Arial"/>
          <w:szCs w:val="18"/>
          <w:lang w:val="nl-NL"/>
        </w:rPr>
        <w:t>een gedachtewisseling plaats over het thema concurrentievermogen. D</w:t>
      </w:r>
      <w:r w:rsidR="00AE4816">
        <w:rPr>
          <w:rFonts w:eastAsia="Cambria" w:cs="Arial"/>
          <w:szCs w:val="18"/>
          <w:lang w:val="nl-NL"/>
        </w:rPr>
        <w:t>eze</w:t>
      </w:r>
      <w:r w:rsidRPr="00C4305D" w:rsidR="00C4305D">
        <w:rPr>
          <w:rFonts w:eastAsia="Cambria" w:cs="Arial"/>
          <w:szCs w:val="18"/>
          <w:lang w:val="nl-NL"/>
        </w:rPr>
        <w:t xml:space="preserve"> keer </w:t>
      </w:r>
      <w:r>
        <w:rPr>
          <w:rFonts w:eastAsia="Cambria" w:cs="Arial"/>
          <w:szCs w:val="18"/>
          <w:lang w:val="nl-NL"/>
        </w:rPr>
        <w:t xml:space="preserve">ging de aandacht uit naar </w:t>
      </w:r>
      <w:r w:rsidRPr="00C4305D" w:rsidR="00C4305D">
        <w:rPr>
          <w:rFonts w:eastAsia="Cambria" w:cs="Arial"/>
          <w:szCs w:val="18"/>
          <w:lang w:val="nl-NL"/>
        </w:rPr>
        <w:t xml:space="preserve">het financieringsvraagstuk. Daartoe was </w:t>
      </w:r>
      <w:proofErr w:type="spellStart"/>
      <w:r w:rsidRPr="00C4305D" w:rsidR="00C4305D">
        <w:rPr>
          <w:rFonts w:eastAsia="Cambria" w:cs="Arial"/>
          <w:szCs w:val="18"/>
          <w:lang w:val="nl-NL"/>
        </w:rPr>
        <w:t>Enrico</w:t>
      </w:r>
      <w:proofErr w:type="spellEnd"/>
      <w:r w:rsidRPr="00C4305D" w:rsidR="00C4305D">
        <w:rPr>
          <w:rFonts w:eastAsia="Cambria" w:cs="Arial"/>
          <w:szCs w:val="18"/>
          <w:lang w:val="nl-NL"/>
        </w:rPr>
        <w:t xml:space="preserve"> </w:t>
      </w:r>
      <w:proofErr w:type="spellStart"/>
      <w:r w:rsidRPr="00C4305D" w:rsidR="00C4305D">
        <w:rPr>
          <w:rFonts w:eastAsia="Cambria" w:cs="Arial"/>
          <w:szCs w:val="18"/>
          <w:lang w:val="nl-NL"/>
        </w:rPr>
        <w:t>Letta</w:t>
      </w:r>
      <w:proofErr w:type="spellEnd"/>
      <w:r w:rsidRPr="00C4305D" w:rsidR="00C4305D">
        <w:rPr>
          <w:rFonts w:eastAsia="Cambria" w:cs="Arial"/>
          <w:szCs w:val="18"/>
          <w:lang w:val="nl-NL"/>
        </w:rPr>
        <w:t xml:space="preserve"> uitgenodigd als gastspreker</w:t>
      </w:r>
      <w:r w:rsidR="00AE4816">
        <w:rPr>
          <w:rFonts w:eastAsia="Cambria" w:cs="Arial"/>
          <w:szCs w:val="18"/>
          <w:lang w:val="nl-NL"/>
        </w:rPr>
        <w:t xml:space="preserve"> en hij gaf </w:t>
      </w:r>
      <w:r w:rsidR="004E4190">
        <w:rPr>
          <w:rFonts w:eastAsia="Cambria" w:cs="Arial"/>
          <w:szCs w:val="18"/>
          <w:lang w:val="nl-NL"/>
        </w:rPr>
        <w:t xml:space="preserve">een toelichting op zijn </w:t>
      </w:r>
      <w:r w:rsidRPr="00C4305D" w:rsidR="00C4305D">
        <w:rPr>
          <w:rFonts w:eastAsia="Cambria" w:cs="Arial"/>
          <w:szCs w:val="18"/>
          <w:lang w:val="nl-NL"/>
        </w:rPr>
        <w:t>rapport over de werking van de interne markt</w:t>
      </w:r>
      <w:r w:rsidR="00AE4816">
        <w:rPr>
          <w:rFonts w:eastAsia="Cambria" w:cs="Arial"/>
          <w:szCs w:val="18"/>
          <w:lang w:val="nl-NL"/>
        </w:rPr>
        <w:t>,</w:t>
      </w:r>
      <w:r w:rsidR="004E4190">
        <w:rPr>
          <w:rFonts w:eastAsia="Cambria" w:cs="Arial"/>
          <w:szCs w:val="18"/>
          <w:lang w:val="nl-NL"/>
        </w:rPr>
        <w:t xml:space="preserve"> dat hij onlangs publiceerde</w:t>
      </w:r>
      <w:r w:rsidRPr="00C4305D" w:rsidR="00C4305D">
        <w:rPr>
          <w:rFonts w:eastAsia="Cambria" w:cs="Arial"/>
          <w:szCs w:val="18"/>
          <w:lang w:val="nl-NL"/>
        </w:rPr>
        <w:t>.</w:t>
      </w:r>
      <w:r w:rsidRPr="00C4305D" w:rsidR="00C4305D">
        <w:rPr>
          <w:rStyle w:val="Voetnootmarkering"/>
          <w:rFonts w:eastAsia="Cambria" w:cs="Arial"/>
          <w:szCs w:val="18"/>
          <w:lang w:val="nl-NL"/>
        </w:rPr>
        <w:footnoteReference w:id="5"/>
      </w:r>
      <w:r w:rsidR="0033025A">
        <w:rPr>
          <w:rFonts w:eastAsia="Cambria" w:cs="Arial"/>
          <w:szCs w:val="18"/>
          <w:lang w:val="nl-NL"/>
        </w:rPr>
        <w:t xml:space="preserve"> </w:t>
      </w:r>
      <w:r w:rsidR="004E4190">
        <w:rPr>
          <w:rFonts w:eastAsia="Cambria" w:cs="Arial"/>
          <w:szCs w:val="18"/>
          <w:lang w:val="nl-NL"/>
        </w:rPr>
        <w:t xml:space="preserve">Met betrekking tot het financieringsvraagstuk legde </w:t>
      </w:r>
      <w:proofErr w:type="spellStart"/>
      <w:r w:rsidR="004E4190">
        <w:rPr>
          <w:rFonts w:eastAsia="Cambria" w:cs="Arial"/>
          <w:szCs w:val="18"/>
          <w:lang w:val="nl-NL"/>
        </w:rPr>
        <w:t>Letta</w:t>
      </w:r>
      <w:proofErr w:type="spellEnd"/>
      <w:r w:rsidR="004E4190">
        <w:rPr>
          <w:rFonts w:eastAsia="Cambria" w:cs="Arial"/>
          <w:szCs w:val="18"/>
          <w:lang w:val="nl-NL"/>
        </w:rPr>
        <w:t xml:space="preserve"> </w:t>
      </w:r>
      <w:r w:rsidR="00AE4816">
        <w:rPr>
          <w:rFonts w:eastAsia="Cambria" w:cs="Arial"/>
          <w:szCs w:val="18"/>
          <w:lang w:val="nl-NL"/>
        </w:rPr>
        <w:t xml:space="preserve">de </w:t>
      </w:r>
      <w:r w:rsidR="004E4190">
        <w:rPr>
          <w:rFonts w:eastAsia="Cambria" w:cs="Arial"/>
          <w:szCs w:val="18"/>
          <w:lang w:val="nl-NL"/>
        </w:rPr>
        <w:t xml:space="preserve">nadruk op </w:t>
      </w:r>
      <w:r w:rsidR="001A01C3">
        <w:rPr>
          <w:rFonts w:eastAsia="Cambria" w:cs="Arial"/>
          <w:szCs w:val="18"/>
          <w:lang w:val="nl-NL"/>
        </w:rPr>
        <w:t xml:space="preserve">de noodzaak </w:t>
      </w:r>
      <w:r w:rsidR="004E4190">
        <w:rPr>
          <w:rFonts w:eastAsia="Cambria" w:cs="Arial"/>
          <w:szCs w:val="18"/>
          <w:lang w:val="nl-NL"/>
        </w:rPr>
        <w:t>binnen de EU</w:t>
      </w:r>
      <w:r w:rsidR="00AE4816">
        <w:rPr>
          <w:rFonts w:eastAsia="Cambria" w:cs="Arial"/>
          <w:szCs w:val="18"/>
          <w:lang w:val="nl-NL"/>
        </w:rPr>
        <w:t xml:space="preserve"> om</w:t>
      </w:r>
      <w:r w:rsidR="004E4190">
        <w:rPr>
          <w:rFonts w:eastAsia="Cambria" w:cs="Arial"/>
          <w:szCs w:val="18"/>
          <w:lang w:val="nl-NL"/>
        </w:rPr>
        <w:t xml:space="preserve"> meer privaat kapitaal te mobiliseren. De kapitaalmarkt is op dit moment niet voldoende geïntegreerd en de financiële markt</w:t>
      </w:r>
      <w:r w:rsidR="001A01C3">
        <w:rPr>
          <w:rFonts w:eastAsia="Cambria" w:cs="Arial"/>
          <w:szCs w:val="18"/>
          <w:lang w:val="nl-NL"/>
        </w:rPr>
        <w:t>en</w:t>
      </w:r>
      <w:r w:rsidR="004E4190">
        <w:rPr>
          <w:rFonts w:eastAsia="Cambria" w:cs="Arial"/>
          <w:szCs w:val="18"/>
          <w:lang w:val="nl-NL"/>
        </w:rPr>
        <w:t xml:space="preserve"> in de EU </w:t>
      </w:r>
      <w:r w:rsidR="001A01C3">
        <w:rPr>
          <w:rFonts w:eastAsia="Cambria" w:cs="Arial"/>
          <w:szCs w:val="18"/>
          <w:lang w:val="nl-NL"/>
        </w:rPr>
        <w:t>zijn</w:t>
      </w:r>
      <w:r w:rsidR="004E4190">
        <w:rPr>
          <w:rFonts w:eastAsia="Cambria" w:cs="Arial"/>
          <w:szCs w:val="18"/>
          <w:lang w:val="nl-NL"/>
        </w:rPr>
        <w:t xml:space="preserve"> te gefragmenteerd, aldus </w:t>
      </w:r>
      <w:proofErr w:type="spellStart"/>
      <w:r w:rsidR="004E4190">
        <w:rPr>
          <w:rFonts w:eastAsia="Cambria" w:cs="Arial"/>
          <w:szCs w:val="18"/>
          <w:lang w:val="nl-NL"/>
        </w:rPr>
        <w:t>Letta</w:t>
      </w:r>
      <w:proofErr w:type="spellEnd"/>
      <w:r w:rsidR="004E4190">
        <w:rPr>
          <w:rFonts w:eastAsia="Cambria" w:cs="Arial"/>
          <w:szCs w:val="18"/>
          <w:lang w:val="nl-NL"/>
        </w:rPr>
        <w:t>. Dit pleidooi werd onderschreven door de ECB en door verschillende lidstaten</w:t>
      </w:r>
      <w:r w:rsidR="006C6791">
        <w:rPr>
          <w:rFonts w:eastAsia="Cambria" w:cs="Arial"/>
          <w:szCs w:val="18"/>
          <w:lang w:val="nl-NL"/>
        </w:rPr>
        <w:t>, waaronder Nederland</w:t>
      </w:r>
      <w:r w:rsidR="004E4190">
        <w:rPr>
          <w:rFonts w:eastAsia="Cambria" w:cs="Arial"/>
          <w:szCs w:val="18"/>
          <w:lang w:val="nl-NL"/>
        </w:rPr>
        <w:t>. Zij gaven aan dit het best</w:t>
      </w:r>
      <w:r w:rsidR="00AE4816">
        <w:rPr>
          <w:rFonts w:eastAsia="Cambria" w:cs="Arial"/>
          <w:szCs w:val="18"/>
          <w:lang w:val="nl-NL"/>
        </w:rPr>
        <w:t>e</w:t>
      </w:r>
      <w:r w:rsidR="004E4190">
        <w:rPr>
          <w:rFonts w:eastAsia="Cambria" w:cs="Arial"/>
          <w:szCs w:val="18"/>
          <w:lang w:val="nl-NL"/>
        </w:rPr>
        <w:t xml:space="preserve"> kan worden bereikt door verdere </w:t>
      </w:r>
      <w:r w:rsidR="006C6791">
        <w:rPr>
          <w:rFonts w:eastAsia="Cambria" w:cs="Arial"/>
          <w:szCs w:val="18"/>
          <w:lang w:val="nl-NL"/>
        </w:rPr>
        <w:t xml:space="preserve">ontwikkeling van de </w:t>
      </w:r>
      <w:r w:rsidR="004E4190">
        <w:rPr>
          <w:rFonts w:eastAsia="Cambria" w:cs="Arial"/>
          <w:szCs w:val="18"/>
          <w:lang w:val="nl-NL"/>
        </w:rPr>
        <w:t xml:space="preserve">kapitaalmarktunie. </w:t>
      </w:r>
      <w:r w:rsidR="006C6791">
        <w:rPr>
          <w:rFonts w:eastAsia="Cambria" w:cs="Arial"/>
          <w:szCs w:val="18"/>
          <w:lang w:val="nl-NL"/>
        </w:rPr>
        <w:t xml:space="preserve">Nederland bracht </w:t>
      </w:r>
      <w:r w:rsidR="001A01C3">
        <w:rPr>
          <w:rFonts w:eastAsia="Cambria" w:cs="Arial"/>
          <w:szCs w:val="18"/>
          <w:lang w:val="nl-NL"/>
        </w:rPr>
        <w:t xml:space="preserve">daarbij nog </w:t>
      </w:r>
      <w:r w:rsidR="006C6791">
        <w:rPr>
          <w:rFonts w:eastAsia="Cambria" w:cs="Arial"/>
          <w:szCs w:val="18"/>
          <w:lang w:val="nl-NL"/>
        </w:rPr>
        <w:t xml:space="preserve">in dat verdieping en integratie van kapitaalmarkten cruciaal is, net als effectief Europees toezicht op de kapitaalmarkten. Ook noemde Nederland dat administratieve lasten voor het bedrijfsleven dienen te worden verminderd. Tot slot gaf Nederland aan geen voorstander te zijn van nieuwe gemeenschappelijke schulden. </w:t>
      </w:r>
    </w:p>
    <w:p w:rsidR="006C6791" w:rsidP="00C4305D" w:rsidRDefault="006C6791" w14:paraId="53E693A2" w14:textId="77777777">
      <w:pPr>
        <w:autoSpaceDE w:val="0"/>
        <w:autoSpaceDN w:val="0"/>
        <w:adjustRightInd w:val="0"/>
        <w:spacing w:after="0" w:line="276" w:lineRule="auto"/>
        <w:rPr>
          <w:rFonts w:eastAsia="Cambria" w:cs="Arial"/>
          <w:szCs w:val="18"/>
          <w:lang w:val="nl-NL"/>
        </w:rPr>
      </w:pPr>
    </w:p>
    <w:p w:rsidRPr="00191405" w:rsidR="00D32F55" w:rsidP="006C6791" w:rsidRDefault="00AE4816" w14:paraId="7ACA0CEF" w14:textId="58EC2358">
      <w:pPr>
        <w:autoSpaceDE w:val="0"/>
        <w:autoSpaceDN w:val="0"/>
        <w:adjustRightInd w:val="0"/>
        <w:spacing w:after="0" w:line="276" w:lineRule="auto"/>
        <w:rPr>
          <w:rFonts w:eastAsia="Cambria" w:cs="Arial"/>
          <w:szCs w:val="18"/>
          <w:lang w:val="nl-NL"/>
        </w:rPr>
      </w:pPr>
      <w:r>
        <w:rPr>
          <w:rFonts w:eastAsia="Cambria" w:cs="Arial"/>
          <w:szCs w:val="18"/>
          <w:lang w:val="nl-NL"/>
        </w:rPr>
        <w:t>E</w:t>
      </w:r>
      <w:r w:rsidR="004E4190">
        <w:rPr>
          <w:rFonts w:eastAsia="Cambria" w:cs="Arial"/>
          <w:szCs w:val="18"/>
          <w:lang w:val="nl-NL"/>
        </w:rPr>
        <w:t xml:space="preserve">en aantal </w:t>
      </w:r>
      <w:r>
        <w:rPr>
          <w:rFonts w:eastAsia="Cambria" w:cs="Arial"/>
          <w:szCs w:val="18"/>
          <w:lang w:val="nl-NL"/>
        </w:rPr>
        <w:t xml:space="preserve">andere </w:t>
      </w:r>
      <w:r w:rsidR="004E4190">
        <w:rPr>
          <w:rFonts w:eastAsia="Cambria" w:cs="Arial"/>
          <w:szCs w:val="18"/>
          <w:lang w:val="nl-NL"/>
        </w:rPr>
        <w:t xml:space="preserve">lidstaten </w:t>
      </w:r>
      <w:r>
        <w:rPr>
          <w:rFonts w:eastAsia="Cambria" w:cs="Arial"/>
          <w:szCs w:val="18"/>
          <w:lang w:val="nl-NL"/>
        </w:rPr>
        <w:t xml:space="preserve">erkende </w:t>
      </w:r>
      <w:r w:rsidR="004E4190">
        <w:rPr>
          <w:rFonts w:eastAsia="Cambria" w:cs="Arial"/>
          <w:szCs w:val="18"/>
          <w:lang w:val="nl-NL"/>
        </w:rPr>
        <w:t xml:space="preserve">het belang van </w:t>
      </w:r>
      <w:r>
        <w:rPr>
          <w:rFonts w:eastAsia="Cambria" w:cs="Arial"/>
          <w:szCs w:val="18"/>
          <w:lang w:val="nl-NL"/>
        </w:rPr>
        <w:t xml:space="preserve">het </w:t>
      </w:r>
      <w:r w:rsidR="004E4190">
        <w:rPr>
          <w:rFonts w:eastAsia="Cambria" w:cs="Arial"/>
          <w:szCs w:val="18"/>
          <w:lang w:val="nl-NL"/>
        </w:rPr>
        <w:t xml:space="preserve">mobiliseren van privaat kapitaal, maar </w:t>
      </w:r>
      <w:r>
        <w:rPr>
          <w:rFonts w:eastAsia="Cambria" w:cs="Arial"/>
          <w:szCs w:val="18"/>
          <w:lang w:val="nl-NL"/>
        </w:rPr>
        <w:t xml:space="preserve">ijverde </w:t>
      </w:r>
      <w:r w:rsidR="006C6791">
        <w:rPr>
          <w:rFonts w:eastAsia="Cambria" w:cs="Arial"/>
          <w:szCs w:val="18"/>
          <w:lang w:val="nl-NL"/>
        </w:rPr>
        <w:t>tegelijkertijd</w:t>
      </w:r>
      <w:r w:rsidR="004E4190">
        <w:rPr>
          <w:rFonts w:eastAsia="Cambria" w:cs="Arial"/>
          <w:szCs w:val="18"/>
          <w:lang w:val="nl-NL"/>
        </w:rPr>
        <w:t xml:space="preserve"> voor </w:t>
      </w:r>
      <w:r>
        <w:rPr>
          <w:rFonts w:eastAsia="Cambria" w:cs="Arial"/>
          <w:szCs w:val="18"/>
          <w:lang w:val="nl-NL"/>
        </w:rPr>
        <w:t xml:space="preserve">meer </w:t>
      </w:r>
      <w:r w:rsidR="007A4130">
        <w:rPr>
          <w:rFonts w:eastAsia="Cambria" w:cs="Arial"/>
          <w:szCs w:val="18"/>
          <w:lang w:val="nl-NL"/>
        </w:rPr>
        <w:t xml:space="preserve">Europese </w:t>
      </w:r>
      <w:r w:rsidR="004E4190">
        <w:rPr>
          <w:rFonts w:eastAsia="Cambria" w:cs="Arial"/>
          <w:szCs w:val="18"/>
          <w:lang w:val="nl-NL"/>
        </w:rPr>
        <w:t>publieke investeringen</w:t>
      </w:r>
      <w:r w:rsidR="006C6791">
        <w:rPr>
          <w:rFonts w:eastAsia="Cambria" w:cs="Arial"/>
          <w:szCs w:val="18"/>
          <w:lang w:val="nl-NL"/>
        </w:rPr>
        <w:t xml:space="preserve">. Daarbij werd in de gedachtewisseling vaak gewezen op de grootschalige </w:t>
      </w:r>
      <w:r>
        <w:rPr>
          <w:rFonts w:eastAsia="Cambria" w:cs="Arial"/>
          <w:szCs w:val="18"/>
          <w:lang w:val="nl-NL"/>
        </w:rPr>
        <w:t>defensie-</w:t>
      </w:r>
      <w:r w:rsidR="006C6791">
        <w:rPr>
          <w:rFonts w:eastAsia="Cambria" w:cs="Arial"/>
          <w:szCs w:val="18"/>
          <w:lang w:val="nl-NL"/>
        </w:rPr>
        <w:t>investeringen</w:t>
      </w:r>
      <w:r>
        <w:rPr>
          <w:rFonts w:eastAsia="Cambria" w:cs="Arial"/>
          <w:szCs w:val="18"/>
          <w:lang w:val="nl-NL"/>
        </w:rPr>
        <w:t xml:space="preserve"> </w:t>
      </w:r>
      <w:r w:rsidR="006C6791">
        <w:rPr>
          <w:rFonts w:eastAsia="Cambria" w:cs="Arial"/>
          <w:szCs w:val="18"/>
          <w:lang w:val="nl-NL"/>
        </w:rPr>
        <w:t xml:space="preserve">die nodig zijn om de veiligheid te verbeteren. </w:t>
      </w:r>
    </w:p>
    <w:p w:rsidRPr="00191405" w:rsidR="006F4799" w:rsidP="00C4305D" w:rsidRDefault="006F4799" w14:paraId="2F78BE3A" w14:textId="77777777">
      <w:pPr>
        <w:spacing w:after="0" w:line="276" w:lineRule="auto"/>
        <w:rPr>
          <w:szCs w:val="18"/>
          <w:lang w:val="nl-NL"/>
        </w:rPr>
      </w:pPr>
    </w:p>
    <w:p w:rsidRPr="00C4305D" w:rsidR="006F4799" w:rsidP="00C4305D" w:rsidRDefault="006F4799" w14:paraId="089803F3" w14:textId="77777777">
      <w:pPr>
        <w:pStyle w:val="Geenafstand"/>
        <w:spacing w:line="276" w:lineRule="auto"/>
        <w:rPr>
          <w:b/>
          <w:bCs/>
          <w:szCs w:val="18"/>
          <w:u w:val="single"/>
          <w:lang w:val="nl-NL"/>
        </w:rPr>
      </w:pPr>
      <w:proofErr w:type="spellStart"/>
      <w:r w:rsidRPr="00C4305D">
        <w:rPr>
          <w:b/>
          <w:bCs/>
          <w:szCs w:val="18"/>
          <w:u w:val="single"/>
          <w:lang w:val="nl-NL"/>
        </w:rPr>
        <w:t>Ecofinraadontbijt</w:t>
      </w:r>
      <w:proofErr w:type="spellEnd"/>
    </w:p>
    <w:p w:rsidRPr="00C4305D" w:rsidR="006F4799" w:rsidP="00C4305D" w:rsidRDefault="00A831AE" w14:paraId="2196C99D" w14:textId="3E5F6AB2">
      <w:pPr>
        <w:pStyle w:val="Geenafstand"/>
        <w:spacing w:line="276" w:lineRule="auto"/>
        <w:rPr>
          <w:szCs w:val="18"/>
          <w:lang w:val="nl-NL"/>
        </w:rPr>
      </w:pPr>
      <w:r w:rsidRPr="00C4305D">
        <w:rPr>
          <w:szCs w:val="18"/>
          <w:lang w:val="nl-NL"/>
        </w:rPr>
        <w:t xml:space="preserve">Tijdens het </w:t>
      </w:r>
      <w:proofErr w:type="spellStart"/>
      <w:r w:rsidRPr="00C4305D">
        <w:rPr>
          <w:szCs w:val="18"/>
          <w:lang w:val="nl-NL"/>
        </w:rPr>
        <w:t>Ecofinraadontbijt</w:t>
      </w:r>
      <w:proofErr w:type="spellEnd"/>
      <w:r w:rsidRPr="00C4305D">
        <w:rPr>
          <w:szCs w:val="18"/>
          <w:lang w:val="nl-NL"/>
        </w:rPr>
        <w:t xml:space="preserve"> gaf de voorzitter van de Eurogroep zoals gebruikelijk een terugkoppeling van de besprekingen in de Eurogroep. </w:t>
      </w:r>
      <w:proofErr w:type="gramStart"/>
      <w:r w:rsidRPr="00C4305D">
        <w:rPr>
          <w:szCs w:val="18"/>
          <w:lang w:val="nl-NL"/>
        </w:rPr>
        <w:t>Tevens</w:t>
      </w:r>
      <w:proofErr w:type="gramEnd"/>
      <w:r w:rsidRPr="00C4305D">
        <w:rPr>
          <w:szCs w:val="18"/>
          <w:lang w:val="nl-NL"/>
        </w:rPr>
        <w:t xml:space="preserve"> heeft de Commissie een update gegeven over de macro-economische situatie.</w:t>
      </w:r>
    </w:p>
    <w:p w:rsidRPr="00C4305D" w:rsidR="00A831AE" w:rsidP="00C4305D" w:rsidRDefault="00A831AE" w14:paraId="3E4D1EF8" w14:textId="77777777">
      <w:pPr>
        <w:pStyle w:val="Geenafstand"/>
        <w:spacing w:line="276" w:lineRule="auto"/>
        <w:rPr>
          <w:b/>
          <w:bCs/>
          <w:szCs w:val="18"/>
          <w:u w:val="single"/>
          <w:lang w:val="nl-NL"/>
        </w:rPr>
      </w:pPr>
    </w:p>
    <w:p w:rsidRPr="00C4305D" w:rsidR="006F4799" w:rsidP="00C4305D" w:rsidRDefault="006F4799" w14:paraId="46E3EC1C" w14:textId="49A3879F">
      <w:pPr>
        <w:pStyle w:val="Geenafstand"/>
        <w:spacing w:line="276" w:lineRule="auto"/>
        <w:rPr>
          <w:b/>
          <w:bCs/>
          <w:szCs w:val="18"/>
          <w:u w:val="single"/>
          <w:lang w:val="nl-NL"/>
        </w:rPr>
      </w:pPr>
      <w:r w:rsidRPr="00C4305D">
        <w:rPr>
          <w:b/>
          <w:bCs/>
          <w:szCs w:val="18"/>
          <w:u w:val="single"/>
          <w:lang w:val="nl-NL"/>
        </w:rPr>
        <w:t>Ecofinraad</w:t>
      </w:r>
    </w:p>
    <w:p w:rsidRPr="00C4305D" w:rsidR="006F4799" w:rsidP="00C4305D" w:rsidRDefault="006F4799" w14:paraId="73DD13D2" w14:textId="77777777">
      <w:pPr>
        <w:spacing w:after="0" w:line="276" w:lineRule="auto"/>
        <w:rPr>
          <w:b/>
          <w:bCs/>
          <w:szCs w:val="18"/>
          <w:lang w:val="nl-NL"/>
        </w:rPr>
      </w:pPr>
      <w:bookmarkStart w:name="_Hlk162362103" w:id="0"/>
      <w:r w:rsidRPr="00C4305D">
        <w:rPr>
          <w:b/>
          <w:bCs/>
          <w:szCs w:val="18"/>
          <w:lang w:val="nl-NL"/>
        </w:rPr>
        <w:t xml:space="preserve">Lopende wetgevingsvoorstellen over financiële diensten </w:t>
      </w:r>
    </w:p>
    <w:p w:rsidRPr="00C4305D" w:rsidR="006F4799" w:rsidP="00C4305D" w:rsidRDefault="006F4799" w14:paraId="034E5AB3" w14:textId="77777777">
      <w:pPr>
        <w:spacing w:after="0" w:line="276" w:lineRule="auto"/>
        <w:rPr>
          <w:szCs w:val="18"/>
          <w:lang w:val="nl-NL"/>
        </w:rPr>
      </w:pPr>
      <w:r w:rsidRPr="00C4305D">
        <w:rPr>
          <w:szCs w:val="18"/>
          <w:lang w:val="nl-NL"/>
        </w:rPr>
        <w:t>Het voorzitterschap van de Raad en de Commissie hebben de Ecofinraad geïnformeerd over de lopende wetgevingsvoorstellen op het terrein van financiële diensten.</w:t>
      </w:r>
      <w:r w:rsidRPr="00C4305D">
        <w:rPr>
          <w:rStyle w:val="Voetnootmarkering"/>
          <w:szCs w:val="18"/>
        </w:rPr>
        <w:footnoteReference w:id="6"/>
      </w:r>
    </w:p>
    <w:p w:rsidRPr="00C4305D" w:rsidR="006F4799" w:rsidP="00C4305D" w:rsidRDefault="006F4799" w14:paraId="7B302DB0" w14:textId="77777777">
      <w:pPr>
        <w:pStyle w:val="Geenafstand"/>
        <w:spacing w:line="276" w:lineRule="auto"/>
        <w:rPr>
          <w:b/>
          <w:bCs/>
          <w:szCs w:val="18"/>
          <w:lang w:val="nl-NL"/>
        </w:rPr>
      </w:pPr>
    </w:p>
    <w:p w:rsidRPr="00C4305D" w:rsidR="00A831AE" w:rsidP="00C4305D" w:rsidRDefault="00A831AE" w14:paraId="24E66ED0" w14:textId="2C0EBAB2">
      <w:pPr>
        <w:pStyle w:val="Geenafstand"/>
        <w:spacing w:line="276" w:lineRule="auto"/>
        <w:rPr>
          <w:b/>
          <w:bCs/>
          <w:szCs w:val="18"/>
          <w:lang w:val="nl-NL"/>
        </w:rPr>
      </w:pPr>
      <w:r w:rsidRPr="00C4305D">
        <w:rPr>
          <w:b/>
          <w:bCs/>
          <w:szCs w:val="18"/>
          <w:lang w:val="nl-NL"/>
        </w:rPr>
        <w:t>Werkprogramma Hongaars voorzitterschap</w:t>
      </w:r>
    </w:p>
    <w:p w:rsidRPr="00C4305D" w:rsidR="000F640B" w:rsidP="00C4305D" w:rsidRDefault="007F2F4B" w14:paraId="782D358B" w14:textId="77777777">
      <w:pPr>
        <w:pStyle w:val="Geenafstand"/>
        <w:spacing w:line="276" w:lineRule="auto"/>
        <w:rPr>
          <w:szCs w:val="18"/>
          <w:lang w:val="nl-NL"/>
        </w:rPr>
      </w:pPr>
      <w:r w:rsidRPr="00C4305D">
        <w:rPr>
          <w:szCs w:val="18"/>
          <w:lang w:val="nl-NL"/>
        </w:rPr>
        <w:t>In de tweede helft van 2024 (juli-december 2024) is Hongarije voorzitter van de Raad van de EU. Zoals gebruikelijk heeft Hongarije daartoe een werkprogramma gepubliceerd.</w:t>
      </w:r>
      <w:r w:rsidRPr="00C4305D">
        <w:rPr>
          <w:rStyle w:val="Voetnootmarkering"/>
          <w:szCs w:val="18"/>
          <w:lang w:val="nl-NL"/>
        </w:rPr>
        <w:footnoteReference w:id="7"/>
      </w:r>
      <w:r w:rsidRPr="00C4305D">
        <w:rPr>
          <w:szCs w:val="18"/>
          <w:lang w:val="nl-NL"/>
        </w:rPr>
        <w:t xml:space="preserve"> Tijdens de Ecofinraad gaf de minister van Financiën van Hongarije </w:t>
      </w:r>
      <w:proofErr w:type="spellStart"/>
      <w:r w:rsidRPr="00C4305D">
        <w:rPr>
          <w:szCs w:val="18"/>
          <w:lang w:val="nl-NL"/>
        </w:rPr>
        <w:t>Mihaly</w:t>
      </w:r>
      <w:proofErr w:type="spellEnd"/>
      <w:r w:rsidRPr="00C4305D">
        <w:rPr>
          <w:szCs w:val="18"/>
          <w:lang w:val="nl-NL"/>
        </w:rPr>
        <w:t xml:space="preserve"> </w:t>
      </w:r>
      <w:proofErr w:type="spellStart"/>
      <w:r w:rsidRPr="00C4305D">
        <w:rPr>
          <w:szCs w:val="18"/>
          <w:lang w:val="nl-NL"/>
        </w:rPr>
        <w:t>Varga</w:t>
      </w:r>
      <w:proofErr w:type="spellEnd"/>
      <w:r w:rsidRPr="00C4305D">
        <w:rPr>
          <w:szCs w:val="18"/>
          <w:lang w:val="nl-NL"/>
        </w:rPr>
        <w:t xml:space="preserve"> in zijn rol als voorzitter een toelichting op dit werkprogramma, in lijn met de toelichting die u ontving in de geannoteerde agenda voor deze Ecofinraad.</w:t>
      </w:r>
      <w:r w:rsidRPr="00C4305D">
        <w:rPr>
          <w:rStyle w:val="Voetnootmarkering"/>
          <w:szCs w:val="18"/>
          <w:lang w:val="nl-NL"/>
        </w:rPr>
        <w:footnoteReference w:id="8"/>
      </w:r>
      <w:r w:rsidRPr="00C4305D">
        <w:rPr>
          <w:szCs w:val="18"/>
          <w:lang w:val="nl-NL"/>
        </w:rPr>
        <w:t xml:space="preserve"> </w:t>
      </w:r>
    </w:p>
    <w:p w:rsidRPr="00C4305D" w:rsidR="000F640B" w:rsidP="00C4305D" w:rsidRDefault="000F640B" w14:paraId="40501F62" w14:textId="77777777">
      <w:pPr>
        <w:pStyle w:val="Geenafstand"/>
        <w:spacing w:line="276" w:lineRule="auto"/>
        <w:rPr>
          <w:szCs w:val="18"/>
          <w:lang w:val="nl-NL"/>
        </w:rPr>
      </w:pPr>
    </w:p>
    <w:p w:rsidRPr="00C4305D" w:rsidR="00A831AE" w:rsidP="00C4305D" w:rsidRDefault="007F2F4B" w14:paraId="7535E907" w14:textId="0B9908B9">
      <w:pPr>
        <w:pStyle w:val="Geenafstand"/>
        <w:spacing w:line="276" w:lineRule="auto"/>
        <w:rPr>
          <w:szCs w:val="18"/>
          <w:lang w:val="nl-NL"/>
        </w:rPr>
      </w:pPr>
      <w:r w:rsidRPr="00C4305D">
        <w:rPr>
          <w:szCs w:val="18"/>
          <w:lang w:val="nl-NL"/>
        </w:rPr>
        <w:t xml:space="preserve">Na deze toelichting maakten veel lidstaten van de gelegenheid gebruik om te reageren. Een ruime meerderheid van de lidstaten, waaronder Nederland, </w:t>
      </w:r>
      <w:r w:rsidR="001C2C9E">
        <w:rPr>
          <w:szCs w:val="18"/>
          <w:lang w:val="nl-NL"/>
        </w:rPr>
        <w:t>gaf aan</w:t>
      </w:r>
      <w:r w:rsidRPr="00C4305D">
        <w:rPr>
          <w:szCs w:val="18"/>
          <w:lang w:val="nl-NL"/>
        </w:rPr>
        <w:t xml:space="preserve"> het te betreuren dat steun van de EU aan Oekraïne geen prioriteit is in het </w:t>
      </w:r>
      <w:r w:rsidRPr="00C4305D" w:rsidR="003C2E7F">
        <w:rPr>
          <w:szCs w:val="18"/>
          <w:lang w:val="nl-NL"/>
        </w:rPr>
        <w:t>werkprogramma</w:t>
      </w:r>
      <w:r w:rsidRPr="00C4305D">
        <w:rPr>
          <w:szCs w:val="18"/>
          <w:lang w:val="nl-NL"/>
        </w:rPr>
        <w:t xml:space="preserve"> van het Hongaars voorzitterschap. Daarbij </w:t>
      </w:r>
      <w:r w:rsidRPr="00C4305D" w:rsidR="003C2E7F">
        <w:rPr>
          <w:szCs w:val="18"/>
          <w:lang w:val="nl-NL"/>
        </w:rPr>
        <w:t xml:space="preserve">gaven </w:t>
      </w:r>
      <w:r w:rsidRPr="00C4305D">
        <w:rPr>
          <w:szCs w:val="18"/>
          <w:lang w:val="nl-NL"/>
        </w:rPr>
        <w:t>meerdere lidstaten, waaronder Nederland,</w:t>
      </w:r>
      <w:r w:rsidRPr="00C4305D" w:rsidR="003C2E7F">
        <w:rPr>
          <w:szCs w:val="18"/>
          <w:lang w:val="nl-NL"/>
        </w:rPr>
        <w:t xml:space="preserve"> te kennen ook </w:t>
      </w:r>
      <w:r w:rsidRPr="00C4305D">
        <w:rPr>
          <w:szCs w:val="18"/>
          <w:lang w:val="nl-NL"/>
        </w:rPr>
        <w:t>het bezoek van de Hongaarse president Viktor Orban aan Rusland</w:t>
      </w:r>
      <w:r w:rsidRPr="00C4305D" w:rsidR="003C2E7F">
        <w:rPr>
          <w:szCs w:val="18"/>
          <w:lang w:val="nl-NL"/>
        </w:rPr>
        <w:t xml:space="preserve"> te betreuren. In reactie gaf het Hongaarse voorzitterschap aan de economische en financiële steun aan Oekraïne als vast agendapunt op de Ecofinraad te continueren.  </w:t>
      </w:r>
      <w:r w:rsidRPr="00C4305D">
        <w:rPr>
          <w:szCs w:val="18"/>
          <w:lang w:val="nl-NL"/>
        </w:rPr>
        <w:t xml:space="preserve"> </w:t>
      </w:r>
    </w:p>
    <w:p w:rsidRPr="00C4305D" w:rsidR="007F2F4B" w:rsidP="00C4305D" w:rsidRDefault="007F2F4B" w14:paraId="18556942" w14:textId="77777777">
      <w:pPr>
        <w:pStyle w:val="Geenafstand"/>
        <w:spacing w:line="276" w:lineRule="auto"/>
        <w:rPr>
          <w:szCs w:val="18"/>
          <w:lang w:val="nl-NL"/>
        </w:rPr>
      </w:pPr>
    </w:p>
    <w:p w:rsidRPr="00C4305D" w:rsidR="006F4799" w:rsidP="00C4305D" w:rsidRDefault="006F4799" w14:paraId="0255B7A5" w14:textId="77777777">
      <w:pPr>
        <w:pStyle w:val="Geenafstand"/>
        <w:spacing w:line="276" w:lineRule="auto"/>
        <w:rPr>
          <w:b/>
          <w:bCs/>
          <w:szCs w:val="18"/>
          <w:lang w:val="nl-NL"/>
        </w:rPr>
      </w:pPr>
      <w:r w:rsidRPr="00C4305D">
        <w:rPr>
          <w:b/>
          <w:bCs/>
          <w:szCs w:val="18"/>
          <w:lang w:val="nl-NL"/>
        </w:rPr>
        <w:lastRenderedPageBreak/>
        <w:t>Economische en financiële impact van de Russische agressieoorlog tegen Oekraïne</w:t>
      </w:r>
      <w:bookmarkEnd w:id="0"/>
    </w:p>
    <w:p w:rsidRPr="00A0218E" w:rsidR="00141A1F" w:rsidP="00C4305D" w:rsidRDefault="00947FA5" w14:paraId="4B75E725" w14:textId="3BAE80E5">
      <w:pPr>
        <w:pStyle w:val="Geenafstand"/>
        <w:spacing w:line="276" w:lineRule="auto"/>
        <w:rPr>
          <w:szCs w:val="18"/>
          <w:lang w:val="nl-NL"/>
        </w:rPr>
      </w:pPr>
      <w:r w:rsidRPr="00114CBA">
        <w:rPr>
          <w:szCs w:val="18"/>
          <w:lang w:val="nl-NL"/>
        </w:rPr>
        <w:t>De Ecofinraad besprak de economische en financiële impact van de Russische agressie tegen Oekraïne en de Europese steunmaatregelen aan Oekraïne.</w:t>
      </w:r>
      <w:r w:rsidR="00141A1F">
        <w:rPr>
          <w:szCs w:val="18"/>
          <w:lang w:val="nl-NL"/>
        </w:rPr>
        <w:t xml:space="preserve"> De Commissie gaf een toelichting op de economische en budgettaire situatie van Oekraïne. Vervolgens ging de Commissie in op de geboekte voortgang </w:t>
      </w:r>
      <w:proofErr w:type="gramStart"/>
      <w:r w:rsidR="00141A1F">
        <w:rPr>
          <w:szCs w:val="18"/>
          <w:lang w:val="nl-NL"/>
        </w:rPr>
        <w:t>inzake</w:t>
      </w:r>
      <w:proofErr w:type="gramEnd"/>
      <w:r w:rsidR="00141A1F">
        <w:rPr>
          <w:szCs w:val="18"/>
          <w:lang w:val="nl-NL"/>
        </w:rPr>
        <w:t xml:space="preserve"> de uitwerking van het </w:t>
      </w:r>
      <w:r w:rsidRPr="00141A1F" w:rsidR="00141A1F">
        <w:rPr>
          <w:rFonts w:cs="Arial"/>
          <w:iCs/>
          <w:szCs w:val="18"/>
          <w:lang w:val="nl-NL"/>
        </w:rPr>
        <w:t>G7-akkoord over het gebruik van de buitengewone rente-inkomsten van geïmmobiliseerde tegoeden van de Russische Centrale Bank voor een lening aan Oekraïne</w:t>
      </w:r>
      <w:r w:rsidR="00141A1F">
        <w:rPr>
          <w:rFonts w:cs="Arial"/>
          <w:iCs/>
          <w:szCs w:val="18"/>
          <w:lang w:val="nl-NL"/>
        </w:rPr>
        <w:t xml:space="preserve"> ter waarde van $50 miljard. </w:t>
      </w:r>
      <w:r w:rsidR="005E1282">
        <w:rPr>
          <w:rFonts w:cs="Arial"/>
          <w:iCs/>
          <w:szCs w:val="18"/>
          <w:lang w:val="nl-NL"/>
        </w:rPr>
        <w:t xml:space="preserve">Ook de voorzitter van </w:t>
      </w:r>
      <w:r w:rsidRPr="00C4305D" w:rsidR="005E1282">
        <w:rPr>
          <w:szCs w:val="18"/>
          <w:lang w:val="nl-NL"/>
        </w:rPr>
        <w:t>het Economisch en Financieel Comité</w:t>
      </w:r>
      <w:r w:rsidR="005E1282">
        <w:rPr>
          <w:szCs w:val="18"/>
          <w:lang w:val="nl-NL"/>
        </w:rPr>
        <w:t xml:space="preserve"> (EFC), de </w:t>
      </w:r>
      <w:proofErr w:type="spellStart"/>
      <w:r w:rsidR="005E1282">
        <w:rPr>
          <w:szCs w:val="18"/>
          <w:lang w:val="nl-NL"/>
        </w:rPr>
        <w:t>hoogambtelijke</w:t>
      </w:r>
      <w:proofErr w:type="spellEnd"/>
      <w:r w:rsidR="005E1282">
        <w:rPr>
          <w:szCs w:val="18"/>
          <w:lang w:val="nl-NL"/>
        </w:rPr>
        <w:t xml:space="preserve"> voorbereidende werkgroep van de Ecofinraad, gaf een toelichting op het werk dat in het EFC was gedaan hierop, met name ten aanzien van technische aspecten zoals de verdeelsleutel en voorwaarden van een dergelijke lening en op welke manier (via welke instelling of organisatie) een dergelijke lening zou kunnen worden verstrekt. </w:t>
      </w:r>
    </w:p>
    <w:p w:rsidR="005E1282" w:rsidP="00C4305D" w:rsidRDefault="005E1282" w14:paraId="0631D799" w14:textId="77777777">
      <w:pPr>
        <w:pStyle w:val="Geenafstand"/>
        <w:spacing w:line="276" w:lineRule="auto"/>
        <w:rPr>
          <w:szCs w:val="18"/>
          <w:lang w:val="nl-NL"/>
        </w:rPr>
      </w:pPr>
    </w:p>
    <w:p w:rsidR="00141A1F" w:rsidP="00C4305D" w:rsidRDefault="005E1282" w14:paraId="7FB3C568" w14:textId="43D61E01">
      <w:pPr>
        <w:pStyle w:val="Geenafstand"/>
        <w:spacing w:line="276" w:lineRule="auto"/>
        <w:rPr>
          <w:szCs w:val="18"/>
          <w:lang w:val="nl-NL"/>
        </w:rPr>
      </w:pPr>
      <w:r>
        <w:rPr>
          <w:szCs w:val="18"/>
          <w:lang w:val="nl-NL"/>
        </w:rPr>
        <w:t xml:space="preserve">Meerdere </w:t>
      </w:r>
      <w:r w:rsidR="00141A1F">
        <w:rPr>
          <w:szCs w:val="18"/>
          <w:lang w:val="nl-NL"/>
        </w:rPr>
        <w:t xml:space="preserve">lidstaten gaven in reactie op de Commissie aan </w:t>
      </w:r>
      <w:r>
        <w:rPr>
          <w:szCs w:val="18"/>
          <w:lang w:val="nl-NL"/>
        </w:rPr>
        <w:t>het van belang te vinden dat spoedig voortgang wordt geboekt op verdere uitwerking van het G7-akkoord. Daarom verzochten zij de Commissie om zo s</w:t>
      </w:r>
      <w:r w:rsidR="004B73AD">
        <w:rPr>
          <w:szCs w:val="18"/>
          <w:lang w:val="nl-NL"/>
        </w:rPr>
        <w:t>nel</w:t>
      </w:r>
      <w:r>
        <w:rPr>
          <w:szCs w:val="18"/>
          <w:lang w:val="nl-NL"/>
        </w:rPr>
        <w:t xml:space="preserve"> als mogelijk met een concreet voorstel te komen. Tegelijkertijd gaven verschillende lidstaten, waaronder Nederland, </w:t>
      </w:r>
      <w:r w:rsidR="001C2C9E">
        <w:rPr>
          <w:szCs w:val="18"/>
          <w:lang w:val="nl-NL"/>
        </w:rPr>
        <w:t xml:space="preserve">aan </w:t>
      </w:r>
      <w:r>
        <w:rPr>
          <w:szCs w:val="18"/>
          <w:lang w:val="nl-NL"/>
        </w:rPr>
        <w:t xml:space="preserve">dat zowel de lasten als de risico’s moeten worden gedeeld met de G7-partners. Een aantal lidstaten legde er nog de nadruk op dat voorkomen moet worden dat sancties op Rusland worden omzeild, bijvoorbeeld via Belarus. </w:t>
      </w:r>
    </w:p>
    <w:p w:rsidR="002C2C07" w:rsidP="00C4305D" w:rsidRDefault="002C2C07" w14:paraId="7A6FD648" w14:textId="77777777">
      <w:pPr>
        <w:pStyle w:val="Geenafstand"/>
        <w:spacing w:line="276" w:lineRule="auto"/>
        <w:rPr>
          <w:szCs w:val="18"/>
          <w:lang w:val="nl-NL"/>
        </w:rPr>
      </w:pPr>
    </w:p>
    <w:p w:rsidRPr="002C2C07" w:rsidR="002C2C07" w:rsidP="002C2C07" w:rsidRDefault="001C2C9E" w14:paraId="6FF237D9" w14:textId="72A9C788">
      <w:pPr>
        <w:rPr>
          <w:lang w:val="nl-NL"/>
        </w:rPr>
      </w:pPr>
      <w:r>
        <w:rPr>
          <w:lang w:val="nl-NL"/>
        </w:rPr>
        <w:t>De</w:t>
      </w:r>
      <w:r w:rsidRPr="002C2C07" w:rsidR="002C2C07">
        <w:rPr>
          <w:lang w:val="nl-NL"/>
        </w:rPr>
        <w:t xml:space="preserve"> Kamer zal worden geïnformeerd </w:t>
      </w:r>
      <w:proofErr w:type="gramStart"/>
      <w:r w:rsidRPr="002C2C07" w:rsidR="002C2C07">
        <w:rPr>
          <w:lang w:val="nl-NL"/>
        </w:rPr>
        <w:t>indien</w:t>
      </w:r>
      <w:proofErr w:type="gramEnd"/>
      <w:r w:rsidRPr="002C2C07" w:rsidR="002C2C07">
        <w:rPr>
          <w:lang w:val="nl-NL"/>
        </w:rPr>
        <w:t xml:space="preserve"> de Commissie met een voorstel komt </w:t>
      </w:r>
      <w:r>
        <w:rPr>
          <w:lang w:val="nl-NL"/>
        </w:rPr>
        <w:t>voor</w:t>
      </w:r>
      <w:r w:rsidRPr="002C2C07" w:rsidR="002C2C07">
        <w:rPr>
          <w:lang w:val="nl-NL"/>
        </w:rPr>
        <w:t xml:space="preserve"> de uitwerking van het G7-akkoord</w:t>
      </w:r>
      <w:r>
        <w:rPr>
          <w:lang w:val="nl-NL"/>
        </w:rPr>
        <w:t xml:space="preserve"> </w:t>
      </w:r>
      <w:r w:rsidRPr="00141A1F">
        <w:rPr>
          <w:rFonts w:cs="Arial"/>
          <w:iCs/>
          <w:szCs w:val="18"/>
          <w:lang w:val="nl-NL"/>
        </w:rPr>
        <w:t>over het gebruik van de buitengewone rente-inkomsten van geïmmobiliseerde tegoeden van de Russische Centrale Bank voor een lening aan Oekraïne</w:t>
      </w:r>
      <w:r>
        <w:rPr>
          <w:lang w:val="nl-NL"/>
        </w:rPr>
        <w:t>.</w:t>
      </w:r>
      <w:r w:rsidRPr="002C2C07" w:rsidR="002C2C07">
        <w:rPr>
          <w:lang w:val="nl-NL"/>
        </w:rPr>
        <w:t xml:space="preserve"> Waarschijnlijk zal </w:t>
      </w:r>
      <w:r>
        <w:rPr>
          <w:lang w:val="nl-NL"/>
        </w:rPr>
        <w:t xml:space="preserve">daarvoor </w:t>
      </w:r>
      <w:r w:rsidRPr="002C2C07" w:rsidR="002C2C07">
        <w:rPr>
          <w:lang w:val="nl-NL"/>
        </w:rPr>
        <w:t xml:space="preserve">een nieuwe garantie moeten worden afgegeven via de </w:t>
      </w:r>
      <w:proofErr w:type="spellStart"/>
      <w:r w:rsidRPr="002C2C07" w:rsidR="002C2C07">
        <w:rPr>
          <w:lang w:val="nl-NL"/>
        </w:rPr>
        <w:t>headroom</w:t>
      </w:r>
      <w:proofErr w:type="spellEnd"/>
      <w:r w:rsidRPr="002C2C07" w:rsidR="002C2C07">
        <w:rPr>
          <w:lang w:val="nl-NL"/>
        </w:rPr>
        <w:t xml:space="preserve"> van de Europese begroting. De technische verwerking in de Nederlandse begroting vergt in dat geval een nieuwe nationale garantie op basis van het </w:t>
      </w:r>
      <w:proofErr w:type="spellStart"/>
      <w:r w:rsidRPr="002C2C07" w:rsidR="002C2C07">
        <w:rPr>
          <w:lang w:val="nl-NL"/>
        </w:rPr>
        <w:t>bni</w:t>
      </w:r>
      <w:proofErr w:type="spellEnd"/>
      <w:r w:rsidRPr="002C2C07" w:rsidR="002C2C07">
        <w:rPr>
          <w:lang w:val="nl-NL"/>
        </w:rPr>
        <w:t xml:space="preserve">-aandeel in het </w:t>
      </w:r>
      <w:proofErr w:type="spellStart"/>
      <w:r w:rsidRPr="002C2C07" w:rsidR="002C2C07">
        <w:rPr>
          <w:lang w:val="nl-NL"/>
        </w:rPr>
        <w:t>bni</w:t>
      </w:r>
      <w:proofErr w:type="spellEnd"/>
      <w:r w:rsidRPr="002C2C07" w:rsidR="002C2C07">
        <w:rPr>
          <w:lang w:val="nl-NL"/>
        </w:rPr>
        <w:t xml:space="preserve"> van de gehele EU. </w:t>
      </w:r>
      <w:r w:rsidR="002C2C07">
        <w:rPr>
          <w:lang w:val="nl-NL"/>
        </w:rPr>
        <w:br/>
      </w:r>
    </w:p>
    <w:p w:rsidRPr="00C4305D" w:rsidR="006F4799" w:rsidP="00C4305D" w:rsidRDefault="006F4799" w14:paraId="61B75C9D" w14:textId="533C303E">
      <w:pPr>
        <w:pStyle w:val="Geenafstand"/>
        <w:spacing w:line="276" w:lineRule="auto"/>
        <w:rPr>
          <w:b/>
          <w:bCs/>
          <w:szCs w:val="18"/>
          <w:lang w:val="nl-NL"/>
        </w:rPr>
      </w:pPr>
      <w:r w:rsidRPr="00C4305D">
        <w:rPr>
          <w:b/>
          <w:bCs/>
          <w:szCs w:val="18"/>
          <w:lang w:val="nl-NL"/>
        </w:rPr>
        <w:t>Herstel- en Veerkrachtfaciliteit (HVF)</w:t>
      </w:r>
    </w:p>
    <w:p w:rsidRPr="00C4305D" w:rsidR="006F4799" w:rsidP="00C4305D" w:rsidRDefault="006F4799" w14:paraId="781AF7BB" w14:textId="65B79E15">
      <w:pPr>
        <w:pStyle w:val="Geenafstand"/>
        <w:spacing w:line="276" w:lineRule="auto"/>
        <w:rPr>
          <w:szCs w:val="18"/>
          <w:lang w:val="nl-NL"/>
        </w:rPr>
      </w:pPr>
      <w:r w:rsidRPr="00C4305D">
        <w:rPr>
          <w:szCs w:val="18"/>
          <w:lang w:val="nl-NL"/>
        </w:rPr>
        <w:t>De Raad nam uitvoeringsbesluit</w:t>
      </w:r>
      <w:r w:rsidR="00307B07">
        <w:rPr>
          <w:szCs w:val="18"/>
          <w:lang w:val="nl-NL"/>
        </w:rPr>
        <w:t>en</w:t>
      </w:r>
      <w:r w:rsidRPr="00C4305D">
        <w:rPr>
          <w:szCs w:val="18"/>
          <w:lang w:val="nl-NL"/>
        </w:rPr>
        <w:t xml:space="preserve"> aan ter goedkeuring van </w:t>
      </w:r>
      <w:r w:rsidR="00307B07">
        <w:rPr>
          <w:szCs w:val="18"/>
          <w:lang w:val="nl-NL"/>
        </w:rPr>
        <w:t xml:space="preserve">de </w:t>
      </w:r>
      <w:r w:rsidRPr="00C4305D">
        <w:rPr>
          <w:szCs w:val="18"/>
          <w:lang w:val="nl-NL"/>
        </w:rPr>
        <w:t>aangepaste herstel- en veerkrachtplan</w:t>
      </w:r>
      <w:r w:rsidR="00307B07">
        <w:rPr>
          <w:szCs w:val="18"/>
          <w:lang w:val="nl-NL"/>
        </w:rPr>
        <w:t>nen</w:t>
      </w:r>
      <w:r w:rsidRPr="00C4305D">
        <w:rPr>
          <w:szCs w:val="18"/>
          <w:lang w:val="nl-NL"/>
        </w:rPr>
        <w:t xml:space="preserve"> (HVP) van </w:t>
      </w:r>
      <w:r w:rsidRPr="00C4305D" w:rsidR="00A831AE">
        <w:rPr>
          <w:szCs w:val="18"/>
          <w:lang w:val="nl-NL"/>
        </w:rPr>
        <w:t>Cyprus, Duitsland, Finland, Griekenland en Polen.</w:t>
      </w:r>
      <w:r w:rsidRPr="00C4305D">
        <w:rPr>
          <w:szCs w:val="18"/>
          <w:lang w:val="nl-NL"/>
        </w:rPr>
        <w:t xml:space="preserve"> </w:t>
      </w:r>
    </w:p>
    <w:p w:rsidRPr="00C4305D" w:rsidR="006F4799" w:rsidP="00C4305D" w:rsidRDefault="006F4799" w14:paraId="4D2B1380" w14:textId="77777777">
      <w:pPr>
        <w:spacing w:after="0" w:line="276" w:lineRule="auto"/>
        <w:rPr>
          <w:szCs w:val="18"/>
          <w:lang w:val="nl-NL"/>
        </w:rPr>
      </w:pPr>
    </w:p>
    <w:p w:rsidRPr="00C4305D" w:rsidR="005F7471" w:rsidP="00C4305D" w:rsidRDefault="00414CE3" w14:paraId="304F16E5" w14:textId="7195CABB">
      <w:pPr>
        <w:spacing w:after="0" w:line="276" w:lineRule="auto"/>
        <w:rPr>
          <w:szCs w:val="18"/>
          <w:lang w:val="nl-NL"/>
        </w:rPr>
      </w:pPr>
      <w:r w:rsidRPr="00C4305D">
        <w:rPr>
          <w:i/>
          <w:iCs/>
          <w:szCs w:val="18"/>
          <w:lang w:val="nl-NL"/>
        </w:rPr>
        <w:t xml:space="preserve">Voorlopige beoordeling Europese Commissie van </w:t>
      </w:r>
      <w:r w:rsidRPr="00C4305D" w:rsidR="005F7471">
        <w:rPr>
          <w:i/>
          <w:iCs/>
          <w:szCs w:val="18"/>
          <w:lang w:val="nl-NL"/>
        </w:rPr>
        <w:t>betaalverzoek</w:t>
      </w:r>
      <w:r w:rsidRPr="00C4305D" w:rsidR="005F7471">
        <w:rPr>
          <w:szCs w:val="18"/>
          <w:lang w:val="nl-NL"/>
        </w:rPr>
        <w:t xml:space="preserve"> </w:t>
      </w:r>
      <w:r w:rsidRPr="00C4305D">
        <w:rPr>
          <w:i/>
          <w:iCs/>
          <w:szCs w:val="18"/>
          <w:lang w:val="nl-NL"/>
        </w:rPr>
        <w:t>Nederland Herstel- en Veerkrachtplan</w:t>
      </w:r>
    </w:p>
    <w:p w:rsidRPr="00C4305D" w:rsidR="00414CE3" w:rsidP="30DD6C18" w:rsidRDefault="30DD6C18" w14:paraId="621CE868" w14:textId="65E701AB">
      <w:pPr>
        <w:spacing w:after="0" w:line="276" w:lineRule="auto"/>
        <w:rPr>
          <w:lang w:val="nl-NL"/>
        </w:rPr>
      </w:pPr>
      <w:r w:rsidRPr="30DD6C18">
        <w:rPr>
          <w:lang w:val="nl-NL"/>
        </w:rPr>
        <w:t xml:space="preserve">Op verzoek van de Kamer ontvangt de Kamer elke voorlopige beoordeling van betaalverzoeken in het kader van de HVF die de Commissie publiceert ter bespreking in het Economisch en Financieel Comité (EFC). Bijgaand zit de voorlopige positieve beoordeling van het eerste betaalverzoek van Nederland dat op 15 juli jl. door de Commissie gepubliceerd is. Het EFC streeft naar het vaststellen van het advies aan de Commissie 14 tot 16 werkdagen na publicatie van een voorlopige positieve beoordeling van een betaalverzoek. In verband met de zomer wordt de behandeling van de voorlopige positieve beoordeling in het EFC uitgesteld tot in september. </w:t>
      </w:r>
    </w:p>
    <w:p w:rsidRPr="00C4305D" w:rsidR="002D0103" w:rsidP="00C4305D" w:rsidRDefault="002D0103" w14:paraId="3D714688" w14:textId="77777777">
      <w:pPr>
        <w:spacing w:after="0" w:line="276" w:lineRule="auto"/>
        <w:rPr>
          <w:szCs w:val="18"/>
          <w:lang w:val="nl-NL"/>
        </w:rPr>
      </w:pPr>
    </w:p>
    <w:p w:rsidRPr="00C4305D" w:rsidR="00414CE3" w:rsidP="00C4305D" w:rsidRDefault="00414CE3" w14:paraId="0A0CCC9B" w14:textId="58EAC0E8">
      <w:pPr>
        <w:spacing w:after="0" w:line="276" w:lineRule="auto"/>
        <w:rPr>
          <w:szCs w:val="18"/>
          <w:lang w:val="nl-NL"/>
        </w:rPr>
      </w:pPr>
      <w:proofErr w:type="gramStart"/>
      <w:r w:rsidRPr="00C4305D">
        <w:rPr>
          <w:szCs w:val="18"/>
          <w:lang w:val="nl-NL"/>
        </w:rPr>
        <w:t>Indien</w:t>
      </w:r>
      <w:proofErr w:type="gramEnd"/>
      <w:r w:rsidRPr="00C4305D">
        <w:rPr>
          <w:szCs w:val="18"/>
          <w:lang w:val="nl-NL"/>
        </w:rPr>
        <w:t xml:space="preserve"> een lidstaat noodzaak ziet tot het starten van de zogenoemde noodremprocedure van de HVF naar aanleiding van het nu voorliggende betaalverzoek, zal </w:t>
      </w:r>
      <w:r w:rsidR="00B05F50">
        <w:rPr>
          <w:szCs w:val="18"/>
          <w:lang w:val="nl-NL"/>
        </w:rPr>
        <w:t>de</w:t>
      </w:r>
      <w:r w:rsidRPr="00C4305D">
        <w:rPr>
          <w:szCs w:val="18"/>
          <w:lang w:val="nl-NL"/>
        </w:rPr>
        <w:t xml:space="preserve"> Kamer hierover onverwijld </w:t>
      </w:r>
      <w:r w:rsidR="00B05F50">
        <w:rPr>
          <w:szCs w:val="18"/>
          <w:lang w:val="nl-NL"/>
        </w:rPr>
        <w:t>geïnformeerd worden</w:t>
      </w:r>
      <w:r w:rsidRPr="00C4305D">
        <w:rPr>
          <w:szCs w:val="18"/>
          <w:lang w:val="nl-NL"/>
        </w:rPr>
        <w:t>.</w:t>
      </w:r>
    </w:p>
    <w:p w:rsidRPr="00C4305D" w:rsidR="005F7471" w:rsidP="00C4305D" w:rsidRDefault="005F7471" w14:paraId="56F234C2" w14:textId="77777777">
      <w:pPr>
        <w:spacing w:after="0" w:line="276" w:lineRule="auto"/>
        <w:rPr>
          <w:szCs w:val="18"/>
          <w:lang w:val="nl-NL"/>
        </w:rPr>
      </w:pPr>
    </w:p>
    <w:p w:rsidRPr="00C4305D" w:rsidR="006F4799" w:rsidP="00C4305D" w:rsidRDefault="00750A88" w14:paraId="76F4D7C4" w14:textId="638997FD">
      <w:pPr>
        <w:spacing w:after="0" w:line="276" w:lineRule="auto"/>
        <w:rPr>
          <w:b/>
          <w:bCs/>
          <w:szCs w:val="18"/>
          <w:lang w:val="nl-NL"/>
        </w:rPr>
      </w:pPr>
      <w:r w:rsidRPr="00C4305D">
        <w:rPr>
          <w:b/>
          <w:bCs/>
          <w:szCs w:val="18"/>
          <w:lang w:val="nl-NL"/>
        </w:rPr>
        <w:t xml:space="preserve">Lentepakket Europees Semester 2024 – </w:t>
      </w:r>
      <w:proofErr w:type="spellStart"/>
      <w:r w:rsidRPr="00C4305D">
        <w:rPr>
          <w:b/>
          <w:bCs/>
          <w:szCs w:val="18"/>
          <w:lang w:val="nl-NL"/>
        </w:rPr>
        <w:t>landspecifieke</w:t>
      </w:r>
      <w:proofErr w:type="spellEnd"/>
      <w:r w:rsidRPr="00C4305D">
        <w:rPr>
          <w:b/>
          <w:bCs/>
          <w:szCs w:val="18"/>
          <w:lang w:val="nl-NL"/>
        </w:rPr>
        <w:t xml:space="preserve"> aanbevelingen en macro-economische onevenwichtighedenprocedure</w:t>
      </w:r>
    </w:p>
    <w:p w:rsidR="001C7278" w:rsidP="00C4305D" w:rsidRDefault="003B1445" w14:paraId="5D277029" w14:textId="77777777">
      <w:pPr>
        <w:spacing w:after="0" w:line="276" w:lineRule="auto"/>
        <w:rPr>
          <w:szCs w:val="18"/>
          <w:lang w:val="nl-NL"/>
        </w:rPr>
      </w:pPr>
      <w:r w:rsidRPr="00C4305D">
        <w:rPr>
          <w:szCs w:val="18"/>
          <w:lang w:val="nl-NL"/>
        </w:rPr>
        <w:t xml:space="preserve">Op 19 juni jl. publiceerde de Commissie het lentepakket in het kader van het Europees Semester. Het Europees Semester is het jaarlijkse proces waarin de EU-lidstaten hun economisch, arbeidsmarkt- en begrotingsbeleid coördineren. In de Ecofinraad gaf de Commissie een korte toelichting op het lentepakket, in het bijzonder de </w:t>
      </w:r>
      <w:proofErr w:type="spellStart"/>
      <w:r w:rsidRPr="00C4305D">
        <w:rPr>
          <w:szCs w:val="18"/>
          <w:lang w:val="nl-NL"/>
        </w:rPr>
        <w:t>landspecifieke</w:t>
      </w:r>
      <w:proofErr w:type="spellEnd"/>
      <w:r w:rsidRPr="00C4305D">
        <w:rPr>
          <w:szCs w:val="18"/>
          <w:lang w:val="nl-NL"/>
        </w:rPr>
        <w:t xml:space="preserve"> aanbevelingen</w:t>
      </w:r>
      <w:r w:rsidR="001C7278">
        <w:rPr>
          <w:szCs w:val="18"/>
          <w:lang w:val="nl-NL"/>
        </w:rPr>
        <w:t xml:space="preserve"> (</w:t>
      </w:r>
      <w:proofErr w:type="spellStart"/>
      <w:r w:rsidR="001C7278">
        <w:rPr>
          <w:szCs w:val="18"/>
          <w:lang w:val="nl-NL"/>
        </w:rPr>
        <w:t>LSA’s</w:t>
      </w:r>
      <w:proofErr w:type="spellEnd"/>
      <w:r w:rsidR="001C7278">
        <w:rPr>
          <w:szCs w:val="18"/>
          <w:lang w:val="nl-NL"/>
        </w:rPr>
        <w:t>)</w:t>
      </w:r>
      <w:r w:rsidRPr="00C4305D">
        <w:rPr>
          <w:szCs w:val="18"/>
          <w:lang w:val="nl-NL"/>
        </w:rPr>
        <w:t xml:space="preserve"> en de macro-</w:t>
      </w:r>
      <w:r w:rsidRPr="00C4305D" w:rsidR="008E7291">
        <w:rPr>
          <w:szCs w:val="18"/>
          <w:lang w:val="nl-NL"/>
        </w:rPr>
        <w:t>economische</w:t>
      </w:r>
      <w:r w:rsidRPr="00C4305D">
        <w:rPr>
          <w:szCs w:val="18"/>
          <w:lang w:val="nl-NL"/>
        </w:rPr>
        <w:t xml:space="preserve"> onevenwichtighedenprocedure</w:t>
      </w:r>
      <w:r w:rsidRPr="00C4305D" w:rsidR="008E7291">
        <w:rPr>
          <w:szCs w:val="18"/>
          <w:lang w:val="nl-NL"/>
        </w:rPr>
        <w:t xml:space="preserve"> </w:t>
      </w:r>
      <w:r w:rsidR="00307B07">
        <w:rPr>
          <w:szCs w:val="18"/>
          <w:lang w:val="nl-NL"/>
        </w:rPr>
        <w:t>(</w:t>
      </w:r>
      <w:r w:rsidRPr="00C4305D" w:rsidR="008E7291">
        <w:rPr>
          <w:szCs w:val="18"/>
          <w:lang w:val="nl-NL"/>
        </w:rPr>
        <w:t>MEOP)</w:t>
      </w:r>
      <w:r w:rsidRPr="00C4305D">
        <w:rPr>
          <w:szCs w:val="18"/>
          <w:lang w:val="nl-NL"/>
        </w:rPr>
        <w:t xml:space="preserve">. </w:t>
      </w:r>
    </w:p>
    <w:p w:rsidR="001C7278" w:rsidP="00C4305D" w:rsidRDefault="001C7278" w14:paraId="16BA5955" w14:textId="77777777">
      <w:pPr>
        <w:spacing w:after="0" w:line="276" w:lineRule="auto"/>
        <w:rPr>
          <w:szCs w:val="18"/>
          <w:lang w:val="nl-NL"/>
        </w:rPr>
      </w:pPr>
    </w:p>
    <w:p w:rsidRPr="00C4305D" w:rsidR="009920C2" w:rsidP="00C4305D" w:rsidRDefault="001C7278" w14:paraId="4C33BE56" w14:textId="2DA6CC05">
      <w:pPr>
        <w:spacing w:after="0" w:line="276" w:lineRule="auto"/>
        <w:rPr>
          <w:szCs w:val="18"/>
          <w:lang w:val="nl-NL"/>
        </w:rPr>
      </w:pPr>
      <w:r w:rsidRPr="00C4305D">
        <w:rPr>
          <w:szCs w:val="18"/>
          <w:lang w:val="nl-NL"/>
        </w:rPr>
        <w:lastRenderedPageBreak/>
        <w:t>De Ecofinraad ging akkoord met de</w:t>
      </w:r>
      <w:r>
        <w:rPr>
          <w:szCs w:val="18"/>
          <w:lang w:val="nl-NL"/>
        </w:rPr>
        <w:t xml:space="preserve"> </w:t>
      </w:r>
      <w:proofErr w:type="spellStart"/>
      <w:r>
        <w:rPr>
          <w:szCs w:val="18"/>
          <w:lang w:val="nl-NL"/>
        </w:rPr>
        <w:t>LSA’s</w:t>
      </w:r>
      <w:proofErr w:type="spellEnd"/>
      <w:r w:rsidRPr="00C4305D">
        <w:rPr>
          <w:szCs w:val="18"/>
          <w:lang w:val="nl-NL"/>
        </w:rPr>
        <w:t>.</w:t>
      </w:r>
      <w:r w:rsidRPr="00C4305D">
        <w:rPr>
          <w:rStyle w:val="Voetnootmarkering"/>
          <w:szCs w:val="18"/>
          <w:lang w:val="nl-NL"/>
        </w:rPr>
        <w:footnoteReference w:id="9"/>
      </w:r>
      <w:r w:rsidRPr="00C4305D">
        <w:rPr>
          <w:szCs w:val="18"/>
          <w:lang w:val="nl-NL"/>
        </w:rPr>
        <w:t xml:space="preserve"> De Commissie toonde zich </w:t>
      </w:r>
      <w:r>
        <w:rPr>
          <w:szCs w:val="18"/>
          <w:lang w:val="nl-NL"/>
        </w:rPr>
        <w:t xml:space="preserve">specifiek </w:t>
      </w:r>
      <w:r w:rsidRPr="00C4305D">
        <w:rPr>
          <w:szCs w:val="18"/>
          <w:lang w:val="nl-NL"/>
        </w:rPr>
        <w:t>verheugd over het feit dat veel lidstaten</w:t>
      </w:r>
      <w:r>
        <w:rPr>
          <w:szCs w:val="18"/>
          <w:lang w:val="nl-NL"/>
        </w:rPr>
        <w:t>, waaronder Nederland,</w:t>
      </w:r>
      <w:r w:rsidRPr="00C4305D">
        <w:rPr>
          <w:szCs w:val="18"/>
          <w:lang w:val="nl-NL"/>
        </w:rPr>
        <w:t xml:space="preserve"> positief </w:t>
      </w:r>
      <w:r>
        <w:rPr>
          <w:szCs w:val="18"/>
          <w:lang w:val="nl-NL"/>
        </w:rPr>
        <w:t>waren</w:t>
      </w:r>
      <w:r w:rsidRPr="00C4305D">
        <w:rPr>
          <w:szCs w:val="18"/>
          <w:lang w:val="nl-NL"/>
        </w:rPr>
        <w:t xml:space="preserve"> over de aandacht voor concurrentiekracht in de </w:t>
      </w:r>
      <w:proofErr w:type="spellStart"/>
      <w:r>
        <w:rPr>
          <w:szCs w:val="18"/>
          <w:lang w:val="nl-NL"/>
        </w:rPr>
        <w:t>LSA’s</w:t>
      </w:r>
      <w:proofErr w:type="spellEnd"/>
      <w:r>
        <w:rPr>
          <w:szCs w:val="18"/>
          <w:lang w:val="nl-NL"/>
        </w:rPr>
        <w:t xml:space="preserve">. </w:t>
      </w:r>
      <w:r>
        <w:rPr>
          <w:lang w:val="nl-NL"/>
        </w:rPr>
        <w:t xml:space="preserve">De </w:t>
      </w:r>
      <w:proofErr w:type="spellStart"/>
      <w:r>
        <w:rPr>
          <w:lang w:val="nl-NL"/>
        </w:rPr>
        <w:t>LSA’s</w:t>
      </w:r>
      <w:proofErr w:type="spellEnd"/>
      <w:r>
        <w:rPr>
          <w:lang w:val="nl-NL"/>
        </w:rPr>
        <w:t xml:space="preserve"> voor Nederland kunt u vinden in de geannoteerde a</w:t>
      </w:r>
      <w:r w:rsidR="00B05F50">
        <w:rPr>
          <w:lang w:val="nl-NL"/>
        </w:rPr>
        <w:t>g</w:t>
      </w:r>
      <w:r>
        <w:rPr>
          <w:lang w:val="nl-NL"/>
        </w:rPr>
        <w:t xml:space="preserve">enda die </w:t>
      </w:r>
      <w:r w:rsidR="00B05F50">
        <w:rPr>
          <w:lang w:val="nl-NL"/>
        </w:rPr>
        <w:t>de</w:t>
      </w:r>
      <w:r>
        <w:rPr>
          <w:lang w:val="nl-NL"/>
        </w:rPr>
        <w:t xml:space="preserve"> Kamer eerder ontving.</w:t>
      </w:r>
      <w:r>
        <w:rPr>
          <w:rStyle w:val="Voetnootmarkering"/>
          <w:lang w:val="nl-NL"/>
        </w:rPr>
        <w:footnoteReference w:id="10"/>
      </w:r>
    </w:p>
    <w:p w:rsidR="001C7278" w:rsidP="001C7278" w:rsidRDefault="001C7278" w14:paraId="6676DDAD" w14:textId="77777777">
      <w:pPr>
        <w:spacing w:after="0" w:line="276" w:lineRule="auto"/>
        <w:rPr>
          <w:szCs w:val="18"/>
          <w:lang w:val="nl-NL"/>
        </w:rPr>
      </w:pPr>
    </w:p>
    <w:p w:rsidR="001C7278" w:rsidP="001C7278" w:rsidRDefault="008E7291" w14:paraId="567BA6CA" w14:textId="77777777">
      <w:pPr>
        <w:spacing w:after="0" w:line="276" w:lineRule="auto"/>
        <w:rPr>
          <w:szCs w:val="18"/>
          <w:lang w:val="nl-NL"/>
        </w:rPr>
      </w:pPr>
      <w:r w:rsidRPr="00C4305D">
        <w:rPr>
          <w:szCs w:val="18"/>
          <w:lang w:val="nl-NL"/>
        </w:rPr>
        <w:t>In de Ecofinraad gaf Nederland</w:t>
      </w:r>
      <w:r w:rsidR="00307B07">
        <w:rPr>
          <w:szCs w:val="18"/>
          <w:lang w:val="nl-NL"/>
        </w:rPr>
        <w:t xml:space="preserve"> aan</w:t>
      </w:r>
      <w:r w:rsidRPr="00C4305D">
        <w:rPr>
          <w:szCs w:val="18"/>
          <w:lang w:val="nl-NL"/>
        </w:rPr>
        <w:t>, net als een aantal andere lidstaten, dat de rol van publieke schuld in de MEOP behouden</w:t>
      </w:r>
      <w:r w:rsidR="00307B07">
        <w:rPr>
          <w:szCs w:val="18"/>
          <w:lang w:val="nl-NL"/>
        </w:rPr>
        <w:t xml:space="preserve"> moet blijven</w:t>
      </w:r>
      <w:r w:rsidRPr="00C4305D">
        <w:rPr>
          <w:szCs w:val="18"/>
          <w:lang w:val="nl-NL"/>
        </w:rPr>
        <w:t xml:space="preserve"> en dat de monitoring van publieke schulden in zowel de MEOP als het SGP plaats dient te vinden. </w:t>
      </w:r>
      <w:r w:rsidR="001C7278">
        <w:rPr>
          <w:szCs w:val="18"/>
          <w:lang w:val="nl-NL"/>
        </w:rPr>
        <w:t xml:space="preserve">De Commissie gaf aan dat als de risico’s voornamelijk op het begrotingsbeleid toezien, het SGP het belangrijkste instrument is voor monitoring van deze risico’s, maar indien de risico’s bredere macro-economische elementen bevatten, de MEOP een belangrijke aanvulling op het SGP blijft. </w:t>
      </w:r>
      <w:r w:rsidRPr="00C4305D" w:rsidR="001C7278">
        <w:rPr>
          <w:szCs w:val="18"/>
          <w:lang w:val="nl-NL"/>
        </w:rPr>
        <w:t>De Ecofinraad nam Raadsconclusies aan over de MEOP.</w:t>
      </w:r>
      <w:r w:rsidRPr="00C4305D" w:rsidR="001C7278">
        <w:rPr>
          <w:rStyle w:val="Voetnootmarkering"/>
          <w:szCs w:val="18"/>
          <w:lang w:val="nl-NL"/>
        </w:rPr>
        <w:footnoteReference w:id="11"/>
      </w:r>
      <w:r w:rsidR="001C7278">
        <w:rPr>
          <w:szCs w:val="18"/>
          <w:lang w:val="nl-NL"/>
        </w:rPr>
        <w:t xml:space="preserve"> </w:t>
      </w:r>
    </w:p>
    <w:p w:rsidR="001C7278" w:rsidP="001C7278" w:rsidRDefault="001C7278" w14:paraId="6EABCAF5" w14:textId="77777777">
      <w:pPr>
        <w:spacing w:after="0" w:line="276" w:lineRule="auto"/>
        <w:rPr>
          <w:szCs w:val="18"/>
          <w:lang w:val="nl-NL"/>
        </w:rPr>
      </w:pPr>
    </w:p>
    <w:p w:rsidRPr="00C4305D" w:rsidR="001C7278" w:rsidP="001C7278" w:rsidRDefault="001C7278" w14:paraId="2EF61C72" w14:textId="6BBE9760">
      <w:pPr>
        <w:spacing w:after="0" w:line="276" w:lineRule="auto"/>
        <w:rPr>
          <w:szCs w:val="18"/>
          <w:lang w:val="nl-NL"/>
        </w:rPr>
      </w:pPr>
      <w:r>
        <w:rPr>
          <w:szCs w:val="18"/>
          <w:lang w:val="nl-NL"/>
        </w:rPr>
        <w:t xml:space="preserve">De </w:t>
      </w:r>
      <w:proofErr w:type="spellStart"/>
      <w:r w:rsidR="00601FAF">
        <w:rPr>
          <w:szCs w:val="18"/>
          <w:lang w:val="nl-NL"/>
        </w:rPr>
        <w:t>LSA’s</w:t>
      </w:r>
      <w:proofErr w:type="spellEnd"/>
      <w:r w:rsidRPr="00497208">
        <w:rPr>
          <w:szCs w:val="18"/>
          <w:lang w:val="nl-NL"/>
        </w:rPr>
        <w:t xml:space="preserve"> aanbevelingen </w:t>
      </w:r>
      <w:r>
        <w:rPr>
          <w:szCs w:val="18"/>
          <w:lang w:val="nl-NL"/>
        </w:rPr>
        <w:t xml:space="preserve">zullen nog </w:t>
      </w:r>
      <w:r w:rsidRPr="00497208">
        <w:rPr>
          <w:szCs w:val="18"/>
          <w:lang w:val="nl-NL"/>
        </w:rPr>
        <w:t xml:space="preserve">worden besproken tijdens de Europese Raad in oktober. De aanbevelingen zullen vervolgens worden aangenomen tijdens de eerstvolgende </w:t>
      </w:r>
      <w:r>
        <w:rPr>
          <w:szCs w:val="18"/>
          <w:lang w:val="nl-NL"/>
        </w:rPr>
        <w:t xml:space="preserve">Raad </w:t>
      </w:r>
      <w:r w:rsidRPr="00497208">
        <w:rPr>
          <w:szCs w:val="18"/>
          <w:lang w:val="nl-NL"/>
        </w:rPr>
        <w:t>na d</w:t>
      </w:r>
      <w:r>
        <w:rPr>
          <w:szCs w:val="18"/>
          <w:lang w:val="nl-NL"/>
        </w:rPr>
        <w:t>eze</w:t>
      </w:r>
      <w:r w:rsidRPr="00497208">
        <w:rPr>
          <w:szCs w:val="18"/>
          <w:lang w:val="nl-NL"/>
        </w:rPr>
        <w:t xml:space="preserve"> bespreking.</w:t>
      </w:r>
    </w:p>
    <w:p w:rsidRPr="00C4305D" w:rsidR="007F2F4B" w:rsidP="00C4305D" w:rsidRDefault="007F2F4B" w14:paraId="147264B0" w14:textId="77777777">
      <w:pPr>
        <w:spacing w:after="0" w:line="276" w:lineRule="auto"/>
        <w:rPr>
          <w:szCs w:val="18"/>
          <w:lang w:val="nl-NL"/>
        </w:rPr>
      </w:pPr>
    </w:p>
    <w:p w:rsidRPr="00C4305D" w:rsidR="003907CF" w:rsidP="00C4305D" w:rsidRDefault="003907CF" w14:paraId="036F4F88" w14:textId="30EEC707">
      <w:pPr>
        <w:spacing w:after="0" w:line="276" w:lineRule="auto"/>
        <w:rPr>
          <w:b/>
          <w:bCs/>
          <w:szCs w:val="18"/>
          <w:lang w:val="nl-NL"/>
        </w:rPr>
      </w:pPr>
      <w:r w:rsidRPr="00C4305D">
        <w:rPr>
          <w:b/>
          <w:bCs/>
          <w:szCs w:val="18"/>
          <w:lang w:val="nl-NL"/>
        </w:rPr>
        <w:t>Implementatie van het Stabiliteits- en Groeipact</w:t>
      </w:r>
      <w:r w:rsidR="006D71CE">
        <w:rPr>
          <w:b/>
          <w:bCs/>
          <w:szCs w:val="18"/>
          <w:lang w:val="nl-NL"/>
        </w:rPr>
        <w:t xml:space="preserve"> (SGP)</w:t>
      </w:r>
    </w:p>
    <w:p w:rsidRPr="00C4305D" w:rsidR="009920C2" w:rsidP="00C4305D" w:rsidRDefault="001E56D1" w14:paraId="7ACDF440" w14:textId="58D2A3D7">
      <w:pPr>
        <w:spacing w:after="0" w:line="276" w:lineRule="auto"/>
        <w:rPr>
          <w:szCs w:val="18"/>
          <w:lang w:val="nl-NL"/>
        </w:rPr>
      </w:pPr>
      <w:r w:rsidRPr="00C4305D">
        <w:rPr>
          <w:szCs w:val="18"/>
          <w:lang w:val="nl-NL"/>
        </w:rPr>
        <w:t>De Commissie stelde naar aanleiding van haar onderzoek naar de aanwezigheid van buitensporige tekorten</w:t>
      </w:r>
      <w:r w:rsidR="00307B07">
        <w:rPr>
          <w:szCs w:val="18"/>
          <w:lang w:val="nl-NL"/>
        </w:rPr>
        <w:t>,</w:t>
      </w:r>
      <w:r w:rsidRPr="00C4305D">
        <w:rPr>
          <w:szCs w:val="18"/>
          <w:lang w:val="nl-NL"/>
        </w:rPr>
        <w:t xml:space="preserve"> op basis van de gerealiseerde cijfers voor het begrotingstekort in 2023 en de verwachte cijfers voor het begrotingstekort in 2024 en 2025, voor om buitensporige tekorten vast te stellen voor België, Frankrijk, Italië, Hongarije, Malta, Polen en Slowakije. De </w:t>
      </w:r>
      <w:r w:rsidR="00A0218E">
        <w:rPr>
          <w:szCs w:val="18"/>
          <w:lang w:val="nl-NL"/>
        </w:rPr>
        <w:t>Raad</w:t>
      </w:r>
      <w:r w:rsidRPr="00C4305D">
        <w:rPr>
          <w:szCs w:val="18"/>
          <w:lang w:val="nl-NL"/>
        </w:rPr>
        <w:t xml:space="preserve"> volgde het voorstel van de Commissie en </w:t>
      </w:r>
      <w:r w:rsidR="00307B07">
        <w:rPr>
          <w:szCs w:val="18"/>
          <w:lang w:val="nl-NL"/>
        </w:rPr>
        <w:t>stemde in met de voorstellen voor</w:t>
      </w:r>
      <w:r w:rsidRPr="00C4305D">
        <w:rPr>
          <w:szCs w:val="18"/>
          <w:lang w:val="nl-NL"/>
        </w:rPr>
        <w:t xml:space="preserve"> het vaststellen van buitensporige tekorten voor genoemde lidstaten. Daarnaast besloot de Ecofinraad dat Roemenië, waarvoor de Raad in april 2020 </w:t>
      </w:r>
      <w:proofErr w:type="gramStart"/>
      <w:r w:rsidRPr="00C4305D">
        <w:rPr>
          <w:szCs w:val="18"/>
          <w:lang w:val="nl-NL"/>
        </w:rPr>
        <w:t>reeds</w:t>
      </w:r>
      <w:proofErr w:type="gramEnd"/>
      <w:r w:rsidRPr="00C4305D">
        <w:rPr>
          <w:szCs w:val="18"/>
          <w:lang w:val="nl-NL"/>
        </w:rPr>
        <w:t xml:space="preserve"> vaststelde dat sprake is van een buitensporig tekort en aanbevelingen deed voor de correctie daarvan, geen effectieve opvolging heeft gegeven aan aanbevelingen van de Raad om het buitensporig tekort te corrigeren. Formele aanname van de besluiten vond plaats tijdens de vergadering van </w:t>
      </w:r>
      <w:proofErr w:type="spellStart"/>
      <w:r w:rsidRPr="00C4305D">
        <w:rPr>
          <w:szCs w:val="18"/>
          <w:lang w:val="nl-NL"/>
        </w:rPr>
        <w:t>Coreper</w:t>
      </w:r>
      <w:proofErr w:type="spellEnd"/>
      <w:r w:rsidRPr="00C4305D">
        <w:rPr>
          <w:szCs w:val="18"/>
          <w:lang w:val="nl-NL"/>
        </w:rPr>
        <w:t xml:space="preserve"> (Comité van Permanente Vertegenwoordiger; </w:t>
      </w:r>
      <w:r w:rsidRPr="00307B07">
        <w:rPr>
          <w:i/>
          <w:iCs/>
          <w:szCs w:val="18"/>
          <w:lang w:val="nl-NL"/>
        </w:rPr>
        <w:t xml:space="preserve">Comité des </w:t>
      </w:r>
      <w:proofErr w:type="spellStart"/>
      <w:r w:rsidRPr="00307B07">
        <w:rPr>
          <w:i/>
          <w:iCs/>
          <w:szCs w:val="18"/>
          <w:lang w:val="nl-NL"/>
        </w:rPr>
        <w:t>représentants</w:t>
      </w:r>
      <w:proofErr w:type="spellEnd"/>
      <w:r w:rsidRPr="00307B07">
        <w:rPr>
          <w:i/>
          <w:iCs/>
          <w:szCs w:val="18"/>
          <w:lang w:val="nl-NL"/>
        </w:rPr>
        <w:t xml:space="preserve"> </w:t>
      </w:r>
      <w:proofErr w:type="spellStart"/>
      <w:r w:rsidRPr="00307B07">
        <w:rPr>
          <w:i/>
          <w:iCs/>
          <w:szCs w:val="18"/>
          <w:lang w:val="nl-NL"/>
        </w:rPr>
        <w:t>permanents</w:t>
      </w:r>
      <w:proofErr w:type="spellEnd"/>
      <w:r w:rsidRPr="00C4305D">
        <w:rPr>
          <w:szCs w:val="18"/>
          <w:lang w:val="nl-NL"/>
        </w:rPr>
        <w:t xml:space="preserve">) op 24 juli jl. </w:t>
      </w:r>
    </w:p>
    <w:p w:rsidRPr="00C4305D" w:rsidR="009920C2" w:rsidP="00C4305D" w:rsidRDefault="009920C2" w14:paraId="50B84CEB" w14:textId="77777777">
      <w:pPr>
        <w:spacing w:after="0" w:line="276" w:lineRule="auto"/>
        <w:rPr>
          <w:szCs w:val="18"/>
          <w:lang w:val="nl-NL"/>
        </w:rPr>
      </w:pPr>
    </w:p>
    <w:p w:rsidRPr="00C4305D" w:rsidR="009920C2" w:rsidP="00C4305D" w:rsidRDefault="009920C2" w14:paraId="4E4FB478" w14:textId="129BB3A9">
      <w:pPr>
        <w:spacing w:after="0" w:line="276" w:lineRule="auto"/>
        <w:rPr>
          <w:szCs w:val="18"/>
          <w:lang w:val="nl-NL"/>
        </w:rPr>
      </w:pPr>
      <w:r w:rsidRPr="006D71CE">
        <w:rPr>
          <w:szCs w:val="18"/>
          <w:lang w:val="nl-NL"/>
        </w:rPr>
        <w:t xml:space="preserve">Tijdens de gedachtewisseling in de Ecofinraad </w:t>
      </w:r>
      <w:r w:rsidRPr="006D71CE" w:rsidR="001C4E01">
        <w:rPr>
          <w:szCs w:val="18"/>
          <w:lang w:val="nl-NL"/>
        </w:rPr>
        <w:t xml:space="preserve">sprak Nederland dank uit aan de Commissie voor het gedane onderzoek en de voorstellen voor vaststelling van buitensporige tekorten. Nederland </w:t>
      </w:r>
      <w:r w:rsidR="006D71CE">
        <w:rPr>
          <w:szCs w:val="18"/>
          <w:lang w:val="nl-NL"/>
        </w:rPr>
        <w:t>gaf daarnaast aan</w:t>
      </w:r>
      <w:r w:rsidRPr="006D71CE">
        <w:rPr>
          <w:szCs w:val="18"/>
          <w:lang w:val="nl-NL"/>
        </w:rPr>
        <w:t xml:space="preserve"> de</w:t>
      </w:r>
      <w:r w:rsidRPr="006D71CE" w:rsidR="001C4E01">
        <w:rPr>
          <w:szCs w:val="18"/>
          <w:lang w:val="nl-NL"/>
        </w:rPr>
        <w:t xml:space="preserve"> voorgenomen</w:t>
      </w:r>
      <w:r w:rsidRPr="006D71CE">
        <w:rPr>
          <w:szCs w:val="18"/>
          <w:lang w:val="nl-NL"/>
        </w:rPr>
        <w:t xml:space="preserve"> besluiten </w:t>
      </w:r>
      <w:r w:rsidRPr="006D71CE" w:rsidR="001C4E01">
        <w:rPr>
          <w:szCs w:val="18"/>
          <w:lang w:val="nl-NL"/>
        </w:rPr>
        <w:t xml:space="preserve">tot </w:t>
      </w:r>
      <w:r w:rsidRPr="006D71CE" w:rsidR="00A0218E">
        <w:rPr>
          <w:szCs w:val="18"/>
          <w:lang w:val="nl-NL"/>
        </w:rPr>
        <w:t xml:space="preserve">vaststelling van </w:t>
      </w:r>
      <w:r w:rsidRPr="006D71CE" w:rsidR="001C4E01">
        <w:rPr>
          <w:szCs w:val="18"/>
          <w:lang w:val="nl-NL"/>
        </w:rPr>
        <w:t xml:space="preserve">buitensporige tekorten </w:t>
      </w:r>
      <w:r w:rsidR="006D71CE">
        <w:rPr>
          <w:szCs w:val="18"/>
          <w:lang w:val="nl-NL"/>
        </w:rPr>
        <w:t>belangrijk</w:t>
      </w:r>
      <w:r w:rsidRPr="006D71CE" w:rsidR="001C4E01">
        <w:rPr>
          <w:szCs w:val="18"/>
          <w:lang w:val="nl-NL"/>
        </w:rPr>
        <w:t xml:space="preserve"> te vinden </w:t>
      </w:r>
      <w:r w:rsidRPr="006D71CE">
        <w:rPr>
          <w:szCs w:val="18"/>
          <w:lang w:val="nl-NL"/>
        </w:rPr>
        <w:t xml:space="preserve">voor </w:t>
      </w:r>
      <w:r w:rsidRPr="006D71CE" w:rsidR="001C4E01">
        <w:rPr>
          <w:szCs w:val="18"/>
          <w:lang w:val="nl-NL"/>
        </w:rPr>
        <w:t xml:space="preserve">de </w:t>
      </w:r>
      <w:r w:rsidRPr="006D71CE">
        <w:rPr>
          <w:szCs w:val="18"/>
          <w:lang w:val="nl-NL"/>
        </w:rPr>
        <w:t xml:space="preserve">geloofwaardigheid en </w:t>
      </w:r>
      <w:r w:rsidRPr="006D71CE" w:rsidR="006D71CE">
        <w:rPr>
          <w:szCs w:val="18"/>
          <w:lang w:val="nl-NL"/>
        </w:rPr>
        <w:t>effectiv</w:t>
      </w:r>
      <w:r w:rsidR="006D71CE">
        <w:rPr>
          <w:szCs w:val="18"/>
          <w:lang w:val="nl-NL"/>
        </w:rPr>
        <w:t xml:space="preserve">iteit </w:t>
      </w:r>
      <w:r w:rsidRPr="006D71CE">
        <w:rPr>
          <w:szCs w:val="18"/>
          <w:lang w:val="nl-NL"/>
        </w:rPr>
        <w:t xml:space="preserve">van het SGP. </w:t>
      </w:r>
      <w:r w:rsidRPr="006D71CE" w:rsidR="001C4E01">
        <w:rPr>
          <w:szCs w:val="18"/>
          <w:lang w:val="nl-NL"/>
        </w:rPr>
        <w:t xml:space="preserve">Daarbij wees Nederland ook op </w:t>
      </w:r>
      <w:r w:rsidRPr="006D71CE">
        <w:rPr>
          <w:szCs w:val="18"/>
          <w:lang w:val="nl-NL"/>
        </w:rPr>
        <w:t>de noodzaak van een ambitieuze correctie van deze buitensporige tekorten</w:t>
      </w:r>
      <w:r w:rsidRPr="006D71CE" w:rsidR="001C4E01">
        <w:rPr>
          <w:szCs w:val="18"/>
          <w:lang w:val="nl-NL"/>
        </w:rPr>
        <w:t xml:space="preserve">. </w:t>
      </w:r>
      <w:r w:rsidRPr="006D71CE" w:rsidR="00B1510B">
        <w:rPr>
          <w:szCs w:val="18"/>
          <w:lang w:val="nl-NL"/>
        </w:rPr>
        <w:t xml:space="preserve">Een aantal lidstaten, waaronder Nederland, deed tot </w:t>
      </w:r>
      <w:r w:rsidRPr="006D71CE" w:rsidR="001C4E01">
        <w:rPr>
          <w:szCs w:val="18"/>
          <w:lang w:val="nl-NL"/>
        </w:rPr>
        <w:t>slot een</w:t>
      </w:r>
      <w:r w:rsidRPr="006D71CE">
        <w:rPr>
          <w:szCs w:val="18"/>
          <w:lang w:val="nl-NL"/>
        </w:rPr>
        <w:t xml:space="preserve"> beroep op de Commissie </w:t>
      </w:r>
      <w:proofErr w:type="gramStart"/>
      <w:r w:rsidRPr="006D71CE">
        <w:rPr>
          <w:szCs w:val="18"/>
          <w:lang w:val="nl-NL"/>
        </w:rPr>
        <w:t>inzake</w:t>
      </w:r>
      <w:proofErr w:type="gramEnd"/>
      <w:r w:rsidRPr="006D71CE">
        <w:rPr>
          <w:szCs w:val="18"/>
          <w:lang w:val="nl-NL"/>
        </w:rPr>
        <w:t xml:space="preserve"> het belang van op regels gebaseerde naleving</w:t>
      </w:r>
      <w:r w:rsidRPr="006D71CE" w:rsidR="001C4E01">
        <w:rPr>
          <w:szCs w:val="18"/>
          <w:lang w:val="nl-NL"/>
        </w:rPr>
        <w:t xml:space="preserve"> en handhaving van het</w:t>
      </w:r>
      <w:r w:rsidR="006D71CE">
        <w:rPr>
          <w:szCs w:val="18"/>
          <w:lang w:val="nl-NL"/>
        </w:rPr>
        <w:t xml:space="preserve"> </w:t>
      </w:r>
      <w:r w:rsidRPr="006D71CE" w:rsidR="001C4E01">
        <w:rPr>
          <w:szCs w:val="18"/>
          <w:lang w:val="nl-NL"/>
        </w:rPr>
        <w:t>SGP.</w:t>
      </w:r>
      <w:r w:rsidRPr="00C4305D" w:rsidR="001C4E01">
        <w:rPr>
          <w:szCs w:val="18"/>
          <w:lang w:val="nl-NL"/>
        </w:rPr>
        <w:t xml:space="preserve"> </w:t>
      </w:r>
    </w:p>
    <w:p w:rsidRPr="00C4305D" w:rsidR="009920C2" w:rsidP="00C4305D" w:rsidRDefault="009920C2" w14:paraId="01305D6C" w14:textId="77777777">
      <w:pPr>
        <w:spacing w:after="0" w:line="276" w:lineRule="auto"/>
        <w:rPr>
          <w:szCs w:val="18"/>
          <w:lang w:val="nl-NL"/>
        </w:rPr>
      </w:pPr>
    </w:p>
    <w:p w:rsidRPr="00C4305D" w:rsidR="003907CF" w:rsidP="00C4305D" w:rsidRDefault="006D71CE" w14:paraId="2905C207" w14:textId="2CB0EC52">
      <w:pPr>
        <w:spacing w:after="0" w:line="276" w:lineRule="auto"/>
        <w:rPr>
          <w:b/>
          <w:bCs/>
          <w:szCs w:val="18"/>
          <w:lang w:val="nl-NL"/>
        </w:rPr>
      </w:pPr>
      <w:r>
        <w:rPr>
          <w:szCs w:val="18"/>
          <w:lang w:val="nl-NL"/>
        </w:rPr>
        <w:t>In</w:t>
      </w:r>
      <w:r w:rsidRPr="00C4305D" w:rsidR="001E56D1">
        <w:rPr>
          <w:szCs w:val="18"/>
          <w:lang w:val="nl-NL"/>
        </w:rPr>
        <w:t xml:space="preserve"> het najaar zal de Raad besluiten over aanbevelingen van de Commissie aan de Raad voor de correctie van de buitensporige tekorten.</w:t>
      </w:r>
    </w:p>
    <w:p w:rsidRPr="00C4305D" w:rsidR="001E56D1" w:rsidP="00C4305D" w:rsidRDefault="001E56D1" w14:paraId="18491CB0" w14:textId="77777777">
      <w:pPr>
        <w:spacing w:after="0" w:line="276" w:lineRule="auto"/>
        <w:rPr>
          <w:b/>
          <w:bCs/>
          <w:szCs w:val="18"/>
          <w:lang w:val="nl-NL"/>
        </w:rPr>
      </w:pPr>
    </w:p>
    <w:p w:rsidRPr="00C4305D" w:rsidR="003907CF" w:rsidP="00C4305D" w:rsidRDefault="003907CF" w14:paraId="2FBB676D" w14:textId="760641B2">
      <w:pPr>
        <w:spacing w:after="0" w:line="276" w:lineRule="auto"/>
        <w:rPr>
          <w:b/>
          <w:bCs/>
          <w:szCs w:val="18"/>
          <w:lang w:val="nl-NL"/>
        </w:rPr>
      </w:pPr>
      <w:r w:rsidRPr="00C4305D">
        <w:rPr>
          <w:b/>
          <w:bCs/>
          <w:szCs w:val="18"/>
          <w:lang w:val="nl-NL"/>
        </w:rPr>
        <w:t>Convergentierapporten van de Commissie en de Europese Centrale Bank</w:t>
      </w:r>
    </w:p>
    <w:p w:rsidRPr="00232BF7" w:rsidR="003D6D2C" w:rsidP="003D6D2C" w:rsidRDefault="003D6D2C" w14:paraId="2FA49BC3" w14:textId="673A8DF1">
      <w:pPr>
        <w:spacing w:after="0" w:line="276" w:lineRule="auto"/>
        <w:rPr>
          <w:szCs w:val="18"/>
          <w:lang w:val="nl-NL"/>
        </w:rPr>
      </w:pPr>
      <w:r w:rsidRPr="00C4305D">
        <w:rPr>
          <w:szCs w:val="18"/>
          <w:lang w:val="nl-NL"/>
        </w:rPr>
        <w:t xml:space="preserve">De Ecofinraad besprak de </w:t>
      </w:r>
      <w:r w:rsidRPr="00703601">
        <w:rPr>
          <w:szCs w:val="18"/>
          <w:lang w:val="nl-NL"/>
        </w:rPr>
        <w:t>convergentierapporten</w:t>
      </w:r>
      <w:r w:rsidRPr="00C4305D">
        <w:rPr>
          <w:szCs w:val="18"/>
          <w:lang w:val="nl-NL"/>
        </w:rPr>
        <w:t xml:space="preserve"> van de Commissie en de ECB die 26 juni jl. zijn gepubliceerd.</w:t>
      </w:r>
      <w:r w:rsidRPr="00C4305D">
        <w:rPr>
          <w:rStyle w:val="Voetnootmarkering"/>
          <w:szCs w:val="18"/>
          <w:lang w:val="nl-NL"/>
        </w:rPr>
        <w:footnoteReference w:id="12"/>
      </w:r>
      <w:r w:rsidRPr="00C4305D">
        <w:rPr>
          <w:szCs w:val="18"/>
          <w:lang w:val="nl-NL"/>
        </w:rPr>
        <w:t xml:space="preserve"> Daartoe gaven de Commissie en ECB een toelichting in lijn met de toelichting </w:t>
      </w:r>
      <w:r w:rsidR="006D71CE">
        <w:rPr>
          <w:szCs w:val="18"/>
          <w:lang w:val="nl-NL"/>
        </w:rPr>
        <w:t xml:space="preserve">in </w:t>
      </w:r>
      <w:r w:rsidRPr="00C4305D">
        <w:rPr>
          <w:szCs w:val="18"/>
          <w:lang w:val="nl-NL"/>
        </w:rPr>
        <w:t>de geannoteerde agenda voor deze Ecofinraad.</w:t>
      </w:r>
      <w:r w:rsidRPr="00C4305D">
        <w:rPr>
          <w:rStyle w:val="Voetnootmarkering"/>
          <w:szCs w:val="18"/>
          <w:lang w:val="nl-NL"/>
        </w:rPr>
        <w:footnoteReference w:id="13"/>
      </w:r>
      <w:r w:rsidRPr="00C4305D">
        <w:rPr>
          <w:szCs w:val="18"/>
          <w:lang w:val="nl-NL"/>
        </w:rPr>
        <w:t xml:space="preserve"> </w:t>
      </w:r>
      <w:r>
        <w:rPr>
          <w:rFonts w:eastAsia="Calibri"/>
          <w:szCs w:val="18"/>
          <w:lang w:val="nl-NL"/>
        </w:rPr>
        <w:t xml:space="preserve">De Commissie lichtte toe dat Bulgarije momenteel aan drie van de vier formele toetredingscriteria voldoet. Aan het </w:t>
      </w:r>
      <w:r w:rsidRPr="00232BF7">
        <w:rPr>
          <w:lang w:val="nl-NL"/>
        </w:rPr>
        <w:t xml:space="preserve">prijsstabiliteitscriterium </w:t>
      </w:r>
      <w:r>
        <w:rPr>
          <w:lang w:val="nl-NL"/>
        </w:rPr>
        <w:t xml:space="preserve">wordt nog </w:t>
      </w:r>
      <w:r>
        <w:rPr>
          <w:lang w:val="nl-NL"/>
        </w:rPr>
        <w:lastRenderedPageBreak/>
        <w:t xml:space="preserve">niet voldaan </w:t>
      </w:r>
      <w:r w:rsidRPr="00232BF7">
        <w:rPr>
          <w:lang w:val="nl-NL"/>
        </w:rPr>
        <w:t xml:space="preserve">aangezien </w:t>
      </w:r>
      <w:r>
        <w:rPr>
          <w:lang w:val="nl-NL"/>
        </w:rPr>
        <w:t>de</w:t>
      </w:r>
      <w:r w:rsidRPr="00232BF7">
        <w:rPr>
          <w:lang w:val="nl-NL"/>
        </w:rPr>
        <w:t xml:space="preserve"> inflatie te hoog is.</w:t>
      </w:r>
      <w:r>
        <w:rPr>
          <w:lang w:val="nl-NL"/>
        </w:rPr>
        <w:t xml:space="preserve"> Daarnaast heeft Bulgarije ook nog stappen te zetten voor de omvorming van staatsdeelnemingen, als onderdeel van de </w:t>
      </w:r>
      <w:r>
        <w:rPr>
          <w:i/>
          <w:iCs/>
          <w:lang w:val="nl-NL"/>
        </w:rPr>
        <w:t>post-entry</w:t>
      </w:r>
      <w:r>
        <w:rPr>
          <w:lang w:val="nl-NL"/>
        </w:rPr>
        <w:t xml:space="preserve"> toezeggingen die zijn gedaan bij toetreding tot ERM-II.</w:t>
      </w:r>
      <w:r w:rsidRPr="00232BF7">
        <w:rPr>
          <w:lang w:val="nl-NL"/>
        </w:rPr>
        <w:t xml:space="preserve"> </w:t>
      </w:r>
      <w:r w:rsidRPr="00C4305D">
        <w:rPr>
          <w:szCs w:val="18"/>
          <w:lang w:val="nl-NL"/>
        </w:rPr>
        <w:t>De Commissie legde</w:t>
      </w:r>
      <w:r>
        <w:rPr>
          <w:szCs w:val="18"/>
          <w:lang w:val="nl-NL"/>
        </w:rPr>
        <w:t xml:space="preserve"> daarnaast</w:t>
      </w:r>
      <w:r w:rsidRPr="00C4305D">
        <w:rPr>
          <w:szCs w:val="18"/>
          <w:lang w:val="nl-NL"/>
        </w:rPr>
        <w:t xml:space="preserve"> nadruk op het feit dat het streven is dat uiteindelijk alle EU-lidstaten </w:t>
      </w:r>
      <w:r>
        <w:rPr>
          <w:szCs w:val="18"/>
          <w:lang w:val="nl-NL"/>
        </w:rPr>
        <w:t xml:space="preserve">(met uitzondering van Denemarken, dat geen verplichting heeft) </w:t>
      </w:r>
      <w:r w:rsidRPr="00C4305D">
        <w:rPr>
          <w:szCs w:val="18"/>
          <w:lang w:val="nl-NL"/>
        </w:rPr>
        <w:t xml:space="preserve">overgaan tot invoering van de euro. Een sterkere en grotere eurozone zal bijdragen aan de economische soevereiniteit van de EU, aldus de Commissie. </w:t>
      </w:r>
      <w:r>
        <w:rPr>
          <w:szCs w:val="18"/>
          <w:lang w:val="nl-NL"/>
        </w:rPr>
        <w:t xml:space="preserve">Op </w:t>
      </w:r>
      <w:r w:rsidRPr="00C4305D">
        <w:rPr>
          <w:szCs w:val="18"/>
          <w:lang w:val="nl-NL"/>
        </w:rPr>
        <w:t>dit moment</w:t>
      </w:r>
      <w:r>
        <w:rPr>
          <w:szCs w:val="18"/>
          <w:lang w:val="nl-NL"/>
        </w:rPr>
        <w:t>, zo bleek uit de convergentierapporten, voldoet echter nog</w:t>
      </w:r>
      <w:r w:rsidRPr="00C4305D">
        <w:rPr>
          <w:szCs w:val="18"/>
          <w:lang w:val="nl-NL"/>
        </w:rPr>
        <w:t xml:space="preserve"> geen van de </w:t>
      </w:r>
      <w:r>
        <w:rPr>
          <w:szCs w:val="18"/>
          <w:lang w:val="nl-NL"/>
        </w:rPr>
        <w:t>zes</w:t>
      </w:r>
      <w:r w:rsidRPr="00C4305D">
        <w:rPr>
          <w:szCs w:val="18"/>
          <w:lang w:val="nl-NL"/>
        </w:rPr>
        <w:t xml:space="preserve"> lidstaten die geen onderdeel zijn van de eurozone (Bulgarije, Tsjechië, Hongarije, Polen, Roemenië en Zweden) volledig aan de voorwaarden voor toetreding tot de eurozone.</w:t>
      </w:r>
      <w:r>
        <w:rPr>
          <w:szCs w:val="18"/>
          <w:lang w:val="nl-NL"/>
        </w:rPr>
        <w:t xml:space="preserve"> Een lidstaat die de euro nog niet heeft ingevoerd, benadrukte dat </w:t>
      </w:r>
      <w:r>
        <w:rPr>
          <w:i/>
          <w:iCs/>
          <w:szCs w:val="18"/>
          <w:lang w:val="nl-NL"/>
        </w:rPr>
        <w:t>post-entry</w:t>
      </w:r>
      <w:r>
        <w:rPr>
          <w:szCs w:val="18"/>
          <w:lang w:val="nl-NL"/>
        </w:rPr>
        <w:t xml:space="preserve"> toezeggingen, in het bijzonder toetreding tot de bankenunie, geen verplichting mogen vormen voor andere lidstaten die in de toekomst </w:t>
      </w:r>
      <w:r w:rsidR="006D71CE">
        <w:rPr>
          <w:szCs w:val="18"/>
          <w:lang w:val="nl-NL"/>
        </w:rPr>
        <w:t xml:space="preserve">mogelijk </w:t>
      </w:r>
      <w:r>
        <w:rPr>
          <w:szCs w:val="18"/>
          <w:lang w:val="nl-NL"/>
        </w:rPr>
        <w:t xml:space="preserve">de euro willen invoeren. </w:t>
      </w:r>
    </w:p>
    <w:p w:rsidRPr="00C4305D" w:rsidR="003D6D2C" w:rsidP="00C4305D" w:rsidRDefault="003D6D2C" w14:paraId="0C8A1FCF" w14:textId="77777777">
      <w:pPr>
        <w:spacing w:after="0" w:line="276" w:lineRule="auto"/>
        <w:rPr>
          <w:b/>
          <w:bCs/>
          <w:szCs w:val="18"/>
          <w:lang w:val="nl-NL"/>
        </w:rPr>
      </w:pPr>
    </w:p>
    <w:p w:rsidRPr="00C4305D" w:rsidR="003907CF" w:rsidP="00C4305D" w:rsidRDefault="003907CF" w14:paraId="4EA1F448" w14:textId="4F5072EC">
      <w:pPr>
        <w:spacing w:after="0" w:line="276" w:lineRule="auto"/>
        <w:rPr>
          <w:b/>
          <w:bCs/>
          <w:szCs w:val="18"/>
          <w:lang w:val="nl-NL"/>
        </w:rPr>
      </w:pPr>
      <w:r w:rsidRPr="00C4305D">
        <w:rPr>
          <w:b/>
          <w:bCs/>
          <w:szCs w:val="18"/>
          <w:lang w:val="nl-NL"/>
        </w:rPr>
        <w:t>Voorbereiding van de bijeenkomst van de ministers van Financiën en de presidenten van de centrale banken van de G20: EU-mandaat voor de G20</w:t>
      </w:r>
    </w:p>
    <w:p w:rsidRPr="00C4305D" w:rsidR="003907CF" w:rsidP="00C4305D" w:rsidRDefault="003907CF" w14:paraId="6643A8CC" w14:textId="690426E3">
      <w:pPr>
        <w:spacing w:after="0" w:line="276" w:lineRule="auto"/>
        <w:rPr>
          <w:szCs w:val="18"/>
          <w:lang w:val="nl-NL"/>
        </w:rPr>
      </w:pPr>
      <w:r w:rsidRPr="00C4305D">
        <w:rPr>
          <w:szCs w:val="18"/>
          <w:lang w:val="nl-NL"/>
        </w:rPr>
        <w:t xml:space="preserve">De Ecofinraad bepaalde de inzet van de EU bij de bijeenkomst van ministers van Financiën en presidenten van centrale banken van de G20 die 25 en 26 juli </w:t>
      </w:r>
      <w:r w:rsidR="006D71CE">
        <w:rPr>
          <w:szCs w:val="18"/>
          <w:lang w:val="nl-NL"/>
        </w:rPr>
        <w:t xml:space="preserve">jl. </w:t>
      </w:r>
      <w:r w:rsidR="00307B07">
        <w:rPr>
          <w:szCs w:val="18"/>
          <w:lang w:val="nl-NL"/>
        </w:rPr>
        <w:t>plaatsvond</w:t>
      </w:r>
      <w:r w:rsidRPr="00C4305D">
        <w:rPr>
          <w:szCs w:val="18"/>
          <w:lang w:val="nl-NL"/>
        </w:rPr>
        <w:t xml:space="preserve"> in Brazilië. Deze inzet werd vastgesteld </w:t>
      </w:r>
      <w:proofErr w:type="gramStart"/>
      <w:r w:rsidRPr="00C4305D">
        <w:rPr>
          <w:szCs w:val="18"/>
          <w:lang w:val="nl-NL"/>
        </w:rPr>
        <w:t>middels</w:t>
      </w:r>
      <w:proofErr w:type="gramEnd"/>
      <w:r w:rsidRPr="00C4305D">
        <w:rPr>
          <w:szCs w:val="18"/>
          <w:lang w:val="nl-NL"/>
        </w:rPr>
        <w:t xml:space="preserve"> de EU G20 </w:t>
      </w:r>
      <w:proofErr w:type="spellStart"/>
      <w:r w:rsidRPr="00C4305D">
        <w:rPr>
          <w:szCs w:val="18"/>
          <w:lang w:val="nl-NL"/>
        </w:rPr>
        <w:t>Terms</w:t>
      </w:r>
      <w:proofErr w:type="spellEnd"/>
      <w:r w:rsidRPr="00C4305D">
        <w:rPr>
          <w:szCs w:val="18"/>
          <w:lang w:val="nl-NL"/>
        </w:rPr>
        <w:t xml:space="preserve"> of Reference. Een toelichting hierop </w:t>
      </w:r>
      <w:r w:rsidR="006D71CE">
        <w:rPr>
          <w:szCs w:val="18"/>
          <w:lang w:val="nl-NL"/>
        </w:rPr>
        <w:t>is weergegeven in</w:t>
      </w:r>
      <w:r w:rsidRPr="00C4305D">
        <w:rPr>
          <w:szCs w:val="18"/>
          <w:lang w:val="nl-NL"/>
        </w:rPr>
        <w:t xml:space="preserve"> de geannoteerde agenda voor de Eurogroep en Ecofinraad van 15 en 16 juli 2024 die </w:t>
      </w:r>
      <w:r w:rsidR="006D71CE">
        <w:rPr>
          <w:szCs w:val="18"/>
          <w:lang w:val="nl-NL"/>
        </w:rPr>
        <w:t>de</w:t>
      </w:r>
      <w:r w:rsidRPr="00C4305D">
        <w:rPr>
          <w:szCs w:val="18"/>
          <w:lang w:val="nl-NL"/>
        </w:rPr>
        <w:t xml:space="preserve"> Kamer eerder ontving.</w:t>
      </w:r>
      <w:r w:rsidRPr="00C4305D">
        <w:rPr>
          <w:rStyle w:val="Voetnootmarkering"/>
          <w:szCs w:val="18"/>
          <w:lang w:val="nl-NL"/>
        </w:rPr>
        <w:footnoteReference w:id="14"/>
      </w:r>
    </w:p>
    <w:p w:rsidRPr="00C4305D" w:rsidR="003907CF" w:rsidP="00C4305D" w:rsidRDefault="003907CF" w14:paraId="36B0FFEC" w14:textId="77777777">
      <w:pPr>
        <w:spacing w:after="0" w:line="276" w:lineRule="auto"/>
        <w:rPr>
          <w:szCs w:val="18"/>
          <w:lang w:val="nl-NL"/>
        </w:rPr>
      </w:pPr>
    </w:p>
    <w:p w:rsidRPr="00C4305D" w:rsidR="006F4799" w:rsidP="00C4305D" w:rsidRDefault="006F4799" w14:paraId="1F1D83CB" w14:textId="77777777">
      <w:pPr>
        <w:spacing w:after="0" w:line="276" w:lineRule="auto"/>
        <w:rPr>
          <w:b/>
          <w:bCs/>
          <w:szCs w:val="18"/>
          <w:u w:val="single"/>
          <w:lang w:val="nl-NL"/>
        </w:rPr>
      </w:pPr>
      <w:r w:rsidRPr="00C4305D">
        <w:rPr>
          <w:b/>
          <w:bCs/>
          <w:szCs w:val="18"/>
          <w:u w:val="single"/>
          <w:lang w:val="nl-NL"/>
        </w:rPr>
        <w:t>Overig</w:t>
      </w:r>
    </w:p>
    <w:p w:rsidRPr="002F3932" w:rsidR="002F3932" w:rsidP="002F3932" w:rsidRDefault="002F3932" w14:paraId="47E5D0DE" w14:textId="77777777">
      <w:pPr>
        <w:spacing w:after="0" w:line="276" w:lineRule="auto"/>
        <w:rPr>
          <w:b/>
          <w:bCs/>
          <w:lang w:val="nl-NL"/>
        </w:rPr>
      </w:pPr>
      <w:bookmarkStart w:name="_Hlk174619136" w:id="1"/>
      <w:r w:rsidRPr="002F3932">
        <w:rPr>
          <w:b/>
          <w:bCs/>
          <w:lang w:val="nl-NL"/>
        </w:rPr>
        <w:t xml:space="preserve">Non-paper herziening </w:t>
      </w:r>
      <w:proofErr w:type="spellStart"/>
      <w:r w:rsidRPr="002F3932">
        <w:rPr>
          <w:b/>
          <w:bCs/>
          <w:lang w:val="nl-NL"/>
        </w:rPr>
        <w:t>prudentieel</w:t>
      </w:r>
      <w:proofErr w:type="spellEnd"/>
      <w:r w:rsidRPr="002F3932">
        <w:rPr>
          <w:b/>
          <w:bCs/>
          <w:lang w:val="nl-NL"/>
        </w:rPr>
        <w:t xml:space="preserve"> raamwerk beleggingsondernemingen</w:t>
      </w:r>
      <w:bookmarkEnd w:id="1"/>
      <w:r w:rsidRPr="002F3932">
        <w:rPr>
          <w:b/>
          <w:bCs/>
          <w:lang w:val="nl-NL"/>
        </w:rPr>
        <w:t xml:space="preserve"> </w:t>
      </w:r>
    </w:p>
    <w:p w:rsidR="002F3932" w:rsidP="002F3932" w:rsidRDefault="002F3932" w14:paraId="31D3826E" w14:textId="66E6E2F3">
      <w:pPr>
        <w:spacing w:after="0" w:line="276" w:lineRule="auto"/>
        <w:rPr>
          <w:szCs w:val="18"/>
          <w:lang w:val="nl-NL"/>
        </w:rPr>
      </w:pPr>
      <w:r>
        <w:rPr>
          <w:szCs w:val="18"/>
          <w:lang w:val="nl-NL"/>
        </w:rPr>
        <w:t>Als bijlage bij dit verslag treft u</w:t>
      </w:r>
      <w:r w:rsidRPr="002F3932">
        <w:rPr>
          <w:szCs w:val="18"/>
          <w:lang w:val="nl-NL"/>
        </w:rPr>
        <w:t xml:space="preserve"> een non-paper ten behoeve van de mogelijke herziening van de </w:t>
      </w:r>
      <w:r w:rsidR="007A4FF2">
        <w:rPr>
          <w:szCs w:val="18"/>
          <w:lang w:val="nl-NL"/>
        </w:rPr>
        <w:t>v</w:t>
      </w:r>
      <w:r w:rsidRPr="002F3932">
        <w:rPr>
          <w:szCs w:val="18"/>
          <w:lang w:val="nl-NL"/>
        </w:rPr>
        <w:t xml:space="preserve">erordening en </w:t>
      </w:r>
      <w:r w:rsidR="007A4FF2">
        <w:rPr>
          <w:szCs w:val="18"/>
          <w:lang w:val="nl-NL"/>
        </w:rPr>
        <w:t>r</w:t>
      </w:r>
      <w:r w:rsidRPr="002F3932">
        <w:rPr>
          <w:szCs w:val="18"/>
          <w:lang w:val="nl-NL"/>
        </w:rPr>
        <w:t xml:space="preserve">ichtlijn betreffende </w:t>
      </w:r>
      <w:proofErr w:type="spellStart"/>
      <w:r w:rsidRPr="002F3932">
        <w:rPr>
          <w:szCs w:val="18"/>
          <w:lang w:val="nl-NL"/>
        </w:rPr>
        <w:t>prudentiële</w:t>
      </w:r>
      <w:proofErr w:type="spellEnd"/>
      <w:r w:rsidRPr="002F3932">
        <w:rPr>
          <w:szCs w:val="18"/>
          <w:lang w:val="nl-NL"/>
        </w:rPr>
        <w:t xml:space="preserve"> vereisten voor beleggingsondernemingen (de Investment </w:t>
      </w:r>
      <w:proofErr w:type="spellStart"/>
      <w:r w:rsidRPr="002F3932">
        <w:rPr>
          <w:szCs w:val="18"/>
          <w:lang w:val="nl-NL"/>
        </w:rPr>
        <w:t>Firm</w:t>
      </w:r>
      <w:proofErr w:type="spellEnd"/>
      <w:r w:rsidRPr="002F3932">
        <w:rPr>
          <w:szCs w:val="18"/>
          <w:lang w:val="nl-NL"/>
        </w:rPr>
        <w:t xml:space="preserve"> </w:t>
      </w:r>
      <w:proofErr w:type="spellStart"/>
      <w:r w:rsidRPr="002F3932">
        <w:rPr>
          <w:szCs w:val="18"/>
          <w:lang w:val="nl-NL"/>
        </w:rPr>
        <w:t>Regulation</w:t>
      </w:r>
      <w:proofErr w:type="spellEnd"/>
      <w:r w:rsidRPr="002F3932">
        <w:rPr>
          <w:szCs w:val="18"/>
          <w:lang w:val="nl-NL"/>
        </w:rPr>
        <w:t xml:space="preserve"> en Investment </w:t>
      </w:r>
      <w:proofErr w:type="spellStart"/>
      <w:r w:rsidRPr="002F3932">
        <w:rPr>
          <w:szCs w:val="18"/>
          <w:lang w:val="nl-NL"/>
        </w:rPr>
        <w:t>Firm</w:t>
      </w:r>
      <w:proofErr w:type="spellEnd"/>
      <w:r w:rsidRPr="002F3932">
        <w:rPr>
          <w:szCs w:val="18"/>
          <w:lang w:val="nl-NL"/>
        </w:rPr>
        <w:t xml:space="preserve"> Directive, hierna </w:t>
      </w:r>
      <w:r w:rsidRPr="002F3932">
        <w:rPr>
          <w:i/>
          <w:iCs/>
          <w:szCs w:val="18"/>
          <w:lang w:val="nl-NL"/>
        </w:rPr>
        <w:t>IFR en IFD</w:t>
      </w:r>
      <w:r w:rsidRPr="002F3932">
        <w:rPr>
          <w:szCs w:val="18"/>
          <w:lang w:val="nl-NL"/>
        </w:rPr>
        <w:t xml:space="preserve">). Met de IFR en IFD wordt beoogd de </w:t>
      </w:r>
      <w:proofErr w:type="spellStart"/>
      <w:r w:rsidRPr="002F3932">
        <w:rPr>
          <w:szCs w:val="18"/>
          <w:lang w:val="nl-NL"/>
        </w:rPr>
        <w:t>prudentiële</w:t>
      </w:r>
      <w:proofErr w:type="spellEnd"/>
      <w:r w:rsidRPr="002F3932">
        <w:rPr>
          <w:szCs w:val="18"/>
          <w:lang w:val="nl-NL"/>
        </w:rPr>
        <w:t xml:space="preserve"> risico’s voor beleggingsondernemingen effectief te beheersen, in het belang van de financiële stabiliteit.</w:t>
      </w:r>
    </w:p>
    <w:p w:rsidRPr="002F3932" w:rsidR="002F3932" w:rsidP="002F3932" w:rsidRDefault="002F3932" w14:paraId="023B0D91" w14:textId="77777777">
      <w:pPr>
        <w:spacing w:after="0" w:line="276" w:lineRule="auto"/>
        <w:rPr>
          <w:szCs w:val="18"/>
          <w:lang w:val="nl-NL"/>
        </w:rPr>
      </w:pPr>
    </w:p>
    <w:p w:rsidR="002F3932" w:rsidP="002F3932" w:rsidRDefault="002F3932" w14:paraId="4C699D12" w14:textId="34A5346B">
      <w:pPr>
        <w:spacing w:after="0" w:line="276" w:lineRule="auto"/>
        <w:rPr>
          <w:szCs w:val="18"/>
          <w:lang w:val="nl-NL"/>
        </w:rPr>
      </w:pPr>
      <w:r w:rsidRPr="002F3932">
        <w:rPr>
          <w:szCs w:val="18"/>
          <w:lang w:val="nl-NL"/>
        </w:rPr>
        <w:t xml:space="preserve">De herzieningsclausule in de IFR en IFD verplicht de </w:t>
      </w:r>
      <w:r>
        <w:rPr>
          <w:szCs w:val="18"/>
          <w:lang w:val="nl-NL"/>
        </w:rPr>
        <w:t xml:space="preserve">Commissie </w:t>
      </w:r>
      <w:r w:rsidRPr="002F3932">
        <w:rPr>
          <w:szCs w:val="18"/>
          <w:lang w:val="nl-NL"/>
        </w:rPr>
        <w:t xml:space="preserve">om in 2024 te evalueren of er aanleiding is voor een herziening van het raamwerk. Hiertoe heeft de </w:t>
      </w:r>
      <w:r>
        <w:rPr>
          <w:szCs w:val="18"/>
          <w:lang w:val="nl-NL"/>
        </w:rPr>
        <w:t>Commissie</w:t>
      </w:r>
      <w:r w:rsidRPr="002F3932">
        <w:rPr>
          <w:szCs w:val="18"/>
          <w:lang w:val="nl-NL"/>
        </w:rPr>
        <w:t xml:space="preserve"> om advies gevraagd aan de Europese Banken Autoriteit (EBA) en de Europese Autoriteit voor effecten en markten (ESMA). De EBA en ESMA zijn hiertoe een consultatie gestart. Uit het door EBA en ESMA gepubliceerde discussiestuk kan worden opgemaakt dat zij waarschijnlijk geen grote veranderingen in het raamwerk nodig achten</w:t>
      </w:r>
      <w:r>
        <w:rPr>
          <w:szCs w:val="18"/>
          <w:lang w:val="nl-NL"/>
        </w:rPr>
        <w:t>.</w:t>
      </w:r>
    </w:p>
    <w:p w:rsidR="002F3932" w:rsidP="002F3932" w:rsidRDefault="002F3932" w14:paraId="01475690" w14:textId="77777777">
      <w:pPr>
        <w:spacing w:after="0" w:line="276" w:lineRule="auto"/>
        <w:rPr>
          <w:szCs w:val="18"/>
          <w:lang w:val="nl-NL"/>
        </w:rPr>
      </w:pPr>
    </w:p>
    <w:p w:rsidR="006F4799" w:rsidP="002F3932" w:rsidRDefault="002F3932" w14:paraId="4A55C73B" w14:textId="6C7C4400">
      <w:pPr>
        <w:spacing w:after="0" w:line="276" w:lineRule="auto"/>
        <w:rPr>
          <w:szCs w:val="18"/>
          <w:lang w:val="nl-NL"/>
        </w:rPr>
      </w:pPr>
      <w:r w:rsidRPr="002F3932">
        <w:rPr>
          <w:szCs w:val="18"/>
          <w:lang w:val="nl-NL"/>
        </w:rPr>
        <w:t xml:space="preserve">Nederland ziet wel ruimte om het raamwerk op onderdelen te verbeteren. Om die reden is samen met De Nederlandsche Bank (DNB) en de Autoriteit Financiële Markten (AFM) een non-paper opgesteld. In dit non-paper wordt gepleit voor (i) het verbeteren van risico gedreven karakter van het raamwerk, (ii) het waarborgen van een internationaal gelijk speelveld en het voorkomen van toezichtarbitrage en (iii) het verhogen van de proportionaliteit en duidelijkheid van </w:t>
      </w:r>
      <w:proofErr w:type="spellStart"/>
      <w:r w:rsidRPr="002F3932">
        <w:rPr>
          <w:szCs w:val="18"/>
          <w:lang w:val="nl-NL"/>
        </w:rPr>
        <w:t>governance</w:t>
      </w:r>
      <w:proofErr w:type="spellEnd"/>
      <w:r w:rsidRPr="002F3932">
        <w:rPr>
          <w:szCs w:val="18"/>
          <w:lang w:val="nl-NL"/>
        </w:rPr>
        <w:t xml:space="preserve"> vereisten</w:t>
      </w:r>
      <w:r>
        <w:rPr>
          <w:szCs w:val="18"/>
          <w:lang w:val="nl-NL"/>
        </w:rPr>
        <w:t>.</w:t>
      </w:r>
    </w:p>
    <w:p w:rsidRPr="002F3932" w:rsidR="002F3932" w:rsidP="002F3932" w:rsidRDefault="002F3932" w14:paraId="50989AEF" w14:textId="77777777">
      <w:pPr>
        <w:spacing w:after="0" w:line="276" w:lineRule="auto"/>
        <w:rPr>
          <w:szCs w:val="18"/>
          <w:lang w:val="nl-NL"/>
        </w:rPr>
      </w:pPr>
    </w:p>
    <w:p w:rsidR="006F4799" w:rsidP="002F3932" w:rsidRDefault="002F3932" w14:paraId="65FD9FBF" w14:textId="19094DC9">
      <w:pPr>
        <w:pStyle w:val="Geenafstand"/>
        <w:spacing w:line="276" w:lineRule="auto"/>
        <w:rPr>
          <w:szCs w:val="18"/>
          <w:lang w:val="nl-NL"/>
        </w:rPr>
      </w:pPr>
      <w:bookmarkStart w:name="_Hlk170213031" w:id="2"/>
      <w:r w:rsidRPr="002F3932">
        <w:rPr>
          <w:szCs w:val="18"/>
          <w:lang w:val="nl-NL"/>
        </w:rPr>
        <w:t>De voorgestelde veranderingen beogen het vestigingsklimaat te verbeteren en onnodige regeldruk te verminderen. Op die manier kan de rol van beleggingsondernemingen op de Europese financiële markten verder worden bestendigd. De veranderingen dragen daarmee bij aan het versterken van de rol van de IFR en IFD in de ambities van de EU voor een concurrerende en geïntegreerde kapitaalmarktunie</w:t>
      </w:r>
      <w:r>
        <w:rPr>
          <w:szCs w:val="18"/>
          <w:lang w:val="nl-NL"/>
        </w:rPr>
        <w:t>.</w:t>
      </w:r>
    </w:p>
    <w:p w:rsidR="002F3932" w:rsidP="002F3932" w:rsidRDefault="002F3932" w14:paraId="0D92CBEC" w14:textId="77777777">
      <w:pPr>
        <w:pStyle w:val="Geenafstand"/>
        <w:spacing w:line="276" w:lineRule="auto"/>
        <w:rPr>
          <w:szCs w:val="18"/>
          <w:lang w:val="nl-NL"/>
        </w:rPr>
      </w:pPr>
    </w:p>
    <w:p w:rsidR="002F3932" w:rsidP="002F3932" w:rsidRDefault="002F3932" w14:paraId="79DF190F" w14:textId="773FA486">
      <w:pPr>
        <w:pStyle w:val="Geenafstand"/>
        <w:spacing w:line="276" w:lineRule="auto"/>
        <w:rPr>
          <w:szCs w:val="18"/>
          <w:lang w:val="nl-NL"/>
        </w:rPr>
      </w:pPr>
      <w:r w:rsidRPr="002F3932">
        <w:rPr>
          <w:szCs w:val="18"/>
          <w:lang w:val="nl-NL"/>
        </w:rPr>
        <w:t xml:space="preserve">De komende periode zal gebruikt worden om </w:t>
      </w:r>
      <w:proofErr w:type="gramStart"/>
      <w:r w:rsidRPr="002F3932">
        <w:rPr>
          <w:szCs w:val="18"/>
          <w:lang w:val="nl-NL"/>
        </w:rPr>
        <w:t>het non-paper</w:t>
      </w:r>
      <w:proofErr w:type="gramEnd"/>
      <w:r w:rsidRPr="002F3932">
        <w:rPr>
          <w:szCs w:val="18"/>
          <w:lang w:val="nl-NL"/>
        </w:rPr>
        <w:t xml:space="preserve"> onder de aandacht te brengen bij de </w:t>
      </w:r>
      <w:r>
        <w:rPr>
          <w:szCs w:val="18"/>
          <w:lang w:val="nl-NL"/>
        </w:rPr>
        <w:t xml:space="preserve">Commissie </w:t>
      </w:r>
      <w:r w:rsidRPr="002F3932">
        <w:rPr>
          <w:szCs w:val="18"/>
          <w:lang w:val="nl-NL"/>
        </w:rPr>
        <w:t>en andere lidstaten. AFM en DNB zullen het non-paper gelijktijdig delen in de gremia voor Europese toezichthouders</w:t>
      </w:r>
      <w:r>
        <w:rPr>
          <w:szCs w:val="18"/>
          <w:lang w:val="nl-NL"/>
        </w:rPr>
        <w:t>.</w:t>
      </w:r>
    </w:p>
    <w:p w:rsidRPr="002F3932" w:rsidR="002F3932" w:rsidP="00C4305D" w:rsidRDefault="002F3932" w14:paraId="058247F5" w14:textId="77777777">
      <w:pPr>
        <w:pStyle w:val="Geenafstand"/>
        <w:spacing w:line="276" w:lineRule="auto"/>
        <w:rPr>
          <w:b/>
          <w:bCs/>
          <w:szCs w:val="18"/>
          <w:lang w:val="nl-NL"/>
        </w:rPr>
      </w:pPr>
    </w:p>
    <w:p w:rsidRPr="00191405" w:rsidR="00191405" w:rsidP="00FF640E" w:rsidRDefault="00191405" w14:paraId="5567A9BA" w14:textId="77777777">
      <w:pPr>
        <w:spacing w:after="0" w:line="276" w:lineRule="auto"/>
        <w:rPr>
          <w:b/>
          <w:bCs/>
          <w:szCs w:val="18"/>
          <w:lang w:val="nl-NL"/>
        </w:rPr>
      </w:pPr>
      <w:bookmarkStart w:name="_Hlk174619280" w:id="3"/>
      <w:bookmarkEnd w:id="2"/>
      <w:r w:rsidRPr="00191405">
        <w:rPr>
          <w:b/>
          <w:bCs/>
          <w:szCs w:val="18"/>
          <w:lang w:val="nl-NL"/>
        </w:rPr>
        <w:lastRenderedPageBreak/>
        <w:t>Ontwikkelingen ten aanzien van digitale euro</w:t>
      </w:r>
    </w:p>
    <w:bookmarkEnd w:id="3"/>
    <w:p w:rsidRPr="00191405" w:rsidR="00191405" w:rsidP="00FF640E" w:rsidRDefault="00191405" w14:paraId="04E72F0C" w14:textId="14E2B96C">
      <w:pPr>
        <w:spacing w:after="0" w:line="276" w:lineRule="auto"/>
        <w:rPr>
          <w:szCs w:val="18"/>
          <w:lang w:val="nl-NL"/>
        </w:rPr>
      </w:pPr>
      <w:r w:rsidRPr="00191405">
        <w:rPr>
          <w:szCs w:val="18"/>
          <w:lang w:val="nl-NL"/>
        </w:rPr>
        <w:t xml:space="preserve">De digitale euro was niet geagendeerd voor de Eurogroep en Ecofinraad van </w:t>
      </w:r>
      <w:r>
        <w:rPr>
          <w:szCs w:val="18"/>
          <w:lang w:val="nl-NL"/>
        </w:rPr>
        <w:t xml:space="preserve">15 en 16 </w:t>
      </w:r>
      <w:r w:rsidRPr="00191405">
        <w:rPr>
          <w:szCs w:val="18"/>
          <w:lang w:val="nl-NL"/>
        </w:rPr>
        <w:t xml:space="preserve">juli 2024. De verwachting is dat de </w:t>
      </w:r>
      <w:r>
        <w:rPr>
          <w:szCs w:val="18"/>
          <w:lang w:val="nl-NL"/>
        </w:rPr>
        <w:t>R</w:t>
      </w:r>
      <w:r w:rsidRPr="00191405">
        <w:rPr>
          <w:szCs w:val="18"/>
          <w:lang w:val="nl-NL"/>
        </w:rPr>
        <w:t xml:space="preserve">aadsonderhandelingen op ambtelijk niveau eind september worden hervat. De agenda daarvoor is nog niet bekend. Ik ga ervanuit dat er onder het Hongaarse voorzitterschap weer goede voortgang zal worden geboekt, maar waarschijnlijk nog geen politiek akkoord wordt bereikt. Ik zal uw Kamer via </w:t>
      </w:r>
      <w:r>
        <w:rPr>
          <w:szCs w:val="18"/>
          <w:lang w:val="nl-NL"/>
        </w:rPr>
        <w:t xml:space="preserve">het verslag van de Eurogroep en Ecofinraad </w:t>
      </w:r>
      <w:r w:rsidRPr="00191405">
        <w:rPr>
          <w:szCs w:val="18"/>
          <w:lang w:val="nl-NL"/>
        </w:rPr>
        <w:t>maandelijks blijven informeren over de ontwikkelingen in dit dossier.</w:t>
      </w:r>
    </w:p>
    <w:p w:rsidRPr="00DB45E8" w:rsidR="00191405" w:rsidP="00DB45E8" w:rsidRDefault="00191405" w14:paraId="55D5B460" w14:textId="77777777">
      <w:pPr>
        <w:pStyle w:val="Geenafstand"/>
        <w:spacing w:line="276" w:lineRule="auto"/>
        <w:rPr>
          <w:b/>
          <w:bCs/>
          <w:szCs w:val="18"/>
          <w:lang w:val="nl-NL"/>
        </w:rPr>
      </w:pPr>
    </w:p>
    <w:sectPr w:rsidRPr="00DB45E8" w:rsidR="00191405"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5245" w14:textId="77777777" w:rsidR="00B3654B" w:rsidRDefault="00B3654B" w:rsidP="006F4799">
      <w:pPr>
        <w:spacing w:after="0" w:line="240" w:lineRule="auto"/>
      </w:pPr>
      <w:r>
        <w:separator/>
      </w:r>
    </w:p>
  </w:endnote>
  <w:endnote w:type="continuationSeparator" w:id="0">
    <w:p w14:paraId="2B9A5B5F" w14:textId="77777777" w:rsidR="00B3654B" w:rsidRDefault="00B3654B" w:rsidP="006F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20778"/>
      <w:docPartObj>
        <w:docPartGallery w:val="Page Numbers (Bottom of Page)"/>
        <w:docPartUnique/>
      </w:docPartObj>
    </w:sdtPr>
    <w:sdtEndPr/>
    <w:sdtContent>
      <w:p w14:paraId="4FF9BCE6" w14:textId="6F2BA5A1" w:rsidR="009920C2" w:rsidRDefault="009920C2">
        <w:pPr>
          <w:pStyle w:val="Voettekst"/>
          <w:jc w:val="right"/>
        </w:pPr>
        <w:r>
          <w:fldChar w:fldCharType="begin"/>
        </w:r>
        <w:r>
          <w:instrText>PAGE   \* MERGEFORMAT</w:instrText>
        </w:r>
        <w:r>
          <w:fldChar w:fldCharType="separate"/>
        </w:r>
        <w:r>
          <w:rPr>
            <w:lang w:val="nl-NL"/>
          </w:rPr>
          <w:t>2</w:t>
        </w:r>
        <w:r>
          <w:fldChar w:fldCharType="end"/>
        </w:r>
      </w:p>
    </w:sdtContent>
  </w:sdt>
  <w:p w14:paraId="174AD6BB" w14:textId="77777777" w:rsidR="009920C2" w:rsidRDefault="009920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E600" w14:textId="77777777" w:rsidR="00B3654B" w:rsidRDefault="00B3654B" w:rsidP="006F4799">
      <w:pPr>
        <w:spacing w:after="0" w:line="240" w:lineRule="auto"/>
      </w:pPr>
      <w:r>
        <w:separator/>
      </w:r>
    </w:p>
  </w:footnote>
  <w:footnote w:type="continuationSeparator" w:id="0">
    <w:p w14:paraId="4F10A46D" w14:textId="77777777" w:rsidR="00B3654B" w:rsidRDefault="00B3654B" w:rsidP="006F4799">
      <w:pPr>
        <w:spacing w:after="0" w:line="240" w:lineRule="auto"/>
      </w:pPr>
      <w:r>
        <w:continuationSeparator/>
      </w:r>
    </w:p>
  </w:footnote>
  <w:footnote w:id="1">
    <w:p w14:paraId="479031B4" w14:textId="0EDBFCDF" w:rsidR="00427B0C" w:rsidRPr="00C4305D" w:rsidRDefault="00427B0C" w:rsidP="00D854DF">
      <w:pPr>
        <w:pStyle w:val="Voetnoottekst"/>
        <w:rPr>
          <w:rFonts w:ascii="Verdana" w:hAnsi="Verdana"/>
          <w:sz w:val="16"/>
          <w:szCs w:val="16"/>
          <w:lang w:val="en-US"/>
        </w:rPr>
      </w:pPr>
      <w:r w:rsidRPr="00C4305D">
        <w:rPr>
          <w:rStyle w:val="Voetnootmarkering"/>
          <w:rFonts w:ascii="Verdana" w:hAnsi="Verdana"/>
          <w:sz w:val="16"/>
          <w:szCs w:val="16"/>
        </w:rPr>
        <w:footnoteRef/>
      </w:r>
      <w:r w:rsidRPr="00C4305D">
        <w:rPr>
          <w:rFonts w:ascii="Verdana" w:hAnsi="Verdana"/>
          <w:sz w:val="16"/>
          <w:szCs w:val="16"/>
          <w:lang w:val="en-US"/>
        </w:rPr>
        <w:t xml:space="preserve"> </w:t>
      </w:r>
      <w:proofErr w:type="spellStart"/>
      <w:r w:rsidRPr="00C4305D">
        <w:rPr>
          <w:rFonts w:ascii="Verdana" w:hAnsi="Verdana"/>
          <w:sz w:val="16"/>
          <w:szCs w:val="16"/>
          <w:lang w:val="en-US"/>
        </w:rPr>
        <w:t>Europees</w:t>
      </w:r>
      <w:proofErr w:type="spellEnd"/>
      <w:r w:rsidRPr="00C4305D">
        <w:rPr>
          <w:rFonts w:ascii="Verdana" w:hAnsi="Verdana"/>
          <w:sz w:val="16"/>
          <w:szCs w:val="16"/>
          <w:lang w:val="en-US"/>
        </w:rPr>
        <w:t xml:space="preserve"> </w:t>
      </w:r>
      <w:proofErr w:type="spellStart"/>
      <w:r w:rsidRPr="00C4305D">
        <w:rPr>
          <w:rFonts w:ascii="Verdana" w:hAnsi="Verdana"/>
          <w:sz w:val="16"/>
          <w:szCs w:val="16"/>
          <w:lang w:val="en-US"/>
        </w:rPr>
        <w:t>Begrotingscomité</w:t>
      </w:r>
      <w:proofErr w:type="spellEnd"/>
      <w:r w:rsidRPr="00C4305D">
        <w:rPr>
          <w:rFonts w:ascii="Verdana" w:hAnsi="Verdana"/>
          <w:sz w:val="16"/>
          <w:szCs w:val="16"/>
          <w:lang w:val="en-US"/>
        </w:rPr>
        <w:t xml:space="preserve">, ‘Assessment of the fiscal stance appropriate for the euro area in 2025’, 3 </w:t>
      </w:r>
      <w:proofErr w:type="spellStart"/>
      <w:r w:rsidRPr="00C4305D">
        <w:rPr>
          <w:rFonts w:ascii="Verdana" w:hAnsi="Verdana"/>
          <w:sz w:val="16"/>
          <w:szCs w:val="16"/>
          <w:lang w:val="en-US"/>
        </w:rPr>
        <w:t>juli</w:t>
      </w:r>
      <w:proofErr w:type="spellEnd"/>
      <w:r w:rsidRPr="00C4305D">
        <w:rPr>
          <w:rFonts w:ascii="Verdana" w:hAnsi="Verdana"/>
          <w:sz w:val="16"/>
          <w:szCs w:val="16"/>
          <w:lang w:val="en-US"/>
        </w:rPr>
        <w:t xml:space="preserve"> 2024, </w:t>
      </w:r>
      <w:hyperlink r:id="rId1" w:history="1">
        <w:r w:rsidRPr="00C4305D">
          <w:rPr>
            <w:rStyle w:val="Hyperlink"/>
            <w:rFonts w:ascii="Verdana" w:hAnsi="Verdana"/>
            <w:sz w:val="16"/>
            <w:szCs w:val="16"/>
            <w:lang w:val="en-US"/>
          </w:rPr>
          <w:t>https://commission.europa.eu/publications/european-fiscal-board-assesses-appropriate-fiscal-stance-euro-area-2025_en</w:t>
        </w:r>
      </w:hyperlink>
      <w:r w:rsidRPr="00C4305D">
        <w:rPr>
          <w:rFonts w:ascii="Verdana" w:hAnsi="Verdana"/>
          <w:sz w:val="16"/>
          <w:szCs w:val="16"/>
          <w:lang w:val="en-US"/>
        </w:rPr>
        <w:t>.</w:t>
      </w:r>
    </w:p>
  </w:footnote>
  <w:footnote w:id="2">
    <w:p w14:paraId="78A9DDC6" w14:textId="509BFF4F" w:rsidR="00AE481B" w:rsidRPr="00C4305D" w:rsidRDefault="00AE481B" w:rsidP="00D854DF">
      <w:pPr>
        <w:pStyle w:val="Voetnoottekst"/>
        <w:rPr>
          <w:rFonts w:ascii="Verdana" w:hAnsi="Verdana"/>
          <w:sz w:val="16"/>
          <w:szCs w:val="16"/>
          <w:lang w:val="en-US"/>
        </w:rPr>
      </w:pPr>
      <w:r w:rsidRPr="00C4305D">
        <w:rPr>
          <w:rStyle w:val="Voetnootmarkering"/>
          <w:rFonts w:ascii="Verdana" w:hAnsi="Verdana"/>
          <w:sz w:val="16"/>
          <w:szCs w:val="16"/>
        </w:rPr>
        <w:footnoteRef/>
      </w:r>
      <w:r w:rsidRPr="00C4305D">
        <w:rPr>
          <w:rFonts w:ascii="Verdana" w:hAnsi="Verdana"/>
          <w:sz w:val="16"/>
          <w:szCs w:val="16"/>
          <w:lang w:val="en-US"/>
        </w:rPr>
        <w:t xml:space="preserve"> </w:t>
      </w:r>
      <w:proofErr w:type="spellStart"/>
      <w:r w:rsidRPr="00C4305D">
        <w:rPr>
          <w:rFonts w:ascii="Verdana" w:hAnsi="Verdana"/>
          <w:sz w:val="16"/>
          <w:szCs w:val="16"/>
          <w:lang w:val="en-US"/>
        </w:rPr>
        <w:t>Eurogroep</w:t>
      </w:r>
      <w:proofErr w:type="spellEnd"/>
      <w:r w:rsidRPr="00C4305D">
        <w:rPr>
          <w:rFonts w:ascii="Verdana" w:hAnsi="Verdana"/>
          <w:sz w:val="16"/>
          <w:szCs w:val="16"/>
          <w:lang w:val="en-US"/>
        </w:rPr>
        <w:t xml:space="preserve">, ‘Eurogroup statement on the fiscal stance for the euro area in 2025’, 15 </w:t>
      </w:r>
      <w:proofErr w:type="spellStart"/>
      <w:r w:rsidRPr="00C4305D">
        <w:rPr>
          <w:rFonts w:ascii="Verdana" w:hAnsi="Verdana"/>
          <w:sz w:val="16"/>
          <w:szCs w:val="16"/>
          <w:lang w:val="en-US"/>
        </w:rPr>
        <w:t>juli</w:t>
      </w:r>
      <w:proofErr w:type="spellEnd"/>
      <w:r w:rsidRPr="00C4305D">
        <w:rPr>
          <w:rFonts w:ascii="Verdana" w:hAnsi="Verdana"/>
          <w:sz w:val="16"/>
          <w:szCs w:val="16"/>
          <w:lang w:val="en-US"/>
        </w:rPr>
        <w:t xml:space="preserve"> 2024, </w:t>
      </w:r>
      <w:hyperlink r:id="rId2" w:history="1">
        <w:r w:rsidRPr="00C4305D">
          <w:rPr>
            <w:rStyle w:val="Hyperlink"/>
            <w:rFonts w:ascii="Verdana" w:hAnsi="Verdana"/>
            <w:sz w:val="16"/>
            <w:szCs w:val="16"/>
            <w:lang w:val="en-US"/>
          </w:rPr>
          <w:t>https://www.consilium.europa.eu/en/press/press-releases/2024/07/15/eurogroup-statement-on-the-fiscal-stance-for-the-euro-area-in-2025/</w:t>
        </w:r>
      </w:hyperlink>
      <w:r w:rsidRPr="00C4305D">
        <w:rPr>
          <w:rFonts w:ascii="Verdana" w:hAnsi="Verdana"/>
          <w:sz w:val="16"/>
          <w:szCs w:val="16"/>
          <w:lang w:val="en-US"/>
        </w:rPr>
        <w:t>.</w:t>
      </w:r>
    </w:p>
  </w:footnote>
  <w:footnote w:id="3">
    <w:p w14:paraId="7B648265" w14:textId="77777777" w:rsidR="00AE481B" w:rsidRPr="00C4305D" w:rsidRDefault="00AE481B" w:rsidP="00D854DF">
      <w:pPr>
        <w:pStyle w:val="Voetnoottekst"/>
        <w:rPr>
          <w:rFonts w:ascii="Verdana" w:hAnsi="Verdana"/>
          <w:sz w:val="16"/>
          <w:szCs w:val="16"/>
          <w:lang w:val="en-US"/>
        </w:rPr>
      </w:pPr>
      <w:r w:rsidRPr="00C4305D">
        <w:rPr>
          <w:rStyle w:val="Voetnootmarkering"/>
          <w:rFonts w:ascii="Verdana" w:hAnsi="Verdana"/>
          <w:sz w:val="16"/>
          <w:szCs w:val="16"/>
        </w:rPr>
        <w:footnoteRef/>
      </w:r>
      <w:r w:rsidRPr="00C4305D">
        <w:rPr>
          <w:rFonts w:ascii="Verdana" w:hAnsi="Verdana"/>
          <w:sz w:val="16"/>
          <w:szCs w:val="16"/>
          <w:lang w:val="en-US"/>
        </w:rPr>
        <w:t xml:space="preserve"> </w:t>
      </w:r>
      <w:proofErr w:type="spellStart"/>
      <w:r w:rsidRPr="00C4305D">
        <w:rPr>
          <w:rFonts w:ascii="Verdana" w:hAnsi="Verdana"/>
          <w:sz w:val="16"/>
          <w:szCs w:val="16"/>
          <w:lang w:val="en-US"/>
        </w:rPr>
        <w:t>Eurogroep</w:t>
      </w:r>
      <w:proofErr w:type="spellEnd"/>
      <w:r w:rsidRPr="00C4305D">
        <w:rPr>
          <w:rFonts w:ascii="Verdana" w:hAnsi="Verdana"/>
          <w:sz w:val="16"/>
          <w:szCs w:val="16"/>
          <w:lang w:val="en-US"/>
        </w:rPr>
        <w:t xml:space="preserve">, ‘Eurogroup Work </w:t>
      </w:r>
      <w:proofErr w:type="spellStart"/>
      <w:r w:rsidRPr="00C4305D">
        <w:rPr>
          <w:rFonts w:ascii="Verdana" w:hAnsi="Verdana"/>
          <w:sz w:val="16"/>
          <w:szCs w:val="16"/>
          <w:lang w:val="en-US"/>
        </w:rPr>
        <w:t>programma</w:t>
      </w:r>
      <w:proofErr w:type="spellEnd"/>
      <w:r w:rsidRPr="00C4305D">
        <w:rPr>
          <w:rFonts w:ascii="Verdana" w:hAnsi="Verdana"/>
          <w:sz w:val="16"/>
          <w:szCs w:val="16"/>
          <w:lang w:val="en-US"/>
        </w:rPr>
        <w:t xml:space="preserve"> until March 2025’, Brussel, 15 </w:t>
      </w:r>
      <w:proofErr w:type="spellStart"/>
      <w:r w:rsidRPr="00C4305D">
        <w:rPr>
          <w:rFonts w:ascii="Verdana" w:hAnsi="Verdana"/>
          <w:sz w:val="16"/>
          <w:szCs w:val="16"/>
          <w:lang w:val="en-US"/>
        </w:rPr>
        <w:t>juli</w:t>
      </w:r>
      <w:proofErr w:type="spellEnd"/>
      <w:r w:rsidRPr="00C4305D">
        <w:rPr>
          <w:rFonts w:ascii="Verdana" w:hAnsi="Verdana"/>
          <w:sz w:val="16"/>
          <w:szCs w:val="16"/>
          <w:lang w:val="en-US"/>
        </w:rPr>
        <w:t xml:space="preserve"> 2024, </w:t>
      </w:r>
      <w:hyperlink r:id="rId3" w:history="1">
        <w:r w:rsidRPr="00C4305D">
          <w:rPr>
            <w:rStyle w:val="Hyperlink"/>
            <w:rFonts w:ascii="Verdana" w:hAnsi="Verdana"/>
            <w:sz w:val="16"/>
            <w:szCs w:val="16"/>
            <w:lang w:val="en-US"/>
          </w:rPr>
          <w:t>https://www.consilium.europa.eu/media/bcqnoz2v/eurogroup-work-programme-until-march-2025.pdf</w:t>
        </w:r>
      </w:hyperlink>
      <w:r w:rsidRPr="00C4305D">
        <w:rPr>
          <w:rFonts w:ascii="Verdana" w:hAnsi="Verdana"/>
          <w:sz w:val="16"/>
          <w:szCs w:val="16"/>
          <w:lang w:val="en-US"/>
        </w:rPr>
        <w:t>.</w:t>
      </w:r>
    </w:p>
  </w:footnote>
  <w:footnote w:id="4">
    <w:p w14:paraId="19683A6E" w14:textId="77777777" w:rsidR="003D6D2C" w:rsidRPr="00A0218E" w:rsidRDefault="003D6D2C" w:rsidP="003D6D2C">
      <w:pPr>
        <w:pStyle w:val="Voetnoottekst"/>
        <w:rPr>
          <w:rFonts w:ascii="Verdana" w:hAnsi="Verdana"/>
          <w:sz w:val="16"/>
          <w:szCs w:val="16"/>
          <w:lang w:val="en-US"/>
        </w:rPr>
      </w:pPr>
      <w:r w:rsidRPr="00C4305D">
        <w:rPr>
          <w:rStyle w:val="Voetnootmarkering"/>
          <w:rFonts w:ascii="Verdana" w:hAnsi="Verdana"/>
          <w:sz w:val="16"/>
          <w:szCs w:val="16"/>
        </w:rPr>
        <w:footnoteRef/>
      </w:r>
      <w:r w:rsidRPr="00A0218E">
        <w:rPr>
          <w:rFonts w:ascii="Verdana" w:hAnsi="Verdana"/>
          <w:sz w:val="16"/>
          <w:szCs w:val="16"/>
          <w:lang w:val="en-US"/>
        </w:rPr>
        <w:t xml:space="preserve"> </w:t>
      </w:r>
      <w:proofErr w:type="spellStart"/>
      <w:r w:rsidRPr="00A0218E">
        <w:rPr>
          <w:rFonts w:ascii="Verdana" w:hAnsi="Verdana"/>
          <w:sz w:val="16"/>
          <w:szCs w:val="16"/>
          <w:lang w:val="en-US"/>
        </w:rPr>
        <w:t>Kamerstukken</w:t>
      </w:r>
      <w:proofErr w:type="spellEnd"/>
      <w:r w:rsidRPr="00A0218E">
        <w:rPr>
          <w:rFonts w:ascii="Verdana" w:hAnsi="Verdana"/>
          <w:sz w:val="16"/>
          <w:szCs w:val="16"/>
          <w:lang w:val="en-US"/>
        </w:rPr>
        <w:t xml:space="preserve"> II, 2023-2024, 21 501-07, nr. 2052.</w:t>
      </w:r>
    </w:p>
  </w:footnote>
  <w:footnote w:id="5">
    <w:p w14:paraId="135B0AB2" w14:textId="65D4F2E5" w:rsidR="00C4305D" w:rsidRPr="00C4305D" w:rsidRDefault="00C4305D">
      <w:pPr>
        <w:pStyle w:val="Voetnoottekst"/>
        <w:rPr>
          <w:rFonts w:ascii="Verdana" w:hAnsi="Verdana"/>
          <w:sz w:val="16"/>
          <w:szCs w:val="16"/>
          <w:lang w:val="en-US"/>
        </w:rPr>
      </w:pPr>
      <w:r w:rsidRPr="00C4305D">
        <w:rPr>
          <w:rStyle w:val="Voetnootmarkering"/>
          <w:rFonts w:ascii="Verdana" w:hAnsi="Verdana"/>
          <w:sz w:val="16"/>
          <w:szCs w:val="16"/>
        </w:rPr>
        <w:footnoteRef/>
      </w:r>
      <w:r w:rsidRPr="00C4305D">
        <w:rPr>
          <w:rFonts w:ascii="Verdana" w:hAnsi="Verdana"/>
          <w:sz w:val="16"/>
          <w:szCs w:val="16"/>
          <w:lang w:val="en-US"/>
        </w:rPr>
        <w:t xml:space="preserve"> Enrico Letta, ‘Much more than a market. Speed, security, solidarity. Empowering the Single Market to deliver a sustainable future and prosperity for all EU citizens’, </w:t>
      </w:r>
      <w:proofErr w:type="spellStart"/>
      <w:r w:rsidRPr="00C4305D">
        <w:rPr>
          <w:rFonts w:ascii="Verdana" w:hAnsi="Verdana"/>
          <w:sz w:val="16"/>
          <w:szCs w:val="16"/>
          <w:lang w:val="en-US"/>
        </w:rPr>
        <w:t>april</w:t>
      </w:r>
      <w:proofErr w:type="spellEnd"/>
      <w:r w:rsidRPr="00C4305D">
        <w:rPr>
          <w:rFonts w:ascii="Verdana" w:hAnsi="Verdana"/>
          <w:sz w:val="16"/>
          <w:szCs w:val="16"/>
          <w:lang w:val="en-US"/>
        </w:rPr>
        <w:t xml:space="preserve"> 2024, </w:t>
      </w:r>
      <w:hyperlink r:id="rId4" w:history="1">
        <w:r w:rsidRPr="00C4305D">
          <w:rPr>
            <w:rStyle w:val="Hyperlink"/>
            <w:rFonts w:ascii="Verdana" w:hAnsi="Verdana"/>
            <w:sz w:val="16"/>
            <w:szCs w:val="16"/>
            <w:lang w:val="en-US"/>
          </w:rPr>
          <w:t>https://www.consilium.europa.eu/media/ny3j24sm/much-more-than-a-market-report-by-enrico-letta.pdf</w:t>
        </w:r>
      </w:hyperlink>
      <w:r w:rsidRPr="00C4305D">
        <w:rPr>
          <w:rFonts w:ascii="Verdana" w:hAnsi="Verdana"/>
          <w:sz w:val="16"/>
          <w:szCs w:val="16"/>
          <w:lang w:val="en-US"/>
        </w:rPr>
        <w:t>.</w:t>
      </w:r>
    </w:p>
  </w:footnote>
  <w:footnote w:id="6">
    <w:p w14:paraId="6FFA3ECB" w14:textId="5BBE16EB" w:rsidR="006F4799" w:rsidRPr="00C4305D" w:rsidRDefault="006F4799" w:rsidP="00D854DF">
      <w:pPr>
        <w:pStyle w:val="Voetnoottekst"/>
        <w:rPr>
          <w:rFonts w:ascii="Verdana" w:hAnsi="Verdana"/>
          <w:sz w:val="16"/>
          <w:szCs w:val="16"/>
          <w:lang w:val="en-US"/>
        </w:rPr>
      </w:pPr>
      <w:r w:rsidRPr="00C4305D">
        <w:rPr>
          <w:rStyle w:val="Voetnootmarkering"/>
          <w:rFonts w:ascii="Verdana" w:hAnsi="Verdana"/>
          <w:sz w:val="16"/>
          <w:szCs w:val="16"/>
        </w:rPr>
        <w:footnoteRef/>
      </w:r>
      <w:r w:rsidRPr="00C4305D">
        <w:rPr>
          <w:rFonts w:ascii="Verdana" w:hAnsi="Verdana"/>
          <w:sz w:val="16"/>
          <w:szCs w:val="16"/>
          <w:lang w:val="en-US"/>
        </w:rPr>
        <w:t xml:space="preserve"> Progress on financial services legislative files, </w:t>
      </w:r>
      <w:r w:rsidR="007B756E" w:rsidRPr="00C4305D">
        <w:rPr>
          <w:rFonts w:ascii="Verdana" w:hAnsi="Verdana"/>
          <w:sz w:val="16"/>
          <w:szCs w:val="16"/>
          <w:lang w:val="en-US"/>
        </w:rPr>
        <w:t>11892</w:t>
      </w:r>
      <w:r w:rsidRPr="00C4305D">
        <w:rPr>
          <w:rFonts w:ascii="Verdana" w:hAnsi="Verdana"/>
          <w:sz w:val="16"/>
          <w:szCs w:val="16"/>
          <w:lang w:val="en-US"/>
        </w:rPr>
        <w:t xml:space="preserve">/24, Brussel, </w:t>
      </w:r>
      <w:r w:rsidR="007B756E" w:rsidRPr="00C4305D">
        <w:rPr>
          <w:rFonts w:ascii="Verdana" w:hAnsi="Verdana"/>
          <w:sz w:val="16"/>
          <w:szCs w:val="16"/>
          <w:lang w:val="en-US"/>
        </w:rPr>
        <w:t xml:space="preserve">10 </w:t>
      </w:r>
      <w:proofErr w:type="spellStart"/>
      <w:r w:rsidR="007B756E" w:rsidRPr="00C4305D">
        <w:rPr>
          <w:rFonts w:ascii="Verdana" w:hAnsi="Verdana"/>
          <w:sz w:val="16"/>
          <w:szCs w:val="16"/>
          <w:lang w:val="en-US"/>
        </w:rPr>
        <w:t>juli</w:t>
      </w:r>
      <w:proofErr w:type="spellEnd"/>
      <w:r w:rsidR="007B756E" w:rsidRPr="00C4305D">
        <w:rPr>
          <w:rFonts w:ascii="Verdana" w:hAnsi="Verdana"/>
          <w:sz w:val="16"/>
          <w:szCs w:val="16"/>
          <w:lang w:val="en-US"/>
        </w:rPr>
        <w:t xml:space="preserve"> </w:t>
      </w:r>
      <w:r w:rsidRPr="00C4305D">
        <w:rPr>
          <w:rFonts w:ascii="Verdana" w:hAnsi="Verdana"/>
          <w:sz w:val="16"/>
          <w:szCs w:val="16"/>
          <w:lang w:val="en-US"/>
        </w:rPr>
        <w:t xml:space="preserve">2024, </w:t>
      </w:r>
      <w:hyperlink r:id="rId5" w:history="1">
        <w:r w:rsidRPr="00C4305D">
          <w:rPr>
            <w:rStyle w:val="Hyperlink"/>
            <w:rFonts w:ascii="Verdana" w:hAnsi="Verdana"/>
            <w:sz w:val="16"/>
            <w:szCs w:val="16"/>
            <w:lang w:val="en-US"/>
          </w:rPr>
          <w:t>https://data.consilium.europa.eu/doc/document/ST-10217-2024-INIT/en/pdf</w:t>
        </w:r>
      </w:hyperlink>
      <w:r w:rsidRPr="00C4305D">
        <w:rPr>
          <w:rFonts w:ascii="Verdana" w:hAnsi="Verdana"/>
          <w:sz w:val="16"/>
          <w:szCs w:val="16"/>
          <w:lang w:val="en-US"/>
        </w:rPr>
        <w:t>.</w:t>
      </w:r>
    </w:p>
  </w:footnote>
  <w:footnote w:id="7">
    <w:p w14:paraId="39EB9F4A" w14:textId="63308482" w:rsidR="007F2F4B" w:rsidRPr="00C4305D" w:rsidRDefault="007F2F4B">
      <w:pPr>
        <w:pStyle w:val="Voetnoottekst"/>
        <w:rPr>
          <w:rFonts w:ascii="Verdana" w:hAnsi="Verdana"/>
          <w:sz w:val="16"/>
          <w:szCs w:val="16"/>
          <w:lang w:val="en-US"/>
        </w:rPr>
      </w:pPr>
      <w:r w:rsidRPr="00C4305D">
        <w:rPr>
          <w:rStyle w:val="Voetnootmarkering"/>
          <w:rFonts w:ascii="Verdana" w:hAnsi="Verdana"/>
          <w:sz w:val="16"/>
          <w:szCs w:val="16"/>
        </w:rPr>
        <w:footnoteRef/>
      </w:r>
      <w:r w:rsidRPr="00C4305D">
        <w:rPr>
          <w:rFonts w:ascii="Verdana" w:hAnsi="Verdana"/>
          <w:sz w:val="16"/>
          <w:szCs w:val="16"/>
          <w:lang w:val="en-US"/>
        </w:rPr>
        <w:t xml:space="preserve"> </w:t>
      </w:r>
      <w:proofErr w:type="spellStart"/>
      <w:r w:rsidRPr="00C4305D">
        <w:rPr>
          <w:rFonts w:ascii="Verdana" w:hAnsi="Verdana"/>
          <w:sz w:val="16"/>
          <w:szCs w:val="16"/>
          <w:lang w:val="en-US"/>
        </w:rPr>
        <w:t>Werkprogramma</w:t>
      </w:r>
      <w:proofErr w:type="spellEnd"/>
      <w:r w:rsidRPr="00C4305D">
        <w:rPr>
          <w:rFonts w:ascii="Verdana" w:hAnsi="Verdana"/>
          <w:sz w:val="16"/>
          <w:szCs w:val="16"/>
          <w:lang w:val="en-US"/>
        </w:rPr>
        <w:t xml:space="preserve"> </w:t>
      </w:r>
      <w:proofErr w:type="spellStart"/>
      <w:r w:rsidRPr="00C4305D">
        <w:rPr>
          <w:rFonts w:ascii="Verdana" w:hAnsi="Verdana"/>
          <w:sz w:val="16"/>
          <w:szCs w:val="16"/>
          <w:lang w:val="en-US"/>
        </w:rPr>
        <w:t>Hongaars</w:t>
      </w:r>
      <w:proofErr w:type="spellEnd"/>
      <w:r w:rsidRPr="00C4305D">
        <w:rPr>
          <w:rFonts w:ascii="Verdana" w:hAnsi="Verdana"/>
          <w:sz w:val="16"/>
          <w:szCs w:val="16"/>
          <w:lang w:val="en-US"/>
        </w:rPr>
        <w:t xml:space="preserve"> </w:t>
      </w:r>
      <w:proofErr w:type="spellStart"/>
      <w:r w:rsidRPr="00C4305D">
        <w:rPr>
          <w:rFonts w:ascii="Verdana" w:hAnsi="Verdana"/>
          <w:sz w:val="16"/>
          <w:szCs w:val="16"/>
          <w:lang w:val="en-US"/>
        </w:rPr>
        <w:t>voorzitterschap</w:t>
      </w:r>
      <w:proofErr w:type="spellEnd"/>
      <w:r w:rsidRPr="00C4305D">
        <w:rPr>
          <w:rFonts w:ascii="Verdana" w:hAnsi="Verdana"/>
          <w:sz w:val="16"/>
          <w:szCs w:val="16"/>
          <w:lang w:val="en-US"/>
        </w:rPr>
        <w:t>, ‘</w:t>
      </w:r>
      <w:proofErr w:type="spellStart"/>
      <w:r w:rsidRPr="00C4305D">
        <w:rPr>
          <w:rFonts w:ascii="Verdana" w:hAnsi="Verdana"/>
          <w:sz w:val="16"/>
          <w:szCs w:val="16"/>
          <w:lang w:val="en-US"/>
        </w:rPr>
        <w:t>Programme</w:t>
      </w:r>
      <w:proofErr w:type="spellEnd"/>
      <w:r w:rsidRPr="00C4305D">
        <w:rPr>
          <w:rFonts w:ascii="Verdana" w:hAnsi="Verdana"/>
          <w:sz w:val="16"/>
          <w:szCs w:val="16"/>
          <w:lang w:val="en-US"/>
        </w:rPr>
        <w:t xml:space="preserve"> of the Hungarian presidency of the Council of the European Union in the second half of 2024’, </w:t>
      </w:r>
      <w:hyperlink r:id="rId6" w:history="1">
        <w:r w:rsidRPr="00C4305D">
          <w:rPr>
            <w:rStyle w:val="Hyperlink"/>
            <w:rFonts w:ascii="Verdana" w:hAnsi="Verdana"/>
            <w:sz w:val="16"/>
            <w:szCs w:val="16"/>
            <w:lang w:val="en-US"/>
          </w:rPr>
          <w:t>https://hungarian-presidency.consilium.europa.eu/media/32nhoe0p/programme-and-priorities-of-the-hungarian-presidency.pdf</w:t>
        </w:r>
      </w:hyperlink>
      <w:r w:rsidRPr="00C4305D">
        <w:rPr>
          <w:rFonts w:ascii="Verdana" w:hAnsi="Verdana"/>
          <w:sz w:val="16"/>
          <w:szCs w:val="16"/>
          <w:lang w:val="en-US"/>
        </w:rPr>
        <w:t>.</w:t>
      </w:r>
    </w:p>
  </w:footnote>
  <w:footnote w:id="8">
    <w:p w14:paraId="410F0AE4" w14:textId="5AFAD7AF" w:rsidR="007F2F4B" w:rsidRPr="00C4305D" w:rsidRDefault="007F2F4B">
      <w:pPr>
        <w:pStyle w:val="Voetnoottekst"/>
        <w:rPr>
          <w:rFonts w:ascii="Verdana" w:hAnsi="Verdana"/>
          <w:sz w:val="16"/>
          <w:szCs w:val="16"/>
        </w:rPr>
      </w:pPr>
      <w:r w:rsidRPr="00C4305D">
        <w:rPr>
          <w:rStyle w:val="Voetnootmarkering"/>
          <w:rFonts w:ascii="Verdana" w:hAnsi="Verdana"/>
          <w:sz w:val="16"/>
          <w:szCs w:val="16"/>
        </w:rPr>
        <w:footnoteRef/>
      </w:r>
      <w:r w:rsidRPr="00C4305D">
        <w:rPr>
          <w:rFonts w:ascii="Verdana" w:hAnsi="Verdana"/>
          <w:sz w:val="16"/>
          <w:szCs w:val="16"/>
        </w:rPr>
        <w:t xml:space="preserve"> Kamerstukken II, 2023-2024, 21 501-07, nr. 2052.</w:t>
      </w:r>
    </w:p>
  </w:footnote>
  <w:footnote w:id="9">
    <w:p w14:paraId="32127D6C" w14:textId="77777777" w:rsidR="001C7278" w:rsidRPr="00C4305D" w:rsidRDefault="001C7278" w:rsidP="001C7278">
      <w:pPr>
        <w:pStyle w:val="Voetnoottekst"/>
        <w:rPr>
          <w:rFonts w:ascii="Verdana" w:hAnsi="Verdana"/>
          <w:sz w:val="16"/>
          <w:szCs w:val="16"/>
        </w:rPr>
      </w:pPr>
      <w:r w:rsidRPr="00C4305D">
        <w:rPr>
          <w:rStyle w:val="Voetnootmarkering"/>
          <w:rFonts w:ascii="Verdana" w:hAnsi="Verdana"/>
          <w:sz w:val="16"/>
          <w:szCs w:val="16"/>
        </w:rPr>
        <w:footnoteRef/>
      </w:r>
      <w:r w:rsidRPr="00C4305D">
        <w:rPr>
          <w:rFonts w:ascii="Verdana" w:hAnsi="Verdana"/>
          <w:sz w:val="16"/>
          <w:szCs w:val="16"/>
        </w:rPr>
        <w:t xml:space="preserve"> Raad van de Europese Unie, ‘Europees Semester 2024: Raad akkoord over </w:t>
      </w:r>
      <w:proofErr w:type="spellStart"/>
      <w:r w:rsidRPr="00C4305D">
        <w:rPr>
          <w:rFonts w:ascii="Verdana" w:hAnsi="Verdana"/>
          <w:sz w:val="16"/>
          <w:szCs w:val="16"/>
        </w:rPr>
        <w:t>landspecifieke</w:t>
      </w:r>
      <w:proofErr w:type="spellEnd"/>
      <w:r w:rsidRPr="00C4305D">
        <w:rPr>
          <w:rFonts w:ascii="Verdana" w:hAnsi="Verdana"/>
          <w:sz w:val="16"/>
          <w:szCs w:val="16"/>
        </w:rPr>
        <w:t xml:space="preserve"> aanbevelingen’, Brussel, 16 juli 2024, </w:t>
      </w:r>
      <w:hyperlink r:id="rId7" w:history="1">
        <w:r w:rsidRPr="00C4305D">
          <w:rPr>
            <w:rStyle w:val="Hyperlink"/>
            <w:rFonts w:ascii="Verdana" w:hAnsi="Verdana"/>
            <w:sz w:val="16"/>
            <w:szCs w:val="16"/>
          </w:rPr>
          <w:t>https://www.consilium.europa.eu/en/press/press-releases/2024/07/16/european-semester-2024-council-agrees-on-country-specific-recommendations/</w:t>
        </w:r>
      </w:hyperlink>
      <w:r w:rsidRPr="00C4305D">
        <w:rPr>
          <w:rFonts w:ascii="Verdana" w:hAnsi="Verdana"/>
          <w:sz w:val="16"/>
          <w:szCs w:val="16"/>
        </w:rPr>
        <w:t>.</w:t>
      </w:r>
    </w:p>
  </w:footnote>
  <w:footnote w:id="10">
    <w:p w14:paraId="27715ADE" w14:textId="77777777" w:rsidR="001C7278" w:rsidRDefault="001C7278" w:rsidP="001C7278">
      <w:pPr>
        <w:pStyle w:val="Voetnoottekst"/>
      </w:pPr>
      <w:r>
        <w:rPr>
          <w:rStyle w:val="Voetnootmarkering"/>
        </w:rPr>
        <w:footnoteRef/>
      </w:r>
      <w:r>
        <w:t xml:space="preserve"> </w:t>
      </w:r>
      <w:r w:rsidRPr="00C4305D">
        <w:rPr>
          <w:rFonts w:ascii="Verdana" w:hAnsi="Verdana"/>
          <w:sz w:val="16"/>
          <w:szCs w:val="16"/>
        </w:rPr>
        <w:t>Kamerstukken II, 2023-2024, 21 501-07, nr. 2052.</w:t>
      </w:r>
    </w:p>
  </w:footnote>
  <w:footnote w:id="11">
    <w:p w14:paraId="5A3636DB" w14:textId="77777777" w:rsidR="001C7278" w:rsidRPr="00C4305D" w:rsidRDefault="001C7278" w:rsidP="001C7278">
      <w:pPr>
        <w:pStyle w:val="Voetnoottekst"/>
        <w:rPr>
          <w:rFonts w:ascii="Verdana" w:hAnsi="Verdana"/>
          <w:sz w:val="16"/>
          <w:szCs w:val="16"/>
        </w:rPr>
      </w:pPr>
      <w:r w:rsidRPr="00C4305D">
        <w:rPr>
          <w:rStyle w:val="Voetnootmarkering"/>
          <w:rFonts w:ascii="Verdana" w:hAnsi="Verdana"/>
          <w:sz w:val="16"/>
          <w:szCs w:val="16"/>
        </w:rPr>
        <w:footnoteRef/>
      </w:r>
      <w:r w:rsidRPr="00C4305D">
        <w:rPr>
          <w:rFonts w:ascii="Verdana" w:hAnsi="Verdana"/>
          <w:sz w:val="16"/>
          <w:szCs w:val="16"/>
        </w:rPr>
        <w:t xml:space="preserve"> Raad van de Europese Unie, ‘Macro-economische onevenwichtigheden: Raad keurt conclusies goed’, Brussel 16 juli 2024, </w:t>
      </w:r>
      <w:hyperlink r:id="rId8" w:history="1">
        <w:r w:rsidRPr="00C4305D">
          <w:rPr>
            <w:rStyle w:val="Hyperlink"/>
            <w:rFonts w:ascii="Verdana" w:hAnsi="Verdana"/>
            <w:sz w:val="16"/>
            <w:szCs w:val="16"/>
          </w:rPr>
          <w:t>https://www.consilium.europa.eu/nl/press/press-releases/2024/07/16/macroeconomic-imbalance-procedure-council-approves-conclusions/</w:t>
        </w:r>
      </w:hyperlink>
      <w:r w:rsidRPr="00C4305D">
        <w:rPr>
          <w:rFonts w:ascii="Verdana" w:hAnsi="Verdana"/>
          <w:sz w:val="16"/>
          <w:szCs w:val="16"/>
        </w:rPr>
        <w:t>.</w:t>
      </w:r>
    </w:p>
  </w:footnote>
  <w:footnote w:id="12">
    <w:p w14:paraId="58F84222" w14:textId="77777777" w:rsidR="003D6D2C" w:rsidRPr="00C4305D" w:rsidRDefault="003D6D2C" w:rsidP="003D6D2C">
      <w:pPr>
        <w:pStyle w:val="Default"/>
        <w:rPr>
          <w:sz w:val="16"/>
          <w:szCs w:val="16"/>
        </w:rPr>
      </w:pPr>
      <w:r w:rsidRPr="00C4305D">
        <w:rPr>
          <w:rStyle w:val="Voetnootmarkering"/>
          <w:sz w:val="16"/>
          <w:szCs w:val="16"/>
        </w:rPr>
        <w:footnoteRef/>
      </w:r>
      <w:r w:rsidRPr="00C4305D">
        <w:rPr>
          <w:sz w:val="16"/>
          <w:szCs w:val="16"/>
        </w:rPr>
        <w:t xml:space="preserve"> Europese Commissie, ‘</w:t>
      </w:r>
      <w:proofErr w:type="spellStart"/>
      <w:r w:rsidRPr="00C4305D">
        <w:rPr>
          <w:sz w:val="16"/>
          <w:szCs w:val="16"/>
        </w:rPr>
        <w:t>Convergence</w:t>
      </w:r>
      <w:proofErr w:type="spellEnd"/>
      <w:r w:rsidRPr="00C4305D">
        <w:rPr>
          <w:sz w:val="16"/>
          <w:szCs w:val="16"/>
        </w:rPr>
        <w:t xml:space="preserve"> Report 2024’, 26 juni 2024, </w:t>
      </w:r>
      <w:hyperlink r:id="rId9" w:history="1">
        <w:r w:rsidRPr="00C4305D">
          <w:rPr>
            <w:rStyle w:val="Hyperlink"/>
            <w:sz w:val="16"/>
            <w:szCs w:val="16"/>
          </w:rPr>
          <w:t>https://economy-finance.ec.europa.eu/publications/convergence-report-2024_en</w:t>
        </w:r>
      </w:hyperlink>
      <w:r w:rsidRPr="00C4305D">
        <w:rPr>
          <w:sz w:val="16"/>
          <w:szCs w:val="16"/>
        </w:rPr>
        <w:t>; Europese Centrale Bank, ‘</w:t>
      </w:r>
      <w:proofErr w:type="spellStart"/>
      <w:r w:rsidRPr="00C4305D">
        <w:rPr>
          <w:sz w:val="16"/>
          <w:szCs w:val="16"/>
        </w:rPr>
        <w:t>Convergence</w:t>
      </w:r>
      <w:proofErr w:type="spellEnd"/>
      <w:r w:rsidRPr="00C4305D">
        <w:rPr>
          <w:sz w:val="16"/>
          <w:szCs w:val="16"/>
        </w:rPr>
        <w:t xml:space="preserve"> Report’, juni 2024, </w:t>
      </w:r>
      <w:hyperlink r:id="rId10" w:history="1">
        <w:r w:rsidRPr="00C4305D">
          <w:rPr>
            <w:rStyle w:val="Hyperlink"/>
            <w:sz w:val="16"/>
            <w:szCs w:val="16"/>
          </w:rPr>
          <w:t>https://www.ecb.europa.eu/press/other-publications/convergence/html/index.en.html</w:t>
        </w:r>
      </w:hyperlink>
      <w:r w:rsidRPr="00C4305D">
        <w:rPr>
          <w:sz w:val="16"/>
          <w:szCs w:val="16"/>
        </w:rPr>
        <w:t>.</w:t>
      </w:r>
    </w:p>
  </w:footnote>
  <w:footnote w:id="13">
    <w:p w14:paraId="470DF854" w14:textId="77777777" w:rsidR="003D6D2C" w:rsidRPr="00C4305D" w:rsidRDefault="003D6D2C" w:rsidP="003D6D2C">
      <w:pPr>
        <w:pStyle w:val="Voetnoottekst"/>
        <w:rPr>
          <w:rFonts w:ascii="Verdana" w:hAnsi="Verdana"/>
          <w:sz w:val="16"/>
          <w:szCs w:val="16"/>
        </w:rPr>
      </w:pPr>
      <w:r w:rsidRPr="00C4305D">
        <w:rPr>
          <w:rStyle w:val="Voetnootmarkering"/>
          <w:rFonts w:ascii="Verdana" w:hAnsi="Verdana"/>
          <w:sz w:val="16"/>
          <w:szCs w:val="16"/>
        </w:rPr>
        <w:footnoteRef/>
      </w:r>
      <w:r w:rsidRPr="00C4305D">
        <w:rPr>
          <w:rFonts w:ascii="Verdana" w:hAnsi="Verdana"/>
          <w:sz w:val="16"/>
          <w:szCs w:val="16"/>
        </w:rPr>
        <w:t xml:space="preserve"> Kamerstukken II, 2023-2024, 21 501-07, nr. 2052.</w:t>
      </w:r>
    </w:p>
  </w:footnote>
  <w:footnote w:id="14">
    <w:p w14:paraId="43675551" w14:textId="49428C62" w:rsidR="003907CF" w:rsidRPr="00C4305D" w:rsidRDefault="003907CF" w:rsidP="00D854DF">
      <w:pPr>
        <w:pStyle w:val="Voetnoottekst"/>
        <w:rPr>
          <w:rFonts w:ascii="Verdana" w:hAnsi="Verdana"/>
          <w:sz w:val="16"/>
          <w:szCs w:val="16"/>
        </w:rPr>
      </w:pPr>
      <w:r w:rsidRPr="00C4305D">
        <w:rPr>
          <w:rStyle w:val="Voetnootmarkering"/>
          <w:rFonts w:ascii="Verdana" w:hAnsi="Verdana"/>
          <w:sz w:val="16"/>
          <w:szCs w:val="16"/>
        </w:rPr>
        <w:footnoteRef/>
      </w:r>
      <w:r w:rsidRPr="00C4305D">
        <w:rPr>
          <w:rFonts w:ascii="Verdana" w:hAnsi="Verdana"/>
          <w:sz w:val="16"/>
          <w:szCs w:val="16"/>
        </w:rPr>
        <w:t xml:space="preserve"> Kamerstukken II, 2023-2024, 21 501-07, nr. 2052.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5A201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562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3D"/>
    <w:rsid w:val="00097C17"/>
    <w:rsid w:val="000F640B"/>
    <w:rsid w:val="00103E7B"/>
    <w:rsid w:val="00141A1F"/>
    <w:rsid w:val="00191405"/>
    <w:rsid w:val="001A01C3"/>
    <w:rsid w:val="001C2C9E"/>
    <w:rsid w:val="001C4E01"/>
    <w:rsid w:val="001C7278"/>
    <w:rsid w:val="001E56D1"/>
    <w:rsid w:val="001E6A24"/>
    <w:rsid w:val="002C2C07"/>
    <w:rsid w:val="002D0103"/>
    <w:rsid w:val="002F3932"/>
    <w:rsid w:val="00307B07"/>
    <w:rsid w:val="0033025A"/>
    <w:rsid w:val="003907CF"/>
    <w:rsid w:val="003B1445"/>
    <w:rsid w:val="003C2E7F"/>
    <w:rsid w:val="003D6D2C"/>
    <w:rsid w:val="003E40B3"/>
    <w:rsid w:val="00414CE3"/>
    <w:rsid w:val="00426E25"/>
    <w:rsid w:val="00427B0C"/>
    <w:rsid w:val="004B73AD"/>
    <w:rsid w:val="004E4190"/>
    <w:rsid w:val="00570C9D"/>
    <w:rsid w:val="005E1282"/>
    <w:rsid w:val="005F7471"/>
    <w:rsid w:val="00601FAF"/>
    <w:rsid w:val="006B6825"/>
    <w:rsid w:val="006C6791"/>
    <w:rsid w:val="006D71CE"/>
    <w:rsid w:val="006F4799"/>
    <w:rsid w:val="00750A88"/>
    <w:rsid w:val="007A4130"/>
    <w:rsid w:val="007A4FF2"/>
    <w:rsid w:val="007B756E"/>
    <w:rsid w:val="007F2F4B"/>
    <w:rsid w:val="008E7291"/>
    <w:rsid w:val="00947FA5"/>
    <w:rsid w:val="0096793D"/>
    <w:rsid w:val="009920C2"/>
    <w:rsid w:val="00A0218E"/>
    <w:rsid w:val="00A171C4"/>
    <w:rsid w:val="00A831AE"/>
    <w:rsid w:val="00AE4816"/>
    <w:rsid w:val="00AE481B"/>
    <w:rsid w:val="00AF134A"/>
    <w:rsid w:val="00B05F50"/>
    <w:rsid w:val="00B06701"/>
    <w:rsid w:val="00B1510B"/>
    <w:rsid w:val="00B3654B"/>
    <w:rsid w:val="00BF4F51"/>
    <w:rsid w:val="00BF76B3"/>
    <w:rsid w:val="00C4305D"/>
    <w:rsid w:val="00D32F55"/>
    <w:rsid w:val="00D854DF"/>
    <w:rsid w:val="00DB45E8"/>
    <w:rsid w:val="00FF640E"/>
    <w:rsid w:val="30DD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61912"/>
  <w15:chartTrackingRefBased/>
  <w15:docId w15:val="{DAC48139-51AA-44CB-86C6-A05A84F8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F4799"/>
    <w:pPr>
      <w:spacing w:after="0" w:line="240" w:lineRule="auto"/>
    </w:pPr>
  </w:style>
  <w:style w:type="character" w:customStyle="1" w:styleId="rynqvb">
    <w:name w:val="rynqvb"/>
    <w:basedOn w:val="Standaardalinea-lettertype"/>
    <w:rsid w:val="006F4799"/>
  </w:style>
  <w:style w:type="paragraph" w:styleId="Voetnoottekst">
    <w:name w:val="footnote text"/>
    <w:basedOn w:val="Standaard"/>
    <w:link w:val="VoetnoottekstChar"/>
    <w:uiPriority w:val="99"/>
    <w:unhideWhenUsed/>
    <w:rsid w:val="006F4799"/>
    <w:pPr>
      <w:spacing w:after="0" w:line="240" w:lineRule="auto"/>
    </w:pPr>
    <w:rPr>
      <w:rFonts w:asciiTheme="minorHAnsi" w:hAnsiTheme="minorHAnsi"/>
      <w:kern w:val="2"/>
      <w:sz w:val="20"/>
      <w:szCs w:val="20"/>
      <w:lang w:val="nl-NL"/>
      <w14:ligatures w14:val="standardContextual"/>
    </w:rPr>
  </w:style>
  <w:style w:type="character" w:customStyle="1" w:styleId="VoetnoottekstChar">
    <w:name w:val="Voetnoottekst Char"/>
    <w:basedOn w:val="Standaardalinea-lettertype"/>
    <w:link w:val="Voetnoottekst"/>
    <w:uiPriority w:val="99"/>
    <w:rsid w:val="006F4799"/>
    <w:rPr>
      <w:rFonts w:asciiTheme="minorHAnsi" w:hAnsiTheme="minorHAnsi"/>
      <w:kern w:val="2"/>
      <w:sz w:val="20"/>
      <w:szCs w:val="20"/>
      <w:lang w:val="nl-NL"/>
      <w14:ligatures w14:val="standardContextual"/>
    </w:rPr>
  </w:style>
  <w:style w:type="character" w:styleId="Hyperlink">
    <w:name w:val="Hyperlink"/>
    <w:uiPriority w:val="99"/>
    <w:unhideWhenUsed/>
    <w:rsid w:val="006F4799"/>
    <w:rPr>
      <w:color w:val="0000FF"/>
      <w:u w:val="singl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rsid w:val="006F4799"/>
    <w:rPr>
      <w:vertAlign w:val="superscript"/>
    </w:rPr>
  </w:style>
  <w:style w:type="paragraph" w:customStyle="1" w:styleId="Default">
    <w:name w:val="Default"/>
    <w:rsid w:val="00A831AE"/>
    <w:pPr>
      <w:autoSpaceDE w:val="0"/>
      <w:autoSpaceDN w:val="0"/>
      <w:adjustRightInd w:val="0"/>
      <w:spacing w:after="0" w:line="240" w:lineRule="auto"/>
    </w:pPr>
    <w:rPr>
      <w:rFonts w:cs="Verdana"/>
      <w:color w:val="000000"/>
      <w:sz w:val="24"/>
      <w:szCs w:val="24"/>
      <w:lang w:val="nl-NL"/>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AE481B"/>
    <w:pPr>
      <w:widowControl w:val="0"/>
      <w:suppressAutoHyphens/>
      <w:spacing w:after="0" w:line="360" w:lineRule="auto"/>
      <w:ind w:left="720"/>
      <w:contextualSpacing/>
    </w:pPr>
    <w:rPr>
      <w:rFonts w:ascii="Arial" w:eastAsia="Times New Roman" w:hAnsi="Arial" w:cs="Times New Roman"/>
      <w:sz w:val="20"/>
      <w:szCs w:val="20"/>
      <w:lang w:val="nl-NL"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AE481B"/>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9920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20C2"/>
  </w:style>
  <w:style w:type="paragraph" w:styleId="Voettekst">
    <w:name w:val="footer"/>
    <w:basedOn w:val="Standaard"/>
    <w:link w:val="VoettekstChar"/>
    <w:uiPriority w:val="99"/>
    <w:unhideWhenUsed/>
    <w:rsid w:val="009920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59868">
      <w:bodyDiv w:val="1"/>
      <w:marLeft w:val="0"/>
      <w:marRight w:val="0"/>
      <w:marTop w:val="0"/>
      <w:marBottom w:val="0"/>
      <w:divBdr>
        <w:top w:val="none" w:sz="0" w:space="0" w:color="auto"/>
        <w:left w:val="none" w:sz="0" w:space="0" w:color="auto"/>
        <w:bottom w:val="none" w:sz="0" w:space="0" w:color="auto"/>
        <w:right w:val="none" w:sz="0" w:space="0" w:color="auto"/>
      </w:divBdr>
    </w:div>
    <w:div w:id="1625572251">
      <w:bodyDiv w:val="1"/>
      <w:marLeft w:val="0"/>
      <w:marRight w:val="0"/>
      <w:marTop w:val="0"/>
      <w:marBottom w:val="0"/>
      <w:divBdr>
        <w:top w:val="none" w:sz="0" w:space="0" w:color="auto"/>
        <w:left w:val="none" w:sz="0" w:space="0" w:color="auto"/>
        <w:bottom w:val="none" w:sz="0" w:space="0" w:color="auto"/>
        <w:right w:val="none" w:sz="0" w:space="0" w:color="auto"/>
      </w:divBdr>
    </w:div>
    <w:div w:id="1852064371">
      <w:bodyDiv w:val="1"/>
      <w:marLeft w:val="0"/>
      <w:marRight w:val="0"/>
      <w:marTop w:val="0"/>
      <w:marBottom w:val="0"/>
      <w:divBdr>
        <w:top w:val="none" w:sz="0" w:space="0" w:color="auto"/>
        <w:left w:val="none" w:sz="0" w:space="0" w:color="auto"/>
        <w:bottom w:val="none" w:sz="0" w:space="0" w:color="auto"/>
        <w:right w:val="none" w:sz="0" w:space="0" w:color="auto"/>
      </w:divBdr>
    </w:div>
    <w:div w:id="18869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nl/press/press-releases/2024/07/16/macroeconomic-imbalance-procedure-council-approves-conclusions/" TargetMode="External"/><Relationship Id="rId3" Type="http://schemas.openxmlformats.org/officeDocument/2006/relationships/hyperlink" Target="https://www.consilium.europa.eu/media/bcqnoz2v/eurogroup-work-programme-until-march-2025.pdf" TargetMode="External"/><Relationship Id="rId7" Type="http://schemas.openxmlformats.org/officeDocument/2006/relationships/hyperlink" Target="https://www.consilium.europa.eu/en/press/press-releases/2024/07/16/european-semester-2024-council-agrees-on-country-specific-recommendations/" TargetMode="External"/><Relationship Id="rId2" Type="http://schemas.openxmlformats.org/officeDocument/2006/relationships/hyperlink" Target="https://www.consilium.europa.eu/en/press/press-releases/2024/07/15/eurogroup-statement-on-the-fiscal-stance-for-the-euro-area-in-2025/" TargetMode="External"/><Relationship Id="rId1" Type="http://schemas.openxmlformats.org/officeDocument/2006/relationships/hyperlink" Target="https://commission.europa.eu/publications/european-fiscal-board-assesses-appropriate-fiscal-stance-euro-area-2025_en" TargetMode="External"/><Relationship Id="rId6" Type="http://schemas.openxmlformats.org/officeDocument/2006/relationships/hyperlink" Target="https://hungarian-presidency.consilium.europa.eu/media/32nhoe0p/programme-and-priorities-of-the-hungarian-presidency.pdf" TargetMode="External"/><Relationship Id="rId5" Type="http://schemas.openxmlformats.org/officeDocument/2006/relationships/hyperlink" Target="https://data.consilium.europa.eu/doc/document/ST-10217-2024-INIT/en/pdf" TargetMode="External"/><Relationship Id="rId10" Type="http://schemas.openxmlformats.org/officeDocument/2006/relationships/hyperlink" Target="https://www.ecb.europa.eu/press/other-publications/convergence/html/index.en.html" TargetMode="External"/><Relationship Id="rId4" Type="http://schemas.openxmlformats.org/officeDocument/2006/relationships/hyperlink" Target="https://www.consilium.europa.eu/media/ny3j24sm/much-more-than-a-market-report-by-enrico-letta.pdf" TargetMode="External"/><Relationship Id="rId9" Type="http://schemas.openxmlformats.org/officeDocument/2006/relationships/hyperlink" Target="https://economy-finance.ec.europa.eu/publications/convergence-report-2024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2714</ap:Words>
  <ap:Characters>14931</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2024-08-27T10:57:00.0000000Z</dcterms:created>
  <dcterms:modified xsi:type="dcterms:W3CDTF">2024-08-27T10:57:00.0000000Z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2024-07-18T12:05:32Z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81547288-513d-4559-8144-ae5b821ec345</vt:lpwstr>
  </property>
  <property fmtid="{D5CDD505-2E9C-101B-9397-08002B2CF9AE}" pid="8" name="MSIP_Label_6800fede-0e59-47ad-af95-4e63bbdb932d_ContentBits">
    <vt:lpwstr>0</vt:lpwstr>
  </property>
</Properties>
</file>