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D101B" w:rsidR="00CB4B14" w:rsidP="00CB4B14" w:rsidRDefault="00CB4B14" w14:paraId="5715B802" w14:textId="77777777">
      <w:pPr>
        <w:spacing w:line="240" w:lineRule="auto"/>
        <w:rPr>
          <w:rFonts w:ascii="Verdana" w:hAnsi="Verdana"/>
          <w:b/>
          <w:bCs/>
          <w:sz w:val="18"/>
          <w:szCs w:val="18"/>
          <w:lang w:val="nl-NL"/>
        </w:rPr>
      </w:pPr>
      <w:r w:rsidRPr="008D101B">
        <w:rPr>
          <w:rFonts w:ascii="Verdana" w:hAnsi="Verdana"/>
          <w:b/>
          <w:bCs/>
          <w:sz w:val="18"/>
          <w:szCs w:val="18"/>
          <w:lang w:val="nl-NL"/>
        </w:rPr>
        <w:t>VERSLAG VAN DE EUROPESE RAAD VAN 27 EN 28 JUNI 2024</w:t>
      </w:r>
    </w:p>
    <w:p w:rsidRPr="008D101B" w:rsidR="00CB4B14" w:rsidP="00CB4B14" w:rsidRDefault="00CB4B14" w14:paraId="774108C1" w14:textId="1E51C64A">
      <w:pPr>
        <w:spacing w:line="240" w:lineRule="auto"/>
        <w:rPr>
          <w:rFonts w:ascii="Verdana" w:hAnsi="Verdana"/>
          <w:sz w:val="18"/>
          <w:szCs w:val="18"/>
          <w:lang w:val="nl-NL"/>
        </w:rPr>
      </w:pPr>
      <w:r w:rsidRPr="008D101B">
        <w:rPr>
          <w:rFonts w:ascii="Verdana" w:hAnsi="Verdana"/>
          <w:sz w:val="18"/>
          <w:szCs w:val="18"/>
          <w:lang w:val="nl-NL"/>
        </w:rPr>
        <w:t xml:space="preserve">Op donderdag 27 en vrijdag 28 juni vond de Europese Raad (ER) plaats in Brussel. De ER sprak over de Russische agressie jegens Oekraïne, de situatie in het Midden-Oosten, veiligheid en defensie, concurrentievermogen en de kapitaalmarktunie, migratie, Georgië, Zwarte Zee, Moldavië, </w:t>
      </w:r>
      <w:r w:rsidR="0015282E">
        <w:rPr>
          <w:rFonts w:ascii="Verdana" w:hAnsi="Verdana"/>
          <w:sz w:val="18"/>
          <w:szCs w:val="18"/>
          <w:lang w:val="nl-NL"/>
        </w:rPr>
        <w:t xml:space="preserve">het </w:t>
      </w:r>
      <w:r w:rsidRPr="008D101B">
        <w:rPr>
          <w:rFonts w:ascii="Verdana" w:hAnsi="Verdana"/>
          <w:sz w:val="18"/>
          <w:szCs w:val="18"/>
          <w:lang w:val="nl-NL"/>
        </w:rPr>
        <w:t xml:space="preserve">tegengaan van antisemitisme, racisme en xenofobie, hybride dreigingen, </w:t>
      </w:r>
      <w:r w:rsidR="0097788B">
        <w:rPr>
          <w:rFonts w:ascii="Verdana" w:hAnsi="Verdana"/>
          <w:sz w:val="18"/>
          <w:szCs w:val="18"/>
          <w:lang w:val="nl-NL"/>
        </w:rPr>
        <w:t xml:space="preserve">de </w:t>
      </w:r>
      <w:r w:rsidRPr="008D101B">
        <w:rPr>
          <w:rFonts w:ascii="Verdana" w:hAnsi="Verdana"/>
          <w:sz w:val="18"/>
          <w:szCs w:val="18"/>
          <w:lang w:val="nl-NL"/>
        </w:rPr>
        <w:t xml:space="preserve">volgende institutionele cyclus en benoemingen. Daarnaast komt het kabinet in dit verslag terug op de toezeggingen gemaakt tijdens het plenair debat van 25 juni jl. over de Nederlandse steun aan </w:t>
      </w:r>
      <w:r w:rsidR="0025156A">
        <w:rPr>
          <w:rFonts w:ascii="Verdana" w:hAnsi="Verdana"/>
          <w:sz w:val="18"/>
          <w:szCs w:val="18"/>
          <w:lang w:val="nl-NL"/>
        </w:rPr>
        <w:t>het</w:t>
      </w:r>
      <w:r w:rsidRPr="008D101B">
        <w:rPr>
          <w:rFonts w:ascii="Verdana" w:hAnsi="Verdana"/>
          <w:sz w:val="18"/>
          <w:szCs w:val="18"/>
          <w:lang w:val="nl-NL"/>
        </w:rPr>
        <w:t xml:space="preserve"> energiesystee</w:t>
      </w:r>
      <w:r w:rsidR="00DE2A1D">
        <w:rPr>
          <w:rFonts w:ascii="Verdana" w:hAnsi="Verdana"/>
          <w:sz w:val="18"/>
          <w:szCs w:val="18"/>
          <w:lang w:val="nl-NL"/>
        </w:rPr>
        <w:t>m</w:t>
      </w:r>
      <w:r w:rsidRPr="008D101B">
        <w:rPr>
          <w:rFonts w:ascii="Verdana" w:hAnsi="Verdana"/>
          <w:sz w:val="18"/>
          <w:szCs w:val="18"/>
          <w:lang w:val="nl-NL"/>
        </w:rPr>
        <w:t xml:space="preserve"> in Oekraïne en het effect van de door de Europese Commissie ingestelde instrumenten richting Hongarije.</w:t>
      </w:r>
      <w:r w:rsidRPr="008D101B" w:rsidR="00BC67A7">
        <w:rPr>
          <w:rStyle w:val="FootnoteReference"/>
          <w:rFonts w:ascii="Verdana" w:hAnsi="Verdana"/>
          <w:sz w:val="18"/>
          <w:szCs w:val="18"/>
        </w:rPr>
        <w:footnoteReference w:id="2"/>
      </w:r>
      <w:r w:rsidRPr="008D101B">
        <w:rPr>
          <w:rFonts w:ascii="Verdana" w:hAnsi="Verdana"/>
          <w:sz w:val="18"/>
          <w:szCs w:val="18"/>
          <w:lang w:val="nl-NL"/>
        </w:rPr>
        <w:t xml:space="preserve"> </w:t>
      </w:r>
      <w:r w:rsidR="009366F0">
        <w:rPr>
          <w:rFonts w:ascii="Verdana" w:hAnsi="Verdana"/>
          <w:sz w:val="18"/>
          <w:szCs w:val="18"/>
          <w:lang w:val="nl-NL"/>
        </w:rPr>
        <w:t>Toenmalig</w:t>
      </w:r>
      <w:r w:rsidRPr="008D101B">
        <w:rPr>
          <w:rFonts w:ascii="Verdana" w:hAnsi="Verdana"/>
          <w:sz w:val="18"/>
          <w:szCs w:val="18"/>
          <w:lang w:val="nl-NL"/>
        </w:rPr>
        <w:t xml:space="preserve"> minister-president </w:t>
      </w:r>
      <w:r w:rsidR="009366F0">
        <w:rPr>
          <w:rFonts w:ascii="Verdana" w:hAnsi="Verdana"/>
          <w:sz w:val="18"/>
          <w:szCs w:val="18"/>
          <w:lang w:val="nl-NL"/>
        </w:rPr>
        <w:t xml:space="preserve">Mark Rutte </w:t>
      </w:r>
      <w:r w:rsidRPr="008D101B">
        <w:rPr>
          <w:rFonts w:ascii="Verdana" w:hAnsi="Verdana"/>
          <w:sz w:val="18"/>
          <w:szCs w:val="18"/>
          <w:lang w:val="nl-NL"/>
        </w:rPr>
        <w:t xml:space="preserve">nam deel aan de ER. </w:t>
      </w:r>
      <w:bookmarkStart w:name="_Hlk170748486" w:id="0"/>
      <w:r w:rsidRPr="008D101B">
        <w:rPr>
          <w:rFonts w:ascii="Verdana" w:hAnsi="Verdana"/>
          <w:sz w:val="18"/>
          <w:szCs w:val="18"/>
          <w:lang w:val="nl-NL"/>
        </w:rPr>
        <w:t>Aangezien tijdens deze ER zich geen gelegenheid voordeed om de motie Dassen c.s.</w:t>
      </w:r>
      <w:r w:rsidRPr="008D101B">
        <w:rPr>
          <w:rStyle w:val="FootnoteReference"/>
          <w:rFonts w:ascii="Verdana" w:hAnsi="Verdana"/>
          <w:sz w:val="18"/>
          <w:szCs w:val="18"/>
          <w:lang w:val="nl-NL"/>
        </w:rPr>
        <w:footnoteReference w:id="3"/>
      </w:r>
      <w:r w:rsidRPr="008D101B">
        <w:rPr>
          <w:rFonts w:ascii="Verdana" w:hAnsi="Verdana"/>
          <w:sz w:val="18"/>
          <w:szCs w:val="18"/>
          <w:lang w:val="nl-NL"/>
        </w:rPr>
        <w:t xml:space="preserve"> over te brengen, heeft de Nederlandse ambassadeur in Slowakije dit aan de Slowaakse regering overgebracht. </w:t>
      </w:r>
      <w:bookmarkEnd w:id="0"/>
    </w:p>
    <w:p w:rsidRPr="008D101B" w:rsidR="00CB4B14" w:rsidP="00CB4B14" w:rsidRDefault="00CB4B14" w14:paraId="14F9C0C3" w14:textId="77777777">
      <w:pPr>
        <w:spacing w:line="240" w:lineRule="auto"/>
        <w:rPr>
          <w:rFonts w:ascii="Verdana" w:hAnsi="Verdana"/>
          <w:i/>
          <w:iCs/>
          <w:sz w:val="18"/>
          <w:szCs w:val="18"/>
          <w:lang w:val="nl-NL"/>
        </w:rPr>
      </w:pPr>
      <w:r w:rsidRPr="008D101B">
        <w:rPr>
          <w:rFonts w:ascii="Verdana" w:hAnsi="Verdana"/>
          <w:i/>
          <w:iCs/>
          <w:sz w:val="18"/>
          <w:szCs w:val="18"/>
          <w:lang w:val="nl-NL"/>
        </w:rPr>
        <w:t>Oekraïne</w:t>
      </w:r>
    </w:p>
    <w:p w:rsidRPr="008D101B" w:rsidR="00CB4B14" w:rsidP="00CB4B14" w:rsidRDefault="00CB4B14" w14:paraId="4C64BB00" w14:textId="31430914">
      <w:pPr>
        <w:spacing w:line="240" w:lineRule="auto"/>
        <w:rPr>
          <w:rFonts w:ascii="Verdana" w:hAnsi="Verdana"/>
          <w:sz w:val="18"/>
          <w:szCs w:val="18"/>
          <w:lang w:val="nl-NL"/>
        </w:rPr>
      </w:pPr>
      <w:r w:rsidRPr="008D101B">
        <w:rPr>
          <w:rFonts w:ascii="Verdana" w:hAnsi="Verdana"/>
          <w:sz w:val="18"/>
          <w:szCs w:val="18"/>
          <w:lang w:val="nl-NL"/>
        </w:rPr>
        <w:t xml:space="preserve">De Oekraïense President </w:t>
      </w:r>
      <w:proofErr w:type="spellStart"/>
      <w:r w:rsidRPr="008D101B">
        <w:rPr>
          <w:rFonts w:ascii="Verdana" w:hAnsi="Verdana"/>
          <w:sz w:val="18"/>
          <w:szCs w:val="18"/>
          <w:lang w:val="nl-NL"/>
        </w:rPr>
        <w:t>Zelensky</w:t>
      </w:r>
      <w:proofErr w:type="spellEnd"/>
      <w:r w:rsidRPr="008D101B">
        <w:rPr>
          <w:rFonts w:ascii="Verdana" w:hAnsi="Verdana"/>
          <w:sz w:val="18"/>
          <w:szCs w:val="18"/>
          <w:lang w:val="nl-NL"/>
        </w:rPr>
        <w:t xml:space="preserve"> nam deel aan het eerste deel van de vergadering. In zijn interactie met de regeringsleiders benadrukte President </w:t>
      </w:r>
      <w:proofErr w:type="spellStart"/>
      <w:r w:rsidRPr="008D101B">
        <w:rPr>
          <w:rFonts w:ascii="Verdana" w:hAnsi="Verdana"/>
          <w:sz w:val="18"/>
          <w:szCs w:val="18"/>
          <w:lang w:val="nl-NL"/>
        </w:rPr>
        <w:t>Zelensky</w:t>
      </w:r>
      <w:proofErr w:type="spellEnd"/>
      <w:r w:rsidRPr="008D101B">
        <w:rPr>
          <w:rFonts w:ascii="Verdana" w:hAnsi="Verdana"/>
          <w:sz w:val="18"/>
          <w:szCs w:val="18"/>
          <w:lang w:val="nl-NL"/>
        </w:rPr>
        <w:t xml:space="preserve"> onder meer het belang van steun aan herstel </w:t>
      </w:r>
      <w:r w:rsidR="0015282E">
        <w:rPr>
          <w:rFonts w:ascii="Verdana" w:hAnsi="Verdana"/>
          <w:sz w:val="18"/>
          <w:szCs w:val="18"/>
          <w:lang w:val="nl-NL"/>
        </w:rPr>
        <w:t xml:space="preserve">van de </w:t>
      </w:r>
      <w:r w:rsidRPr="008D101B">
        <w:rPr>
          <w:rFonts w:ascii="Verdana" w:hAnsi="Verdana"/>
          <w:sz w:val="18"/>
          <w:szCs w:val="18"/>
          <w:lang w:val="nl-NL"/>
        </w:rPr>
        <w:t xml:space="preserve">energie infrastructuur, die door Rusland bewust en grootschalig onder vuur wordt genomen. </w:t>
      </w:r>
    </w:p>
    <w:p w:rsidRPr="008D101B" w:rsidR="00CB4B14" w:rsidP="00CB4B14" w:rsidRDefault="00CB4B14" w14:paraId="4F66D7C0" w14:textId="6A97030F">
      <w:pPr>
        <w:spacing w:line="240" w:lineRule="auto"/>
        <w:rPr>
          <w:rFonts w:ascii="Verdana" w:hAnsi="Verdana"/>
          <w:sz w:val="18"/>
          <w:szCs w:val="18"/>
          <w:lang w:val="nl-NL"/>
        </w:rPr>
      </w:pPr>
      <w:r w:rsidRPr="008D101B">
        <w:rPr>
          <w:rFonts w:ascii="Verdana" w:hAnsi="Verdana"/>
          <w:sz w:val="18"/>
          <w:szCs w:val="18"/>
          <w:lang w:val="nl-NL"/>
        </w:rPr>
        <w:t>De ER herhaalde de aanhoudende steun voor de onafhankelijkheid, soevereiniteit en territoriale integriteit van Oekraïne binnen zijn internationaal erkende grenzen en bevestigde opnieuw de onwrikbare inzet van de Europese Unie</w:t>
      </w:r>
      <w:r w:rsidR="0097788B">
        <w:rPr>
          <w:rFonts w:ascii="Verdana" w:hAnsi="Verdana"/>
          <w:sz w:val="18"/>
          <w:szCs w:val="18"/>
          <w:lang w:val="nl-NL"/>
        </w:rPr>
        <w:t xml:space="preserve"> (EU)</w:t>
      </w:r>
      <w:r w:rsidRPr="008D101B">
        <w:rPr>
          <w:rFonts w:ascii="Verdana" w:hAnsi="Verdana"/>
          <w:sz w:val="18"/>
          <w:szCs w:val="18"/>
          <w:lang w:val="nl-NL"/>
        </w:rPr>
        <w:t xml:space="preserve"> om aanhoudende politieke, financiële, economische, humanitaire, militaire en diplomatieke steun te verlenen aan Oekraïne en zijn bevolking, met wat nodig is en zo lang als nodig is. Rusland mag deze oorlog niet winnen.</w:t>
      </w:r>
    </w:p>
    <w:p w:rsidRPr="008D101B" w:rsidR="00CB4B14" w:rsidP="00CB4B14" w:rsidRDefault="00CB4B14" w14:paraId="376FB80B" w14:textId="502E2DA5">
      <w:pPr>
        <w:spacing w:line="240" w:lineRule="auto"/>
        <w:rPr>
          <w:rFonts w:ascii="Verdana" w:hAnsi="Verdana"/>
          <w:sz w:val="18"/>
          <w:szCs w:val="18"/>
          <w:lang w:val="nl-NL"/>
        </w:rPr>
      </w:pPr>
      <w:r w:rsidRPr="008D101B">
        <w:rPr>
          <w:rFonts w:ascii="Verdana" w:hAnsi="Verdana"/>
          <w:sz w:val="18"/>
          <w:szCs w:val="18"/>
          <w:lang w:val="nl-NL"/>
        </w:rPr>
        <w:t xml:space="preserve">De ER riep op tot het opvoeren van militaire steun, in het bijzonder luchtverdediging, munitie en raketten. De ER riep de Raad op om de werkzaamheden met betrekking tot de steunmaatregelen van de Europese Vredesfaciliteit snel af te ronden. De ER verklaarde dat de EU klaar staat om de capaciteit van de Militaire Bijstandsmissie van de EU ter ondersteuning van Oekraïne (EUMAM Ukraine) verder te vergroten. De ER sprak tevredenheid uit over het afsluiten van </w:t>
      </w:r>
      <w:r w:rsidRPr="0097788B">
        <w:rPr>
          <w:rFonts w:ascii="Verdana" w:hAnsi="Verdana"/>
          <w:sz w:val="18"/>
          <w:szCs w:val="18"/>
          <w:lang w:val="nl-NL"/>
        </w:rPr>
        <w:t>een veiligheidsarrangement</w:t>
      </w:r>
      <w:r w:rsidRPr="0097788B">
        <w:rPr>
          <w:rFonts w:ascii="Verdana" w:hAnsi="Verdana"/>
          <w:i/>
          <w:iCs/>
          <w:sz w:val="18"/>
          <w:szCs w:val="18"/>
          <w:lang w:val="nl-NL"/>
        </w:rPr>
        <w:t xml:space="preserve"> </w:t>
      </w:r>
      <w:r w:rsidRPr="0097788B">
        <w:rPr>
          <w:rFonts w:ascii="Verdana" w:hAnsi="Verdana"/>
          <w:sz w:val="18"/>
          <w:szCs w:val="18"/>
          <w:lang w:val="nl-NL"/>
        </w:rPr>
        <w:t>tussen</w:t>
      </w:r>
      <w:r w:rsidRPr="008D101B">
        <w:rPr>
          <w:rFonts w:ascii="Verdana" w:hAnsi="Verdana"/>
          <w:sz w:val="18"/>
          <w:szCs w:val="18"/>
          <w:lang w:val="nl-NL"/>
        </w:rPr>
        <w:t xml:space="preserve"> de </w:t>
      </w:r>
      <w:r w:rsidR="0097788B">
        <w:rPr>
          <w:rFonts w:ascii="Verdana" w:hAnsi="Verdana"/>
          <w:sz w:val="18"/>
          <w:szCs w:val="18"/>
          <w:lang w:val="nl-NL"/>
        </w:rPr>
        <w:t>EU</w:t>
      </w:r>
      <w:r w:rsidRPr="008D101B">
        <w:rPr>
          <w:rFonts w:ascii="Verdana" w:hAnsi="Verdana"/>
          <w:sz w:val="18"/>
          <w:szCs w:val="18"/>
          <w:lang w:val="nl-NL"/>
        </w:rPr>
        <w:t xml:space="preserve"> en Oekraïne,</w:t>
      </w:r>
      <w:r w:rsidRPr="0097788B" w:rsidR="000B0A07">
        <w:rPr>
          <w:rStyle w:val="FootnoteReference"/>
          <w:rFonts w:ascii="Verdana" w:hAnsi="Verdana"/>
          <w:sz w:val="18"/>
          <w:szCs w:val="18"/>
          <w:lang w:val="nl-NL"/>
        </w:rPr>
        <w:footnoteReference w:id="4"/>
      </w:r>
      <w:r w:rsidRPr="008D101B">
        <w:rPr>
          <w:rFonts w:ascii="Verdana" w:hAnsi="Verdana"/>
          <w:sz w:val="18"/>
          <w:szCs w:val="18"/>
          <w:lang w:val="nl-NL"/>
        </w:rPr>
        <w:t xml:space="preserve"> en de bilaterale veiligheidsovereenkomsten die door de lidstaten met Oekraïne zijn gesloten. </w:t>
      </w:r>
    </w:p>
    <w:p w:rsidRPr="002752AE" w:rsidR="002752AE" w:rsidP="00CB4B14" w:rsidRDefault="00CB4B14" w14:paraId="2FE213C5" w14:textId="2713F140">
      <w:pPr>
        <w:spacing w:line="240" w:lineRule="auto"/>
        <w:rPr>
          <w:rFonts w:ascii="Verdana" w:hAnsi="Verdana"/>
          <w:sz w:val="18"/>
          <w:szCs w:val="18"/>
          <w:lang w:val="nl-NL"/>
        </w:rPr>
      </w:pPr>
      <w:r w:rsidRPr="008D101B">
        <w:rPr>
          <w:rFonts w:ascii="Verdana" w:hAnsi="Verdana"/>
          <w:sz w:val="18"/>
          <w:szCs w:val="18"/>
          <w:lang w:val="nl-NL"/>
        </w:rPr>
        <w:t>De ER verzoekt de Commissie, de Hoge Vertegenwoordiger</w:t>
      </w:r>
      <w:r w:rsidR="00D361FB">
        <w:rPr>
          <w:rFonts w:ascii="Verdana" w:hAnsi="Verdana"/>
          <w:sz w:val="18"/>
          <w:szCs w:val="18"/>
          <w:lang w:val="nl-NL"/>
        </w:rPr>
        <w:t xml:space="preserve"> (HV)</w:t>
      </w:r>
      <w:r w:rsidRPr="008D101B">
        <w:rPr>
          <w:rFonts w:ascii="Verdana" w:hAnsi="Verdana"/>
          <w:sz w:val="18"/>
          <w:szCs w:val="18"/>
          <w:lang w:val="nl-NL"/>
        </w:rPr>
        <w:t xml:space="preserve"> en de Raad om voortgang te boeken met het verstrekken van aanvullende financiering aan Oekraïne in de vorm van leningen die worden afgelost en terugbetaald door toekomstige stromen van buitengewone inkomsten </w:t>
      </w:r>
      <w:r w:rsidRPr="00847E82">
        <w:rPr>
          <w:rFonts w:ascii="Verdana" w:hAnsi="Verdana"/>
          <w:sz w:val="18"/>
          <w:szCs w:val="18"/>
          <w:lang w:val="nl-NL"/>
        </w:rPr>
        <w:t>uit geïmmobiliseerde</w:t>
      </w:r>
      <w:r w:rsidRPr="008D101B">
        <w:rPr>
          <w:rFonts w:ascii="Verdana" w:hAnsi="Verdana"/>
          <w:sz w:val="18"/>
          <w:szCs w:val="18"/>
          <w:lang w:val="nl-NL"/>
        </w:rPr>
        <w:t xml:space="preserve"> tegoeden, met het oog op het bereiken van ongeveer 50 miljard euro samen met de G7-partners, zoals besproken op de Top van Apulië.</w:t>
      </w:r>
      <w:r w:rsidR="000B0A07">
        <w:rPr>
          <w:rStyle w:val="FootnoteReference"/>
          <w:rFonts w:ascii="Verdana" w:hAnsi="Verdana"/>
          <w:sz w:val="18"/>
          <w:szCs w:val="18"/>
          <w:lang w:val="nl-NL"/>
        </w:rPr>
        <w:footnoteReference w:id="5"/>
      </w:r>
      <w:r w:rsidRPr="008D101B">
        <w:rPr>
          <w:rFonts w:ascii="Verdana" w:hAnsi="Verdana"/>
          <w:sz w:val="18"/>
          <w:szCs w:val="18"/>
          <w:lang w:val="nl-NL"/>
        </w:rPr>
        <w:t xml:space="preserve"> Deze middelen moeten ten goede komen van de ondersteuning van de huidige en toekomstige militaire, begrotings- en wederopbouwbehoeften van </w:t>
      </w:r>
      <w:r w:rsidRPr="00D77F11">
        <w:rPr>
          <w:rFonts w:ascii="Verdana" w:hAnsi="Verdana"/>
          <w:sz w:val="18"/>
          <w:szCs w:val="18"/>
          <w:lang w:val="nl-NL"/>
        </w:rPr>
        <w:t>Oekraïne.</w:t>
      </w:r>
      <w:bookmarkStart w:name="_Hlk170815562" w:id="1"/>
      <w:r w:rsidRPr="00D77F11">
        <w:rPr>
          <w:rFonts w:ascii="Verdana" w:hAnsi="Verdana"/>
          <w:sz w:val="18"/>
          <w:szCs w:val="18"/>
          <w:lang w:val="nl-NL"/>
        </w:rPr>
        <w:t xml:space="preserve"> </w:t>
      </w:r>
      <w:bookmarkEnd w:id="1"/>
      <w:r w:rsidRPr="002752AE" w:rsidR="002752AE">
        <w:rPr>
          <w:rFonts w:ascii="Verdana" w:hAnsi="Verdana"/>
          <w:sz w:val="18"/>
          <w:szCs w:val="18"/>
          <w:lang w:val="nl-NL"/>
          <w14:ligatures w14:val="none"/>
        </w:rPr>
        <w:t>De Russische tegoeden moeten overeenkomstig met het EU-recht geïmmobiliseerd blijven totdat Rusland zijn agressieoorlog tegen Oekraïne staakt en Oekraïne compenseert voor de schade die door deze oorlog is veroorzaakt.</w:t>
      </w:r>
    </w:p>
    <w:p w:rsidRPr="008D101B" w:rsidR="00CB4B14" w:rsidP="00CB4B14" w:rsidRDefault="00CB4B14" w14:paraId="5D9E7826" w14:textId="3C6CA90E">
      <w:pPr>
        <w:spacing w:line="240" w:lineRule="auto"/>
        <w:rPr>
          <w:rFonts w:ascii="Verdana" w:hAnsi="Verdana"/>
          <w:sz w:val="18"/>
          <w:szCs w:val="18"/>
          <w:lang w:val="nl-NL"/>
        </w:rPr>
      </w:pPr>
      <w:r w:rsidRPr="008D101B">
        <w:rPr>
          <w:rFonts w:ascii="Verdana" w:hAnsi="Verdana"/>
          <w:sz w:val="18"/>
          <w:szCs w:val="18"/>
          <w:lang w:val="nl-NL"/>
        </w:rPr>
        <w:t xml:space="preserve">De ER sprak tevredenheid uit over het resultaat van </w:t>
      </w:r>
      <w:r w:rsidR="0015282E">
        <w:rPr>
          <w:rFonts w:ascii="Verdana" w:hAnsi="Verdana"/>
          <w:sz w:val="18"/>
          <w:szCs w:val="18"/>
          <w:lang w:val="nl-NL"/>
        </w:rPr>
        <w:t xml:space="preserve">de </w:t>
      </w:r>
      <w:r w:rsidRPr="008D101B">
        <w:rPr>
          <w:rFonts w:ascii="Verdana" w:hAnsi="Verdana"/>
          <w:sz w:val="18"/>
          <w:szCs w:val="18"/>
          <w:lang w:val="nl-NL"/>
        </w:rPr>
        <w:t xml:space="preserve">vredestop in Zwitserland, die op 15 en 16 juni jl. werd gehouden. De </w:t>
      </w:r>
      <w:r w:rsidR="005065AC">
        <w:rPr>
          <w:rFonts w:ascii="Verdana" w:hAnsi="Verdana"/>
          <w:sz w:val="18"/>
          <w:szCs w:val="18"/>
          <w:lang w:val="nl-NL"/>
        </w:rPr>
        <w:t>EU</w:t>
      </w:r>
      <w:r w:rsidRPr="008D101B">
        <w:rPr>
          <w:rFonts w:ascii="Verdana" w:hAnsi="Verdana"/>
          <w:sz w:val="18"/>
          <w:szCs w:val="18"/>
          <w:lang w:val="nl-NL"/>
        </w:rPr>
        <w:t xml:space="preserve"> en haar lidstaten zullen hun inspanningen voortzetten om de breedst mogelijke internationale steun op te bouwen, vooral </w:t>
      </w:r>
      <w:r w:rsidRPr="00FA2E32">
        <w:rPr>
          <w:rFonts w:ascii="Verdana" w:hAnsi="Verdana"/>
          <w:sz w:val="18"/>
          <w:szCs w:val="18"/>
          <w:lang w:val="nl-NL"/>
        </w:rPr>
        <w:t>van opkomende economieën en andere belangrijke landen uit het mondiale zuiden, voor een alomvattende, rechtvaardige en duurzame vrede, gebaseerd op de beginselen van het VN-Handvest en het internationaal</w:t>
      </w:r>
      <w:r w:rsidRPr="008D101B">
        <w:rPr>
          <w:rFonts w:ascii="Verdana" w:hAnsi="Verdana"/>
          <w:sz w:val="18"/>
          <w:szCs w:val="18"/>
          <w:lang w:val="nl-NL"/>
        </w:rPr>
        <w:t xml:space="preserve"> recht, in overeenstemming met de belangrijkste beginselen en doelstellingen van de Oekraïense vredesformule.</w:t>
      </w:r>
    </w:p>
    <w:p w:rsidRPr="008D101B" w:rsidR="00CB4B14" w:rsidP="00CB4B14" w:rsidRDefault="00CB4B14" w14:paraId="237431A8" w14:textId="77777777">
      <w:pPr>
        <w:spacing w:line="240" w:lineRule="auto"/>
        <w:rPr>
          <w:rFonts w:ascii="Verdana" w:hAnsi="Verdana"/>
          <w:sz w:val="18"/>
          <w:szCs w:val="18"/>
          <w:lang w:val="nl-NL"/>
        </w:rPr>
      </w:pPr>
      <w:r w:rsidRPr="008D101B">
        <w:rPr>
          <w:rFonts w:ascii="Verdana" w:hAnsi="Verdana"/>
          <w:sz w:val="18"/>
          <w:szCs w:val="18"/>
          <w:lang w:val="nl-NL"/>
        </w:rPr>
        <w:t xml:space="preserve">De ER benadrukte dat het absoluut noodzakelijk is om humanitaire hulp te blijven verlenen en de toegang voor humanitaire hulp te waarborgen. De EU blijft zich inzetten voor het ondersteunen van het herstel en wederopbouw van Oekraïne, inclusief hulp bij het ontmijnen, in coördinatie met internationale partners. In die context verwelkomt de ER, na de positieve beoordeling door de Raad van het Oekraïneplan, de snelle uitbetaling van maximaal 1,89 miljard euro </w:t>
      </w:r>
      <w:r w:rsidRPr="00FA2E32">
        <w:rPr>
          <w:rFonts w:ascii="Verdana" w:hAnsi="Verdana"/>
          <w:sz w:val="18"/>
          <w:szCs w:val="18"/>
          <w:lang w:val="nl-NL"/>
        </w:rPr>
        <w:t xml:space="preserve">aan prefinanciering vanuit </w:t>
      </w:r>
      <w:r w:rsidRPr="00FA2E32">
        <w:rPr>
          <w:rFonts w:ascii="Verdana" w:hAnsi="Verdana"/>
          <w:sz w:val="18"/>
          <w:szCs w:val="18"/>
          <w:lang w:val="nl-NL"/>
        </w:rPr>
        <w:lastRenderedPageBreak/>
        <w:t>de EU Oekraïne-faciliteit om Oekraïne te helpen bij zijn herstel en wederopb</w:t>
      </w:r>
      <w:r w:rsidRPr="008D101B">
        <w:rPr>
          <w:rFonts w:ascii="Verdana" w:hAnsi="Verdana"/>
          <w:sz w:val="18"/>
          <w:szCs w:val="18"/>
          <w:lang w:val="nl-NL"/>
        </w:rPr>
        <w:t>ouw, wat bijzonder urgent is in de energiesector.</w:t>
      </w:r>
    </w:p>
    <w:p w:rsidRPr="008D101B" w:rsidR="00CB4B14" w:rsidP="00CB4B14" w:rsidRDefault="00CB4B14" w14:paraId="3BA1CA6E" w14:textId="6445C212">
      <w:pPr>
        <w:spacing w:line="240" w:lineRule="auto"/>
        <w:rPr>
          <w:rFonts w:ascii="Verdana" w:hAnsi="Verdana"/>
          <w:sz w:val="18"/>
          <w:szCs w:val="18"/>
          <w:lang w:val="nl-NL"/>
        </w:rPr>
      </w:pPr>
      <w:r w:rsidRPr="008D101B">
        <w:rPr>
          <w:rFonts w:ascii="Verdana" w:hAnsi="Verdana"/>
          <w:sz w:val="18"/>
          <w:szCs w:val="18"/>
          <w:lang w:val="nl-NL"/>
        </w:rPr>
        <w:t xml:space="preserve">De ER riep op tot het dringend opvoeren van de steun aan de Oekraïense energiesector door de </w:t>
      </w:r>
      <w:r w:rsidR="00FA2E32">
        <w:rPr>
          <w:rFonts w:ascii="Verdana" w:hAnsi="Verdana"/>
          <w:sz w:val="18"/>
          <w:szCs w:val="18"/>
          <w:lang w:val="nl-NL"/>
        </w:rPr>
        <w:t>EU</w:t>
      </w:r>
      <w:r w:rsidRPr="008D101B">
        <w:rPr>
          <w:rFonts w:ascii="Verdana" w:hAnsi="Verdana"/>
          <w:sz w:val="18"/>
          <w:szCs w:val="18"/>
          <w:lang w:val="nl-NL"/>
        </w:rPr>
        <w:t xml:space="preserve"> en de lidstaten, in coördinatie met </w:t>
      </w:r>
      <w:r w:rsidRPr="00FA2E32">
        <w:rPr>
          <w:rFonts w:ascii="Verdana" w:hAnsi="Verdana"/>
          <w:sz w:val="18"/>
          <w:szCs w:val="18"/>
          <w:lang w:val="nl-NL"/>
        </w:rPr>
        <w:t>partners (zie hieronder de steun die Nederland verleent).</w:t>
      </w:r>
      <w:r w:rsidRPr="008D101B">
        <w:rPr>
          <w:rFonts w:ascii="Verdana" w:hAnsi="Verdana"/>
          <w:sz w:val="18"/>
          <w:szCs w:val="18"/>
          <w:lang w:val="nl-NL"/>
        </w:rPr>
        <w:t xml:space="preserve"> </w:t>
      </w:r>
    </w:p>
    <w:p w:rsidRPr="008D101B" w:rsidR="00CB4B14" w:rsidP="00CB4B14" w:rsidRDefault="00CB4B14" w14:paraId="48DFB3FA" w14:textId="0D0C72CD">
      <w:pPr>
        <w:spacing w:line="240" w:lineRule="auto"/>
        <w:rPr>
          <w:rFonts w:ascii="Verdana" w:hAnsi="Verdana"/>
          <w:sz w:val="18"/>
          <w:szCs w:val="18"/>
          <w:lang w:val="nl-NL"/>
        </w:rPr>
      </w:pPr>
      <w:r w:rsidRPr="008D101B">
        <w:rPr>
          <w:rFonts w:ascii="Verdana" w:hAnsi="Verdana"/>
          <w:sz w:val="18"/>
          <w:szCs w:val="18"/>
          <w:lang w:val="nl-NL"/>
        </w:rPr>
        <w:t>De ER sprak tevredenheid uit over het aannemen van het veertiende sanctie</w:t>
      </w:r>
      <w:r w:rsidRPr="008D101B" w:rsidR="00047485">
        <w:rPr>
          <w:rFonts w:ascii="Verdana" w:hAnsi="Verdana"/>
          <w:sz w:val="18"/>
          <w:szCs w:val="18"/>
          <w:lang w:val="nl-NL"/>
        </w:rPr>
        <w:t xml:space="preserve">pakket </w:t>
      </w:r>
      <w:r w:rsidRPr="008D101B">
        <w:rPr>
          <w:rFonts w:ascii="Verdana" w:hAnsi="Verdana"/>
          <w:sz w:val="18"/>
          <w:szCs w:val="18"/>
          <w:lang w:val="nl-NL"/>
        </w:rPr>
        <w:t xml:space="preserve">tegen Rusland en het akkoord over verdere beperkende maatregelen tegen Belarus. De ER riep op tot de volledige en effectieve handhaving van de sancties, evenals tot verdere maatregelen om de omzeiling ervan tegen te gaan, ook via derde landen. </w:t>
      </w:r>
    </w:p>
    <w:p w:rsidRPr="008D101B" w:rsidR="00CB4B14" w:rsidP="00CB4B14" w:rsidRDefault="00CB4B14" w14:paraId="49086BBD" w14:textId="6A821D5A">
      <w:pPr>
        <w:spacing w:line="240" w:lineRule="auto"/>
        <w:rPr>
          <w:rFonts w:ascii="Verdana" w:hAnsi="Verdana"/>
          <w:sz w:val="18"/>
          <w:szCs w:val="18"/>
          <w:lang w:val="nl-NL"/>
        </w:rPr>
      </w:pPr>
      <w:r w:rsidRPr="008D101B">
        <w:rPr>
          <w:rFonts w:ascii="Verdana" w:hAnsi="Verdana"/>
          <w:sz w:val="18"/>
          <w:szCs w:val="18"/>
          <w:lang w:val="nl-NL"/>
        </w:rPr>
        <w:t>De ER bevestigde dat de EU zich ervoor in blijf</w:t>
      </w:r>
      <w:r w:rsidR="00F21F38">
        <w:rPr>
          <w:rFonts w:ascii="Verdana" w:hAnsi="Verdana"/>
          <w:sz w:val="18"/>
          <w:szCs w:val="18"/>
          <w:lang w:val="nl-NL"/>
        </w:rPr>
        <w:t>t</w:t>
      </w:r>
      <w:r w:rsidRPr="008D101B">
        <w:rPr>
          <w:rFonts w:ascii="Verdana" w:hAnsi="Verdana"/>
          <w:sz w:val="18"/>
          <w:szCs w:val="18"/>
          <w:lang w:val="nl-NL"/>
        </w:rPr>
        <w:t xml:space="preserve"> zetten dat Rusland en zijn leiders volledig verantwoordelijk worden gehouden voor het voeren van een agressieoorlog tegen Oekraïne en voor andere zeer </w:t>
      </w:r>
      <w:r w:rsidRPr="008950BF">
        <w:rPr>
          <w:rFonts w:ascii="Verdana" w:hAnsi="Verdana"/>
          <w:sz w:val="18"/>
          <w:szCs w:val="18"/>
          <w:lang w:val="nl-NL"/>
        </w:rPr>
        <w:t>ernstige misdrijven onder</w:t>
      </w:r>
      <w:r w:rsidRPr="008D101B">
        <w:rPr>
          <w:rFonts w:ascii="Verdana" w:hAnsi="Verdana"/>
          <w:sz w:val="18"/>
          <w:szCs w:val="18"/>
          <w:lang w:val="nl-NL"/>
        </w:rPr>
        <w:t xml:space="preserve"> het internationaal recht, evenals voor de enorme schade die door de oorlog wordt aangericht. De ER verwelkomde de vooruitgang en moedigde verdere inspanningen op alle werkterreinen aan.</w:t>
      </w:r>
    </w:p>
    <w:p w:rsidRPr="001B7BED" w:rsidR="00CB4B14" w:rsidP="00CB4B14" w:rsidRDefault="00CB4B14" w14:paraId="631A1D68" w14:textId="77777777">
      <w:pPr>
        <w:spacing w:line="240" w:lineRule="auto"/>
        <w:rPr>
          <w:rFonts w:ascii="Verdana" w:hAnsi="Verdana"/>
          <w:sz w:val="18"/>
          <w:szCs w:val="18"/>
          <w:lang w:val="nl-NL"/>
        </w:rPr>
      </w:pPr>
      <w:r w:rsidRPr="008D101B">
        <w:rPr>
          <w:rFonts w:ascii="Verdana" w:hAnsi="Verdana"/>
          <w:sz w:val="18"/>
          <w:szCs w:val="18"/>
          <w:lang w:val="nl-NL"/>
        </w:rPr>
        <w:t xml:space="preserve">De ER sprak tevredenheid uit over het aannemen van het onderhandelingskader en de organisatie van de eerste intergouvernementele conferentie over de toetreding van Oekraïne. De EU zal nauw blijven samenwerken met Oekraïne en de hervormingsinspanningen richting een Europese toekomst </w:t>
      </w:r>
      <w:r w:rsidRPr="001B7BED">
        <w:rPr>
          <w:rFonts w:ascii="Verdana" w:hAnsi="Verdana"/>
          <w:sz w:val="18"/>
          <w:szCs w:val="18"/>
          <w:lang w:val="nl-NL"/>
        </w:rPr>
        <w:t>ondersteunen.</w:t>
      </w:r>
    </w:p>
    <w:p w:rsidRPr="001B7BED" w:rsidR="00CB4B14" w:rsidP="00CB4B14" w:rsidRDefault="00CB4B14" w14:paraId="7BE70042" w14:textId="77777777">
      <w:pPr>
        <w:spacing w:line="240" w:lineRule="auto"/>
        <w:rPr>
          <w:rFonts w:ascii="Verdana" w:hAnsi="Verdana"/>
          <w:i/>
          <w:iCs/>
          <w:sz w:val="18"/>
          <w:szCs w:val="18"/>
          <w:lang w:val="nl-NL"/>
        </w:rPr>
      </w:pPr>
      <w:r w:rsidRPr="001B7BED">
        <w:rPr>
          <w:rFonts w:ascii="Verdana" w:hAnsi="Verdana"/>
          <w:i/>
          <w:iCs/>
          <w:sz w:val="18"/>
          <w:szCs w:val="18"/>
          <w:lang w:val="nl-NL"/>
        </w:rPr>
        <w:t>Nadere informatie Nederlandse steun energiesysteem</w:t>
      </w:r>
    </w:p>
    <w:p w:rsidR="00CB4B14" w:rsidP="00CB4B14" w:rsidRDefault="00CB4B14" w14:paraId="6801F03D" w14:textId="4D92F527">
      <w:pPr>
        <w:spacing w:line="240" w:lineRule="auto"/>
        <w:rPr>
          <w:rFonts w:ascii="Verdana" w:hAnsi="Verdana"/>
          <w:sz w:val="18"/>
          <w:szCs w:val="18"/>
          <w:lang w:val="nl-NL"/>
        </w:rPr>
      </w:pPr>
      <w:r w:rsidRPr="001B7BED">
        <w:rPr>
          <w:rFonts w:ascii="Verdana" w:hAnsi="Verdana"/>
          <w:sz w:val="18"/>
          <w:szCs w:val="18"/>
          <w:lang w:val="nl-NL"/>
        </w:rPr>
        <w:t>Zoals toegezegd in het plenair debat van 25 juni jl. is in dit verslag nadere informatie opgenomen over het Nederlandse aandeel in het herstel van het Oekraïens energiesysteem.</w:t>
      </w:r>
      <w:r w:rsidRPr="001B7BED" w:rsidR="000B0A07">
        <w:rPr>
          <w:rStyle w:val="FootnoteReference"/>
          <w:rFonts w:ascii="Verdana" w:hAnsi="Verdana"/>
          <w:sz w:val="18"/>
          <w:szCs w:val="18"/>
          <w:lang w:val="nl-NL"/>
        </w:rPr>
        <w:footnoteReference w:id="6"/>
      </w:r>
      <w:r w:rsidRPr="001B7BED">
        <w:rPr>
          <w:rFonts w:ascii="Verdana" w:hAnsi="Verdana"/>
          <w:sz w:val="18"/>
          <w:szCs w:val="18"/>
          <w:lang w:val="nl-NL"/>
        </w:rPr>
        <w:t xml:space="preserve"> Nederland heeft sinds het begin van de Russische invasie ruim 200 miljoen euro toegezegd voor het beschermen en herstellen van energie-infrastructuur in Oekraïne. Het is ook als prioriteit bestempeld in de onlangs ondertekende veiligheidsovereenkomst tussen Nederland en Oekraïne. Zo heeft de Oekraïense gasdistributeur </w:t>
      </w:r>
      <w:proofErr w:type="spellStart"/>
      <w:r w:rsidRPr="001B7BED">
        <w:rPr>
          <w:rFonts w:ascii="Verdana" w:hAnsi="Verdana"/>
          <w:sz w:val="18"/>
          <w:szCs w:val="18"/>
          <w:lang w:val="nl-NL"/>
        </w:rPr>
        <w:t>Naftogaz</w:t>
      </w:r>
      <w:proofErr w:type="spellEnd"/>
      <w:r w:rsidRPr="001B7BED">
        <w:rPr>
          <w:rFonts w:ascii="Verdana" w:hAnsi="Verdana"/>
          <w:sz w:val="18"/>
          <w:szCs w:val="18"/>
          <w:lang w:val="nl-NL"/>
        </w:rPr>
        <w:t xml:space="preserve"> via een Nederland</w:t>
      </w:r>
      <w:r w:rsidRPr="001B7BED" w:rsidR="001612C4">
        <w:rPr>
          <w:rFonts w:ascii="Verdana" w:hAnsi="Verdana"/>
          <w:sz w:val="18"/>
          <w:szCs w:val="18"/>
          <w:lang w:val="nl-NL"/>
        </w:rPr>
        <w:t>se</w:t>
      </w:r>
      <w:r w:rsidRPr="001B7BED">
        <w:rPr>
          <w:rFonts w:ascii="Verdana" w:hAnsi="Verdana"/>
          <w:sz w:val="18"/>
          <w:szCs w:val="18"/>
          <w:lang w:val="nl-NL"/>
        </w:rPr>
        <w:t xml:space="preserve"> bijdrage aan de </w:t>
      </w:r>
      <w:r w:rsidRPr="001B7BED">
        <w:rPr>
          <w:rFonts w:ascii="Verdana" w:hAnsi="Verdana"/>
          <w:i/>
          <w:iCs/>
          <w:sz w:val="18"/>
          <w:szCs w:val="18"/>
          <w:lang w:val="nl-NL"/>
        </w:rPr>
        <w:t xml:space="preserve">European Bank </w:t>
      </w:r>
      <w:proofErr w:type="spellStart"/>
      <w:r w:rsidRPr="001B7BED">
        <w:rPr>
          <w:rFonts w:ascii="Verdana" w:hAnsi="Verdana"/>
          <w:i/>
          <w:iCs/>
          <w:sz w:val="18"/>
          <w:szCs w:val="18"/>
          <w:lang w:val="nl-NL"/>
        </w:rPr>
        <w:t>for</w:t>
      </w:r>
      <w:proofErr w:type="spellEnd"/>
      <w:r w:rsidRPr="001B7BED">
        <w:rPr>
          <w:rFonts w:ascii="Verdana" w:hAnsi="Verdana"/>
          <w:i/>
          <w:iCs/>
          <w:sz w:val="18"/>
          <w:szCs w:val="18"/>
          <w:lang w:val="nl-NL"/>
        </w:rPr>
        <w:t xml:space="preserve"> </w:t>
      </w:r>
      <w:proofErr w:type="spellStart"/>
      <w:r w:rsidRPr="001B7BED">
        <w:rPr>
          <w:rFonts w:ascii="Verdana" w:hAnsi="Verdana"/>
          <w:i/>
          <w:iCs/>
          <w:sz w:val="18"/>
          <w:szCs w:val="18"/>
          <w:lang w:val="nl-NL"/>
        </w:rPr>
        <w:t>Reconstruction</w:t>
      </w:r>
      <w:proofErr w:type="spellEnd"/>
      <w:r w:rsidRPr="001B7BED">
        <w:rPr>
          <w:rFonts w:ascii="Verdana" w:hAnsi="Verdana"/>
          <w:i/>
          <w:iCs/>
          <w:sz w:val="18"/>
          <w:szCs w:val="18"/>
          <w:lang w:val="nl-NL"/>
        </w:rPr>
        <w:t xml:space="preserve"> </w:t>
      </w:r>
      <w:proofErr w:type="spellStart"/>
      <w:r w:rsidRPr="001B7BED">
        <w:rPr>
          <w:rFonts w:ascii="Verdana" w:hAnsi="Verdana"/>
          <w:i/>
          <w:iCs/>
          <w:sz w:val="18"/>
          <w:szCs w:val="18"/>
          <w:lang w:val="nl-NL"/>
        </w:rPr>
        <w:t>and</w:t>
      </w:r>
      <w:proofErr w:type="spellEnd"/>
      <w:r w:rsidRPr="001B7BED">
        <w:rPr>
          <w:rFonts w:ascii="Verdana" w:hAnsi="Verdana"/>
          <w:i/>
          <w:iCs/>
          <w:sz w:val="18"/>
          <w:szCs w:val="18"/>
          <w:lang w:val="nl-NL"/>
        </w:rPr>
        <w:t xml:space="preserve"> Development</w:t>
      </w:r>
      <w:r w:rsidRPr="001B7BED">
        <w:rPr>
          <w:rFonts w:ascii="Verdana" w:hAnsi="Verdana"/>
          <w:sz w:val="18"/>
          <w:szCs w:val="18"/>
          <w:lang w:val="nl-NL"/>
        </w:rPr>
        <w:t xml:space="preserve"> (EBRD) ca. 400 mln. kubieke meter gas kunnen inkopen voor licht, warmte en stroom voor huishoudens en ziekenhuizen, en heeft Nederland ook de Oekraïense netbeheerder </w:t>
      </w:r>
      <w:proofErr w:type="spellStart"/>
      <w:r w:rsidRPr="001B7BED">
        <w:rPr>
          <w:rFonts w:ascii="Verdana" w:hAnsi="Verdana"/>
          <w:sz w:val="18"/>
          <w:szCs w:val="18"/>
          <w:lang w:val="nl-NL"/>
        </w:rPr>
        <w:t>Ukrenergo</w:t>
      </w:r>
      <w:proofErr w:type="spellEnd"/>
      <w:r w:rsidRPr="001B7BED">
        <w:rPr>
          <w:rFonts w:ascii="Verdana" w:hAnsi="Verdana"/>
          <w:sz w:val="18"/>
          <w:szCs w:val="18"/>
          <w:lang w:val="nl-NL"/>
        </w:rPr>
        <w:t xml:space="preserve"> van steun voorzien ten behoeve van reparaties aan het energienet. </w:t>
      </w:r>
    </w:p>
    <w:p w:rsidRPr="001B7BED" w:rsidR="00CB4B14" w:rsidP="00CB4B14" w:rsidRDefault="001B7BED" w14:paraId="2D6A5590" w14:textId="2C1D4575">
      <w:pPr>
        <w:spacing w:line="240" w:lineRule="auto"/>
        <w:rPr>
          <w:rFonts w:ascii="Verdana" w:hAnsi="Verdana"/>
          <w:sz w:val="18"/>
          <w:szCs w:val="18"/>
          <w:lang w:val="nl-NL"/>
        </w:rPr>
      </w:pPr>
      <w:r>
        <w:rPr>
          <w:rFonts w:ascii="Verdana" w:hAnsi="Verdana"/>
          <w:sz w:val="18"/>
          <w:szCs w:val="18"/>
          <w:lang w:val="nl-NL"/>
        </w:rPr>
        <w:t xml:space="preserve">Bilateraal heeft het ministerie van Economische Zaken doorlopend onderdelen geleverd ten behoeve van het herstel van het Oekraïense elektriciteitsnetwerk: in totaal zijn er tot dusverre 184 vrachtwagens aan goederen geleverd voor het Oekraïense elektriciteitsnet. Dit zijn onder andere transformatoren, bekabeling, gaspijpen en generatoren. Ook voor de rest van dit jaar staan meerdere transporten gepland. </w:t>
      </w:r>
      <w:r w:rsidRPr="001B7BED" w:rsidR="00CB4B14">
        <w:rPr>
          <w:rFonts w:ascii="Verdana" w:hAnsi="Verdana" w:eastAsia="Times New Roman"/>
          <w:color w:val="212121"/>
          <w:sz w:val="18"/>
          <w:szCs w:val="18"/>
          <w:lang w:val="nl-NL"/>
        </w:rPr>
        <w:t xml:space="preserve">Het geleverde materiaal heeft verlichting gebracht aan landelijke en regionale netbeheerders en gemeentelijke instanties die verantwoordelijk zijn voor kritieke infrastructuur (sanitair, water en verwarming). De uit Nederland afkomstige ondersteuning is door het hele land geleverd, zowel in provincies dichter bij de frontlinie (onder andere </w:t>
      </w:r>
      <w:proofErr w:type="spellStart"/>
      <w:r w:rsidRPr="001B7BED" w:rsidR="00CB4B14">
        <w:rPr>
          <w:rFonts w:ascii="Verdana" w:hAnsi="Verdana" w:eastAsia="Times New Roman"/>
          <w:color w:val="212121"/>
          <w:sz w:val="18"/>
          <w:szCs w:val="18"/>
          <w:lang w:val="nl-NL"/>
        </w:rPr>
        <w:t>Donetsk</w:t>
      </w:r>
      <w:proofErr w:type="spellEnd"/>
      <w:r w:rsidRPr="001B7BED" w:rsidR="00CB4B14">
        <w:rPr>
          <w:rFonts w:ascii="Verdana" w:hAnsi="Verdana" w:eastAsia="Times New Roman"/>
          <w:color w:val="212121"/>
          <w:sz w:val="18"/>
          <w:szCs w:val="18"/>
          <w:lang w:val="nl-NL"/>
        </w:rPr>
        <w:t xml:space="preserve">, Kharkiv, </w:t>
      </w:r>
      <w:proofErr w:type="spellStart"/>
      <w:r w:rsidRPr="001B7BED" w:rsidR="00CB4B14">
        <w:rPr>
          <w:rFonts w:ascii="Verdana" w:hAnsi="Verdana" w:eastAsia="Times New Roman"/>
          <w:color w:val="212121"/>
          <w:sz w:val="18"/>
          <w:szCs w:val="18"/>
          <w:lang w:val="nl-NL"/>
        </w:rPr>
        <w:t>Mykolaiv</w:t>
      </w:r>
      <w:proofErr w:type="spellEnd"/>
      <w:r w:rsidRPr="001B7BED" w:rsidR="00CB4B14">
        <w:rPr>
          <w:rFonts w:ascii="Verdana" w:hAnsi="Verdana" w:eastAsia="Times New Roman"/>
          <w:color w:val="212121"/>
          <w:sz w:val="18"/>
          <w:szCs w:val="18"/>
          <w:lang w:val="nl-NL"/>
        </w:rPr>
        <w:t xml:space="preserve">, </w:t>
      </w:r>
      <w:proofErr w:type="spellStart"/>
      <w:r w:rsidRPr="001B7BED" w:rsidR="00CB4B14">
        <w:rPr>
          <w:rFonts w:ascii="Verdana" w:hAnsi="Verdana" w:eastAsia="Times New Roman"/>
          <w:color w:val="212121"/>
          <w:sz w:val="18"/>
          <w:szCs w:val="18"/>
          <w:lang w:val="nl-NL"/>
        </w:rPr>
        <w:t>Kherson</w:t>
      </w:r>
      <w:proofErr w:type="spellEnd"/>
      <w:r w:rsidRPr="001B7BED" w:rsidR="00CB4B14">
        <w:rPr>
          <w:rFonts w:ascii="Verdana" w:hAnsi="Verdana" w:eastAsia="Times New Roman"/>
          <w:color w:val="212121"/>
          <w:sz w:val="18"/>
          <w:szCs w:val="18"/>
          <w:lang w:val="nl-NL"/>
        </w:rPr>
        <w:t xml:space="preserve">, </w:t>
      </w:r>
      <w:proofErr w:type="spellStart"/>
      <w:r w:rsidRPr="001B7BED" w:rsidR="00CB4B14">
        <w:rPr>
          <w:rFonts w:ascii="Verdana" w:hAnsi="Verdana" w:eastAsia="Times New Roman"/>
          <w:color w:val="212121"/>
          <w:sz w:val="18"/>
          <w:szCs w:val="18"/>
          <w:lang w:val="nl-NL"/>
        </w:rPr>
        <w:t>Dnipropetrovsk</w:t>
      </w:r>
      <w:proofErr w:type="spellEnd"/>
      <w:r w:rsidRPr="001B7BED" w:rsidR="00CB4B14">
        <w:rPr>
          <w:rFonts w:ascii="Verdana" w:hAnsi="Verdana" w:eastAsia="Times New Roman"/>
          <w:color w:val="212121"/>
          <w:sz w:val="18"/>
          <w:szCs w:val="18"/>
          <w:lang w:val="nl-NL"/>
        </w:rPr>
        <w:t xml:space="preserve">, </w:t>
      </w:r>
      <w:proofErr w:type="spellStart"/>
      <w:r w:rsidRPr="001B7BED" w:rsidR="00CB4B14">
        <w:rPr>
          <w:rFonts w:ascii="Verdana" w:hAnsi="Verdana" w:eastAsia="Times New Roman"/>
          <w:color w:val="212121"/>
          <w:sz w:val="18"/>
          <w:szCs w:val="18"/>
          <w:lang w:val="nl-NL"/>
        </w:rPr>
        <w:t>Zaporizhzhia</w:t>
      </w:r>
      <w:proofErr w:type="spellEnd"/>
      <w:r w:rsidRPr="001B7BED" w:rsidR="00CB4B14">
        <w:rPr>
          <w:rFonts w:ascii="Verdana" w:hAnsi="Verdana" w:eastAsia="Times New Roman"/>
          <w:color w:val="212121"/>
          <w:sz w:val="18"/>
          <w:szCs w:val="18"/>
          <w:lang w:val="nl-NL"/>
        </w:rPr>
        <w:t xml:space="preserve">) als meer in het westen (onder andere </w:t>
      </w:r>
      <w:proofErr w:type="spellStart"/>
      <w:r w:rsidRPr="001B7BED" w:rsidR="00CB4B14">
        <w:rPr>
          <w:rFonts w:ascii="Verdana" w:hAnsi="Verdana" w:eastAsia="Times New Roman"/>
          <w:color w:val="212121"/>
          <w:sz w:val="18"/>
          <w:szCs w:val="18"/>
          <w:lang w:val="nl-NL"/>
        </w:rPr>
        <w:t>Kyiv</w:t>
      </w:r>
      <w:proofErr w:type="spellEnd"/>
      <w:r w:rsidRPr="001B7BED" w:rsidR="00CB4B14">
        <w:rPr>
          <w:rFonts w:ascii="Verdana" w:hAnsi="Verdana" w:eastAsia="Times New Roman"/>
          <w:color w:val="212121"/>
          <w:sz w:val="18"/>
          <w:szCs w:val="18"/>
          <w:lang w:val="nl-NL"/>
        </w:rPr>
        <w:t xml:space="preserve">, </w:t>
      </w:r>
      <w:proofErr w:type="spellStart"/>
      <w:r w:rsidRPr="001B7BED" w:rsidR="00CB4B14">
        <w:rPr>
          <w:rFonts w:ascii="Verdana" w:hAnsi="Verdana" w:eastAsia="Times New Roman"/>
          <w:color w:val="212121"/>
          <w:sz w:val="18"/>
          <w:szCs w:val="18"/>
          <w:lang w:val="nl-NL"/>
        </w:rPr>
        <w:t>Chernihiv</w:t>
      </w:r>
      <w:proofErr w:type="spellEnd"/>
      <w:r w:rsidRPr="001B7BED" w:rsidR="00CB4B14">
        <w:rPr>
          <w:rFonts w:ascii="Verdana" w:hAnsi="Verdana" w:eastAsia="Times New Roman"/>
          <w:color w:val="212121"/>
          <w:sz w:val="18"/>
          <w:szCs w:val="18"/>
          <w:lang w:val="nl-NL"/>
        </w:rPr>
        <w:t xml:space="preserve">, </w:t>
      </w:r>
      <w:proofErr w:type="spellStart"/>
      <w:r w:rsidRPr="001B7BED" w:rsidR="00CB4B14">
        <w:rPr>
          <w:rFonts w:ascii="Verdana" w:hAnsi="Verdana" w:eastAsia="Times New Roman"/>
          <w:color w:val="212121"/>
          <w:sz w:val="18"/>
          <w:szCs w:val="18"/>
          <w:lang w:val="nl-NL"/>
        </w:rPr>
        <w:t>Cherkasy</w:t>
      </w:r>
      <w:proofErr w:type="spellEnd"/>
      <w:r w:rsidRPr="001B7BED" w:rsidR="00CB4B14">
        <w:rPr>
          <w:rFonts w:ascii="Verdana" w:hAnsi="Verdana" w:eastAsia="Times New Roman"/>
          <w:color w:val="212121"/>
          <w:sz w:val="18"/>
          <w:szCs w:val="18"/>
          <w:lang w:val="nl-NL"/>
        </w:rPr>
        <w:t xml:space="preserve">, </w:t>
      </w:r>
      <w:proofErr w:type="spellStart"/>
      <w:r w:rsidRPr="001B7BED" w:rsidR="00CB4B14">
        <w:rPr>
          <w:rFonts w:ascii="Verdana" w:hAnsi="Verdana" w:eastAsia="Times New Roman"/>
          <w:color w:val="212121"/>
          <w:sz w:val="18"/>
          <w:szCs w:val="18"/>
          <w:lang w:val="nl-NL"/>
        </w:rPr>
        <w:t>Lviv</w:t>
      </w:r>
      <w:proofErr w:type="spellEnd"/>
      <w:r w:rsidRPr="001B7BED" w:rsidR="00CB4B14">
        <w:rPr>
          <w:rFonts w:ascii="Verdana" w:hAnsi="Verdana" w:eastAsia="Times New Roman"/>
          <w:color w:val="212121"/>
          <w:sz w:val="18"/>
          <w:szCs w:val="18"/>
          <w:lang w:val="nl-NL"/>
        </w:rPr>
        <w:t xml:space="preserve">, </w:t>
      </w:r>
      <w:proofErr w:type="spellStart"/>
      <w:r w:rsidRPr="001B7BED" w:rsidR="00CB4B14">
        <w:rPr>
          <w:rFonts w:ascii="Verdana" w:hAnsi="Verdana" w:eastAsia="Times New Roman"/>
          <w:color w:val="212121"/>
          <w:sz w:val="18"/>
          <w:szCs w:val="18"/>
          <w:lang w:val="nl-NL"/>
        </w:rPr>
        <w:t>Khmelnytska</w:t>
      </w:r>
      <w:proofErr w:type="spellEnd"/>
      <w:r w:rsidRPr="001B7BED" w:rsidR="00CB4B14">
        <w:rPr>
          <w:rFonts w:ascii="Verdana" w:hAnsi="Verdana" w:eastAsia="Times New Roman"/>
          <w:color w:val="212121"/>
          <w:sz w:val="18"/>
          <w:szCs w:val="18"/>
          <w:lang w:val="nl-NL"/>
        </w:rPr>
        <w:t>).</w:t>
      </w:r>
    </w:p>
    <w:p w:rsidRPr="008D101B" w:rsidR="00CB4B14" w:rsidP="00CB4B14" w:rsidRDefault="00CB4B14" w14:paraId="25631125" w14:textId="062893F1">
      <w:pPr>
        <w:spacing w:line="240" w:lineRule="auto"/>
        <w:rPr>
          <w:rFonts w:ascii="Verdana" w:hAnsi="Verdana"/>
          <w:sz w:val="18"/>
          <w:szCs w:val="18"/>
          <w:lang w:val="nl-NL"/>
        </w:rPr>
      </w:pPr>
      <w:r w:rsidRPr="001B7BED">
        <w:rPr>
          <w:rFonts w:ascii="Verdana" w:hAnsi="Verdana"/>
          <w:sz w:val="18"/>
          <w:szCs w:val="18"/>
          <w:lang w:val="nl-NL"/>
        </w:rPr>
        <w:t xml:space="preserve">Op 7 juni </w:t>
      </w:r>
      <w:r w:rsidRPr="001B7BED" w:rsidR="004F2A93">
        <w:rPr>
          <w:rFonts w:ascii="Verdana" w:hAnsi="Verdana"/>
          <w:sz w:val="18"/>
          <w:szCs w:val="18"/>
          <w:lang w:val="nl-NL"/>
        </w:rPr>
        <w:t xml:space="preserve">jl. </w:t>
      </w:r>
      <w:r w:rsidRPr="001B7BED">
        <w:rPr>
          <w:rFonts w:ascii="Verdana" w:hAnsi="Verdana"/>
          <w:sz w:val="18"/>
          <w:szCs w:val="18"/>
          <w:lang w:val="nl-NL"/>
        </w:rPr>
        <w:t>informeerde de minister voor Buitenlandse Handel en Ontwikkelingssamenwerking de kamer over de invulling van de middelen voor Oekraïne die zijn toegekend in Voorjaarsnota voor dit jaar ter waarde van 148 mln.</w:t>
      </w:r>
      <w:r w:rsidRPr="001B7BED" w:rsidR="004F2A93">
        <w:rPr>
          <w:rFonts w:ascii="Verdana" w:hAnsi="Verdana"/>
          <w:sz w:val="18"/>
          <w:szCs w:val="18"/>
          <w:lang w:val="nl-NL"/>
        </w:rPr>
        <w:t xml:space="preserve"> euro</w:t>
      </w:r>
      <w:r w:rsidRPr="001B7BED">
        <w:rPr>
          <w:rFonts w:ascii="Verdana" w:hAnsi="Verdana"/>
          <w:sz w:val="18"/>
          <w:szCs w:val="18"/>
          <w:lang w:val="nl-NL"/>
        </w:rPr>
        <w:t>,</w:t>
      </w:r>
      <w:r w:rsidRPr="001B7BED" w:rsidR="000B0A07">
        <w:rPr>
          <w:rStyle w:val="FootnoteReference"/>
          <w:rFonts w:ascii="Verdana" w:hAnsi="Verdana"/>
          <w:sz w:val="18"/>
          <w:szCs w:val="18"/>
          <w:lang w:val="nl-NL"/>
        </w:rPr>
        <w:footnoteReference w:id="7"/>
      </w:r>
      <w:r w:rsidRPr="001B7BED">
        <w:rPr>
          <w:rFonts w:ascii="Verdana" w:hAnsi="Verdana"/>
          <w:sz w:val="18"/>
          <w:szCs w:val="18"/>
          <w:lang w:val="nl-NL"/>
        </w:rPr>
        <w:t xml:space="preserve"> waarbij steun voor herstel van de energievoorziening centraal staat, waaronder nieuwe steun aan </w:t>
      </w:r>
      <w:proofErr w:type="spellStart"/>
      <w:r w:rsidRPr="001B7BED">
        <w:rPr>
          <w:rFonts w:ascii="Verdana" w:hAnsi="Verdana"/>
          <w:sz w:val="18"/>
          <w:szCs w:val="18"/>
          <w:lang w:val="nl-NL"/>
        </w:rPr>
        <w:t>Ukrenergo</w:t>
      </w:r>
      <w:proofErr w:type="spellEnd"/>
      <w:r w:rsidRPr="001B7BED">
        <w:rPr>
          <w:rFonts w:ascii="Verdana" w:hAnsi="Verdana"/>
          <w:sz w:val="18"/>
          <w:szCs w:val="18"/>
          <w:lang w:val="nl-NL"/>
        </w:rPr>
        <w:t xml:space="preserve">. Nederland blijft de Oekraïense energienoden nauwgezet volgen, ook bij </w:t>
      </w:r>
      <w:r w:rsidR="00F21F38">
        <w:rPr>
          <w:rFonts w:ascii="Verdana" w:hAnsi="Verdana"/>
          <w:sz w:val="18"/>
          <w:szCs w:val="18"/>
          <w:lang w:val="nl-NL"/>
        </w:rPr>
        <w:t xml:space="preserve">de </w:t>
      </w:r>
      <w:r w:rsidRPr="001B7BED">
        <w:rPr>
          <w:rFonts w:ascii="Verdana" w:hAnsi="Verdana"/>
          <w:sz w:val="18"/>
          <w:szCs w:val="18"/>
          <w:lang w:val="nl-NL"/>
        </w:rPr>
        <w:t>afweging voor de besteding van nieuwe middelen.</w:t>
      </w:r>
      <w:r w:rsidRPr="008D101B">
        <w:rPr>
          <w:rFonts w:ascii="Verdana" w:hAnsi="Verdana"/>
          <w:sz w:val="18"/>
          <w:szCs w:val="18"/>
          <w:lang w:val="nl-NL"/>
        </w:rPr>
        <w:t xml:space="preserve"> </w:t>
      </w:r>
    </w:p>
    <w:p w:rsidRPr="008D101B" w:rsidR="00CB4B14" w:rsidP="00CB4B14" w:rsidRDefault="00CB4B14" w14:paraId="64958CA9" w14:textId="77777777">
      <w:pPr>
        <w:spacing w:line="240" w:lineRule="auto"/>
        <w:rPr>
          <w:rFonts w:ascii="Verdana" w:hAnsi="Verdana"/>
          <w:i/>
          <w:iCs/>
          <w:sz w:val="18"/>
          <w:szCs w:val="18"/>
          <w:lang w:val="nl-NL"/>
        </w:rPr>
      </w:pPr>
      <w:r w:rsidRPr="008D101B">
        <w:rPr>
          <w:rFonts w:ascii="Verdana" w:hAnsi="Verdana"/>
          <w:i/>
          <w:iCs/>
          <w:sz w:val="18"/>
          <w:szCs w:val="18"/>
          <w:lang w:val="nl-NL"/>
        </w:rPr>
        <w:t>Situatie in het Midden-Oosten</w:t>
      </w:r>
    </w:p>
    <w:p w:rsidRPr="008D101B" w:rsidR="00CB4B14" w:rsidP="00CB4B14" w:rsidRDefault="00CB4B14" w14:paraId="58420F87" w14:textId="77777777">
      <w:pPr>
        <w:spacing w:line="240" w:lineRule="auto"/>
        <w:rPr>
          <w:rFonts w:ascii="Verdana" w:hAnsi="Verdana"/>
          <w:sz w:val="18"/>
          <w:szCs w:val="18"/>
          <w:lang w:val="nl-NL"/>
        </w:rPr>
      </w:pPr>
      <w:r w:rsidRPr="008D101B">
        <w:rPr>
          <w:rFonts w:ascii="Verdana" w:hAnsi="Verdana"/>
          <w:sz w:val="18"/>
          <w:szCs w:val="18"/>
          <w:lang w:val="nl-NL"/>
        </w:rPr>
        <w:t xml:space="preserve">De ER besprak de ontwikkelingen in het Midden-Oosten en herhaalde zijn krachtigste veroordeling van de brute </w:t>
      </w:r>
      <w:r w:rsidRPr="003D74DD">
        <w:rPr>
          <w:rFonts w:ascii="Verdana" w:hAnsi="Verdana"/>
          <w:sz w:val="18"/>
          <w:szCs w:val="18"/>
          <w:lang w:val="nl-NL"/>
        </w:rPr>
        <w:t>terroristische aanslagen van Hamas en andere terroristische groeperingen op Israël op 7 oktober 2023. De ER betuigde opnieuw zijn solidariteit en steun aan Israël en zijn volk, en herhaalde zijn inzet voor de Israëlische veiligheid</w:t>
      </w:r>
      <w:r w:rsidRPr="008D101B">
        <w:rPr>
          <w:rFonts w:ascii="Verdana" w:hAnsi="Verdana"/>
          <w:sz w:val="18"/>
          <w:szCs w:val="18"/>
          <w:lang w:val="nl-NL"/>
        </w:rPr>
        <w:t xml:space="preserve"> en voor regionale stabiliteit. Bij het uitoefenen van zijn recht </w:t>
      </w:r>
      <w:r w:rsidRPr="008D101B">
        <w:rPr>
          <w:rFonts w:ascii="Verdana" w:hAnsi="Verdana"/>
          <w:sz w:val="18"/>
          <w:szCs w:val="18"/>
          <w:lang w:val="nl-NL"/>
        </w:rPr>
        <w:lastRenderedPageBreak/>
        <w:t>om zichzelf te verdedigen moet Israël onder alle omstandigheden volledig voldoen aan zijn verplichtingen op grond van het internationaal recht, inclusief het internationaal humanitair recht.</w:t>
      </w:r>
    </w:p>
    <w:p w:rsidRPr="006672FD" w:rsidR="00CB4B14" w:rsidP="00CB4B14" w:rsidRDefault="00CB4B14" w14:paraId="795A899A" w14:textId="174BD47E">
      <w:pPr>
        <w:spacing w:line="240" w:lineRule="auto"/>
        <w:rPr>
          <w:rFonts w:ascii="Verdana" w:hAnsi="Verdana"/>
          <w:sz w:val="18"/>
          <w:szCs w:val="18"/>
          <w:lang w:val="nl-NL"/>
        </w:rPr>
      </w:pPr>
      <w:r w:rsidRPr="006672FD">
        <w:rPr>
          <w:rFonts w:ascii="Verdana" w:hAnsi="Verdana"/>
          <w:sz w:val="18"/>
          <w:szCs w:val="18"/>
          <w:lang w:val="nl-NL"/>
        </w:rPr>
        <w:t>De ER sprak steun uit over het aannemen van Resolutie 2735 van de VN-Veiligheidsraad.</w:t>
      </w:r>
      <w:r w:rsidRPr="006672FD" w:rsidR="000B0A07">
        <w:rPr>
          <w:rStyle w:val="FootnoteReference"/>
          <w:rFonts w:ascii="Verdana" w:hAnsi="Verdana"/>
          <w:sz w:val="18"/>
          <w:szCs w:val="18"/>
          <w:lang w:val="nl-NL"/>
        </w:rPr>
        <w:footnoteReference w:id="8"/>
      </w:r>
      <w:r w:rsidRPr="006672FD">
        <w:rPr>
          <w:rFonts w:ascii="Verdana" w:hAnsi="Verdana"/>
          <w:sz w:val="18"/>
          <w:szCs w:val="18"/>
          <w:lang w:val="nl-NL"/>
        </w:rPr>
        <w:t xml:space="preserve"> De ER riep op tot de volledige uitvoering </w:t>
      </w:r>
      <w:r w:rsidR="00F21F38">
        <w:rPr>
          <w:rFonts w:ascii="Verdana" w:hAnsi="Verdana"/>
          <w:sz w:val="18"/>
          <w:szCs w:val="18"/>
          <w:lang w:val="nl-NL"/>
        </w:rPr>
        <w:t xml:space="preserve">van </w:t>
      </w:r>
      <w:r w:rsidRPr="006672FD">
        <w:rPr>
          <w:rFonts w:ascii="Verdana" w:hAnsi="Verdana"/>
          <w:sz w:val="18"/>
          <w:szCs w:val="18"/>
          <w:lang w:val="nl-NL"/>
        </w:rPr>
        <w:t xml:space="preserve">een staakt-het-vuren, onmiddellijk en zonder voorwaarden, de vrijlating van alle gijzelaars, een aanzienlijke en aanhoudende toename van de stroom humanitaire hulp in heel Gaza, en een einde aan het conflict waarbij de veiligheid van Israëliërs en Palestijnen verzekerd zijn. Onder verwijzing naar de uitspraak van het Internationaal Gerechtshof van 24 mei 2024 sprak de ER zijn diepe bezorgdheid uit over de gevolgen voor de burgerbevolking van de aanhoudende grondoperaties in Rafah. De ER benadrukte het belang van het respecteren en uitvoeren van de voorlopige maatregelen van het Internationaal Gerechtshof (ICJ), die juridisch bindend zijn. </w:t>
      </w:r>
    </w:p>
    <w:p w:rsidRPr="008D101B" w:rsidR="00CB4B14" w:rsidP="00CB4B14" w:rsidRDefault="00CB4B14" w14:paraId="215DD7CD" w14:textId="29D98161">
      <w:pPr>
        <w:spacing w:line="240" w:lineRule="auto"/>
        <w:rPr>
          <w:rFonts w:ascii="Verdana" w:hAnsi="Verdana"/>
          <w:sz w:val="18"/>
          <w:szCs w:val="18"/>
          <w:lang w:val="nl-NL"/>
        </w:rPr>
      </w:pPr>
      <w:r w:rsidRPr="002070D7">
        <w:rPr>
          <w:rFonts w:ascii="Verdana" w:hAnsi="Verdana"/>
          <w:sz w:val="18"/>
          <w:szCs w:val="18"/>
          <w:lang w:val="nl-NL"/>
        </w:rPr>
        <w:t xml:space="preserve">De ER sprak zich uit tegen het verlies </w:t>
      </w:r>
      <w:r w:rsidR="00F21F38">
        <w:rPr>
          <w:rFonts w:ascii="Verdana" w:hAnsi="Verdana"/>
          <w:sz w:val="18"/>
          <w:szCs w:val="18"/>
          <w:lang w:val="nl-NL"/>
        </w:rPr>
        <w:t>van</w:t>
      </w:r>
      <w:r w:rsidRPr="002070D7">
        <w:rPr>
          <w:rFonts w:ascii="Verdana" w:hAnsi="Verdana"/>
          <w:sz w:val="18"/>
          <w:szCs w:val="18"/>
          <w:lang w:val="nl-NL"/>
        </w:rPr>
        <w:t xml:space="preserve"> burgerlevens, en </w:t>
      </w:r>
      <w:r w:rsidR="00DA5331">
        <w:rPr>
          <w:rFonts w:ascii="Verdana" w:hAnsi="Verdana"/>
          <w:sz w:val="18"/>
          <w:szCs w:val="18"/>
          <w:lang w:val="nl-NL"/>
        </w:rPr>
        <w:t xml:space="preserve">het </w:t>
      </w:r>
      <w:r w:rsidRPr="002070D7">
        <w:rPr>
          <w:rFonts w:ascii="Verdana" w:hAnsi="Verdana"/>
          <w:sz w:val="18"/>
          <w:szCs w:val="18"/>
          <w:lang w:val="nl-NL"/>
        </w:rPr>
        <w:t>dreigend</w:t>
      </w:r>
      <w:r w:rsidR="00DA5331">
        <w:rPr>
          <w:rFonts w:ascii="Verdana" w:hAnsi="Verdana"/>
          <w:sz w:val="18"/>
          <w:szCs w:val="18"/>
          <w:lang w:val="nl-NL"/>
        </w:rPr>
        <w:t>e</w:t>
      </w:r>
      <w:r w:rsidRPr="002070D7">
        <w:rPr>
          <w:rFonts w:ascii="Verdana" w:hAnsi="Verdana"/>
          <w:sz w:val="18"/>
          <w:szCs w:val="18"/>
          <w:lang w:val="nl-NL"/>
        </w:rPr>
        <w:t xml:space="preserve"> risico op hongersnood als gevolg van onvoldoende humanitaire hulp in Gaza. In lijn met </w:t>
      </w:r>
      <w:r w:rsidR="00F21F38">
        <w:rPr>
          <w:rFonts w:ascii="Verdana" w:hAnsi="Verdana"/>
          <w:sz w:val="18"/>
          <w:szCs w:val="18"/>
          <w:lang w:val="nl-NL"/>
        </w:rPr>
        <w:t xml:space="preserve">de </w:t>
      </w:r>
      <w:r w:rsidRPr="002070D7">
        <w:rPr>
          <w:rFonts w:ascii="Verdana" w:hAnsi="Verdana"/>
          <w:sz w:val="18"/>
          <w:szCs w:val="18"/>
          <w:lang w:val="nl-NL"/>
        </w:rPr>
        <w:t>motie Van Baarle</w:t>
      </w:r>
      <w:r w:rsidRPr="002070D7">
        <w:rPr>
          <w:rStyle w:val="FootnoteReference"/>
          <w:rFonts w:ascii="Verdana" w:hAnsi="Verdana"/>
          <w:sz w:val="18"/>
          <w:szCs w:val="18"/>
          <w:lang w:val="nl-NL"/>
        </w:rPr>
        <w:footnoteReference w:id="9"/>
      </w:r>
      <w:r w:rsidRPr="002070D7">
        <w:rPr>
          <w:rFonts w:ascii="Verdana" w:hAnsi="Verdana"/>
          <w:sz w:val="18"/>
          <w:szCs w:val="18"/>
          <w:lang w:val="nl-NL"/>
        </w:rPr>
        <w:t xml:space="preserve"> is het belang van grootschalige humanitaire hulp met klem benadrukt en is de noodzaak </w:t>
      </w:r>
      <w:r w:rsidR="00DA5331">
        <w:rPr>
          <w:rFonts w:ascii="Verdana" w:hAnsi="Verdana"/>
          <w:sz w:val="18"/>
          <w:szCs w:val="18"/>
          <w:lang w:val="nl-NL"/>
        </w:rPr>
        <w:t xml:space="preserve">herbevestigd </w:t>
      </w:r>
      <w:r w:rsidRPr="002070D7">
        <w:rPr>
          <w:rFonts w:ascii="Verdana" w:hAnsi="Verdana"/>
          <w:sz w:val="18"/>
          <w:szCs w:val="18"/>
          <w:lang w:val="nl-NL"/>
        </w:rPr>
        <w:t xml:space="preserve">om tot een </w:t>
      </w:r>
      <w:proofErr w:type="spellStart"/>
      <w:r w:rsidRPr="002070D7">
        <w:rPr>
          <w:rFonts w:ascii="Verdana" w:hAnsi="Verdana"/>
          <w:sz w:val="18"/>
          <w:szCs w:val="18"/>
          <w:lang w:val="nl-NL"/>
        </w:rPr>
        <w:t>tweestatenoplossing</w:t>
      </w:r>
      <w:proofErr w:type="spellEnd"/>
      <w:r w:rsidRPr="002070D7">
        <w:rPr>
          <w:rFonts w:ascii="Verdana" w:hAnsi="Verdana"/>
          <w:sz w:val="18"/>
          <w:szCs w:val="18"/>
          <w:lang w:val="nl-NL"/>
        </w:rPr>
        <w:t xml:space="preserve"> te komen. De ER riep alle partijen op om alle mogelijke stappen te ondernemen om het leven van burgers te beschermen. De ER benadrukte dat de diensten die UNRWA in Gaza en in de hele regio levert van essentieel belang zijn, en veroordeelt alle pogingen om een </w:t>
      </w:r>
      <w:r w:rsidRPr="002070D7">
        <w:rPr>
          <w:rFonts w:ascii="Arial" w:hAnsi="Arial" w:cs="Arial"/>
          <w:sz w:val="18"/>
          <w:szCs w:val="18"/>
          <w:lang w:val="nl-NL"/>
        </w:rPr>
        <w:t>​​</w:t>
      </w:r>
      <w:r w:rsidRPr="002070D7">
        <w:rPr>
          <w:rFonts w:ascii="Verdana" w:hAnsi="Verdana"/>
          <w:sz w:val="18"/>
          <w:szCs w:val="18"/>
          <w:lang w:val="nl-NL"/>
        </w:rPr>
        <w:t>VN-agentschap als terroristische organisatie te bestempelen.</w:t>
      </w:r>
      <w:r w:rsidRPr="008D101B">
        <w:rPr>
          <w:rFonts w:ascii="Verdana" w:hAnsi="Verdana"/>
          <w:sz w:val="18"/>
          <w:szCs w:val="18"/>
          <w:lang w:val="nl-NL"/>
        </w:rPr>
        <w:t xml:space="preserve"> </w:t>
      </w:r>
      <w:r w:rsidR="009366F0">
        <w:rPr>
          <w:rFonts w:ascii="Verdana" w:hAnsi="Verdana"/>
          <w:sz w:val="18"/>
          <w:szCs w:val="18"/>
          <w:lang w:val="nl-NL"/>
        </w:rPr>
        <w:t xml:space="preserve">Implementatie van </w:t>
      </w:r>
      <w:proofErr w:type="spellStart"/>
      <w:r w:rsidR="009366F0">
        <w:rPr>
          <w:rFonts w:ascii="Verdana" w:hAnsi="Verdana"/>
          <w:sz w:val="18"/>
          <w:szCs w:val="18"/>
          <w:lang w:val="nl-NL"/>
        </w:rPr>
        <w:t>UNRWA’s</w:t>
      </w:r>
      <w:proofErr w:type="spellEnd"/>
      <w:r w:rsidR="009366F0">
        <w:rPr>
          <w:rFonts w:ascii="Verdana" w:hAnsi="Verdana"/>
          <w:sz w:val="18"/>
          <w:szCs w:val="18"/>
          <w:lang w:val="nl-NL"/>
        </w:rPr>
        <w:t xml:space="preserve"> actieplan zal zorgvuldig worden bezien.</w:t>
      </w:r>
    </w:p>
    <w:p w:rsidRPr="008D101B" w:rsidR="00CB4B14" w:rsidP="00CB4B14" w:rsidRDefault="00CB4B14" w14:paraId="282C9AE2" w14:textId="6A779DA7">
      <w:pPr>
        <w:spacing w:line="240" w:lineRule="auto"/>
        <w:rPr>
          <w:rFonts w:ascii="Verdana" w:hAnsi="Verdana"/>
          <w:sz w:val="18"/>
          <w:szCs w:val="18"/>
          <w:lang w:val="nl-NL"/>
        </w:rPr>
      </w:pPr>
      <w:r w:rsidRPr="008D101B">
        <w:rPr>
          <w:rFonts w:ascii="Verdana" w:hAnsi="Verdana"/>
          <w:sz w:val="18"/>
          <w:szCs w:val="18"/>
          <w:lang w:val="nl-NL"/>
        </w:rPr>
        <w:t xml:space="preserve">De </w:t>
      </w:r>
      <w:r w:rsidRPr="00AD77A1">
        <w:rPr>
          <w:rFonts w:ascii="Verdana" w:hAnsi="Verdana"/>
          <w:sz w:val="18"/>
          <w:szCs w:val="18"/>
          <w:lang w:val="nl-NL"/>
        </w:rPr>
        <w:t>ER veroordeelde krachtig het aanhoudende extremistische kolonistengeweld op de Westelijke Jordaanoever, inclusief Oost-Jeruzalem, en verzocht de Raad om voortgang te boeken met verdere beperkende maatregelen tegen extremistische kolonisten. De ER veroordeelde de besluiten van de Israëlische regering om illegale nederzettingen op de bezette Westelijke Jordaanoever verder uit te breiden en te legaliseren, en dringt er bij Israël op aan deze besluiten terug te draaien.</w:t>
      </w:r>
    </w:p>
    <w:p w:rsidRPr="008D101B" w:rsidR="00CB4B14" w:rsidP="00CB4B14" w:rsidRDefault="00CB4B14" w14:paraId="523E878C" w14:textId="602E9762">
      <w:pPr>
        <w:spacing w:line="240" w:lineRule="auto"/>
        <w:rPr>
          <w:rFonts w:ascii="Verdana" w:hAnsi="Verdana"/>
          <w:sz w:val="18"/>
          <w:szCs w:val="18"/>
          <w:lang w:val="nl-NL"/>
        </w:rPr>
      </w:pPr>
      <w:r w:rsidRPr="001E72F1">
        <w:rPr>
          <w:rFonts w:ascii="Verdana" w:hAnsi="Verdana"/>
          <w:sz w:val="18"/>
          <w:szCs w:val="18"/>
          <w:lang w:val="nl-NL"/>
        </w:rPr>
        <w:t>De ER sprak zijn bezorgdheid uit over de toenemende spanningen in de regio, met name aan de Israëlische/Libanese grens.</w:t>
      </w:r>
      <w:r w:rsidRPr="001E72F1" w:rsidR="00970849">
        <w:rPr>
          <w:rFonts w:ascii="Verdana" w:hAnsi="Verdana"/>
          <w:sz w:val="18"/>
          <w:szCs w:val="18"/>
          <w:lang w:val="nl-NL"/>
        </w:rPr>
        <w:t xml:space="preserve"> </w:t>
      </w:r>
      <w:r w:rsidRPr="001E72F1">
        <w:rPr>
          <w:rFonts w:ascii="Verdana" w:hAnsi="Verdana"/>
          <w:sz w:val="18"/>
          <w:szCs w:val="18"/>
          <w:lang w:val="nl-NL"/>
        </w:rPr>
        <w:t>In overeenstemming met Resolutie 1701 van de VN-Veiligheidsraad</w:t>
      </w:r>
      <w:r w:rsidRPr="001E72F1" w:rsidR="00970849">
        <w:rPr>
          <w:rStyle w:val="FootnoteReference"/>
          <w:rFonts w:ascii="Verdana" w:hAnsi="Verdana"/>
          <w:sz w:val="18"/>
          <w:szCs w:val="18"/>
          <w:lang w:val="nl-NL"/>
        </w:rPr>
        <w:footnoteReference w:id="10"/>
      </w:r>
      <w:r w:rsidRPr="001E72F1">
        <w:rPr>
          <w:rFonts w:ascii="Verdana" w:hAnsi="Verdana"/>
          <w:sz w:val="18"/>
          <w:szCs w:val="18"/>
          <w:lang w:val="nl-NL"/>
        </w:rPr>
        <w:t xml:space="preserve"> drong de ER </w:t>
      </w:r>
      <w:proofErr w:type="spellStart"/>
      <w:r w:rsidRPr="001E72F1">
        <w:rPr>
          <w:rFonts w:ascii="Verdana" w:hAnsi="Verdana"/>
          <w:sz w:val="18"/>
          <w:szCs w:val="18"/>
          <w:lang w:val="nl-NL"/>
        </w:rPr>
        <w:t>er</w:t>
      </w:r>
      <w:proofErr w:type="spellEnd"/>
      <w:r w:rsidRPr="001E72F1">
        <w:rPr>
          <w:rFonts w:ascii="Verdana" w:hAnsi="Verdana"/>
          <w:sz w:val="18"/>
          <w:szCs w:val="18"/>
          <w:lang w:val="nl-NL"/>
        </w:rPr>
        <w:t xml:space="preserve"> bij alle partijen op aan terughoudendheid te betrachten, verdere escalatie te voorkomen, en deel te nemen aan internationale diplomatieke inspanningen.</w:t>
      </w:r>
      <w:r w:rsidRPr="008D101B">
        <w:rPr>
          <w:rFonts w:ascii="Verdana" w:hAnsi="Verdana"/>
          <w:sz w:val="18"/>
          <w:szCs w:val="18"/>
          <w:lang w:val="nl-NL"/>
        </w:rPr>
        <w:t xml:space="preserve"> </w:t>
      </w:r>
    </w:p>
    <w:p w:rsidRPr="008D101B" w:rsidR="00CB4B14" w:rsidP="00CB4B14" w:rsidRDefault="00CB4B14" w14:paraId="43E2EF95" w14:textId="77777777">
      <w:pPr>
        <w:spacing w:line="240" w:lineRule="auto"/>
        <w:rPr>
          <w:rFonts w:ascii="Verdana" w:hAnsi="Verdana"/>
          <w:i/>
          <w:iCs/>
          <w:sz w:val="18"/>
          <w:szCs w:val="18"/>
          <w:lang w:val="nl-NL"/>
        </w:rPr>
      </w:pPr>
      <w:r w:rsidRPr="008D101B">
        <w:rPr>
          <w:rFonts w:ascii="Verdana" w:hAnsi="Verdana"/>
          <w:i/>
          <w:iCs/>
          <w:sz w:val="18"/>
          <w:szCs w:val="18"/>
          <w:lang w:val="nl-NL"/>
        </w:rPr>
        <w:t>Veiligheid en Defensie</w:t>
      </w:r>
    </w:p>
    <w:p w:rsidRPr="008D101B" w:rsidR="00CB4B14" w:rsidP="00CB4B14" w:rsidRDefault="00CB4B14" w14:paraId="740E0C47" w14:textId="07288219">
      <w:pPr>
        <w:spacing w:line="240" w:lineRule="auto"/>
        <w:rPr>
          <w:rFonts w:ascii="Verdana" w:hAnsi="Verdana"/>
          <w:sz w:val="18"/>
          <w:szCs w:val="18"/>
          <w:lang w:val="nl-NL"/>
        </w:rPr>
      </w:pPr>
      <w:r w:rsidRPr="008D101B">
        <w:rPr>
          <w:rFonts w:ascii="Verdana" w:hAnsi="Verdana"/>
          <w:sz w:val="18"/>
          <w:szCs w:val="18"/>
          <w:lang w:val="nl-NL"/>
        </w:rPr>
        <w:t xml:space="preserve">De ER herhaalde de noodzaak voor </w:t>
      </w:r>
      <w:r w:rsidR="008A6FFB">
        <w:rPr>
          <w:rFonts w:ascii="Verdana" w:hAnsi="Verdana"/>
          <w:sz w:val="18"/>
          <w:szCs w:val="18"/>
          <w:lang w:val="nl-NL"/>
        </w:rPr>
        <w:t xml:space="preserve">de </w:t>
      </w:r>
      <w:r w:rsidR="00D60F91">
        <w:rPr>
          <w:rFonts w:ascii="Verdana" w:hAnsi="Verdana"/>
          <w:sz w:val="18"/>
          <w:szCs w:val="18"/>
          <w:lang w:val="nl-NL"/>
        </w:rPr>
        <w:t>EU</w:t>
      </w:r>
      <w:r w:rsidRPr="008D101B">
        <w:rPr>
          <w:rFonts w:ascii="Verdana" w:hAnsi="Verdana"/>
          <w:sz w:val="18"/>
          <w:szCs w:val="18"/>
          <w:lang w:val="nl-NL"/>
        </w:rPr>
        <w:t xml:space="preserve"> om zijn strategische afhankelijkheden te verminderen, zijn </w:t>
      </w:r>
      <w:r w:rsidRPr="00D361FB">
        <w:rPr>
          <w:rFonts w:ascii="Verdana" w:hAnsi="Verdana"/>
          <w:sz w:val="18"/>
          <w:szCs w:val="18"/>
          <w:lang w:val="nl-NL"/>
        </w:rPr>
        <w:t xml:space="preserve">algehele defensieparaatheid en -vermogens te vergroten en zijn technologische en industriële defensiebasis verder te versterken. De ER besprak de defensiebehoeften op de korte, middellange en lange termijn en </w:t>
      </w:r>
      <w:r w:rsidR="00DA5331">
        <w:rPr>
          <w:rFonts w:ascii="Verdana" w:hAnsi="Verdana"/>
          <w:sz w:val="18"/>
          <w:szCs w:val="18"/>
          <w:lang w:val="nl-NL"/>
        </w:rPr>
        <w:t xml:space="preserve">de </w:t>
      </w:r>
      <w:r w:rsidRPr="00D361FB">
        <w:rPr>
          <w:rFonts w:ascii="Verdana" w:hAnsi="Verdana"/>
          <w:sz w:val="18"/>
          <w:szCs w:val="18"/>
          <w:lang w:val="nl-NL"/>
        </w:rPr>
        <w:t>Europese defensie-initiatieven.</w:t>
      </w:r>
      <w:r w:rsidRPr="008D101B">
        <w:rPr>
          <w:rFonts w:ascii="Verdana" w:hAnsi="Verdana"/>
          <w:sz w:val="18"/>
          <w:szCs w:val="18"/>
          <w:lang w:val="nl-NL"/>
        </w:rPr>
        <w:t xml:space="preserve"> </w:t>
      </w:r>
    </w:p>
    <w:p w:rsidRPr="007567F6" w:rsidR="00CB4B14" w:rsidP="00CB4B14" w:rsidRDefault="00CB4B14" w14:paraId="59FA083C" w14:textId="77777777">
      <w:pPr>
        <w:spacing w:line="240" w:lineRule="auto"/>
        <w:rPr>
          <w:rFonts w:ascii="Verdana" w:hAnsi="Verdana"/>
          <w:sz w:val="18"/>
          <w:szCs w:val="18"/>
          <w:lang w:val="nl-NL"/>
        </w:rPr>
      </w:pPr>
      <w:r w:rsidRPr="00D361FB">
        <w:rPr>
          <w:rFonts w:ascii="Verdana" w:hAnsi="Verdana"/>
          <w:sz w:val="18"/>
          <w:szCs w:val="18"/>
          <w:lang w:val="nl-NL"/>
        </w:rPr>
        <w:t xml:space="preserve">De ER verzocht de Raad, de lidstaten, de Commissie en de HV om in lijn met hun respectievelijke competenties voortgang te boeken, in het bijzonder op het gebied van de Europese defensie-industrie </w:t>
      </w:r>
      <w:r w:rsidRPr="007567F6">
        <w:rPr>
          <w:rFonts w:ascii="Verdana" w:hAnsi="Verdana"/>
          <w:sz w:val="18"/>
          <w:szCs w:val="18"/>
          <w:lang w:val="nl-NL"/>
        </w:rPr>
        <w:t xml:space="preserve">strategie (EDIS), en het voorstel voor een Europees defensie-industrie programma (EDIP). </w:t>
      </w:r>
    </w:p>
    <w:p w:rsidRPr="008D101B" w:rsidR="00CB4B14" w:rsidP="00CB4B14" w:rsidRDefault="00CB4B14" w14:paraId="681ADD28" w14:textId="66C61F99">
      <w:pPr>
        <w:spacing w:line="240" w:lineRule="auto"/>
        <w:rPr>
          <w:rFonts w:ascii="Verdana" w:hAnsi="Verdana"/>
          <w:i/>
          <w:sz w:val="18"/>
          <w:szCs w:val="18"/>
          <w:lang w:val="nl-NL"/>
        </w:rPr>
      </w:pPr>
      <w:r w:rsidRPr="007567F6">
        <w:rPr>
          <w:rFonts w:ascii="Verdana" w:hAnsi="Verdana"/>
          <w:sz w:val="18"/>
          <w:szCs w:val="18"/>
          <w:lang w:val="nl-NL"/>
        </w:rPr>
        <w:t xml:space="preserve">De ER verzocht de Commissie en de HV opties uit te werken ter bespreking in de Raad voor publieke en private financiering om de technologische en industriële defensiebasis te versterken en kritieke lacunes in defensiecapaciteiten aan te pakken. </w:t>
      </w:r>
      <w:bookmarkStart w:name="_Hlk170739193" w:id="2"/>
      <w:r w:rsidRPr="007567F6">
        <w:rPr>
          <w:rFonts w:ascii="Verdana" w:hAnsi="Verdana"/>
          <w:color w:val="000000"/>
          <w:sz w:val="18"/>
          <w:szCs w:val="18"/>
          <w:lang w:val="nl-NL"/>
        </w:rPr>
        <w:t>Met verwijzing naar het verzoek van de ER van 21 en 2</w:t>
      </w:r>
      <w:r w:rsidR="00F21F38">
        <w:rPr>
          <w:rFonts w:ascii="Verdana" w:hAnsi="Verdana"/>
          <w:color w:val="000000"/>
          <w:sz w:val="18"/>
          <w:szCs w:val="18"/>
          <w:lang w:val="nl-NL"/>
        </w:rPr>
        <w:t>2</w:t>
      </w:r>
      <w:r w:rsidRPr="007567F6">
        <w:rPr>
          <w:rFonts w:ascii="Verdana" w:hAnsi="Verdana"/>
          <w:color w:val="000000"/>
          <w:sz w:val="18"/>
          <w:szCs w:val="18"/>
          <w:lang w:val="nl-NL"/>
        </w:rPr>
        <w:t xml:space="preserve"> maart jl. gaf </w:t>
      </w:r>
      <w:r w:rsidRPr="007567F6">
        <w:rPr>
          <w:rFonts w:ascii="Verdana" w:hAnsi="Verdana"/>
          <w:sz w:val="18"/>
          <w:szCs w:val="18"/>
          <w:lang w:val="nl-NL"/>
        </w:rPr>
        <w:t xml:space="preserve">Commissievoorzitter Von der Leyen </w:t>
      </w:r>
      <w:r w:rsidRPr="007567F6">
        <w:rPr>
          <w:rFonts w:ascii="Verdana" w:hAnsi="Verdana"/>
          <w:color w:val="000000"/>
          <w:sz w:val="18"/>
          <w:szCs w:val="18"/>
          <w:lang w:val="nl-NL"/>
        </w:rPr>
        <w:t xml:space="preserve">in </w:t>
      </w:r>
      <w:r w:rsidRPr="007567F6">
        <w:rPr>
          <w:rFonts w:ascii="Verdana" w:hAnsi="Verdana"/>
          <w:sz w:val="18"/>
          <w:szCs w:val="18"/>
          <w:lang w:val="nl-NL"/>
        </w:rPr>
        <w:t xml:space="preserve">een mondelinge toelichting over de </w:t>
      </w:r>
      <w:r w:rsidRPr="007567F6">
        <w:rPr>
          <w:rFonts w:ascii="Verdana" w:hAnsi="Verdana"/>
          <w:color w:val="000000"/>
          <w:sz w:val="18"/>
          <w:szCs w:val="18"/>
          <w:lang w:val="nl-NL"/>
        </w:rPr>
        <w:t xml:space="preserve">financieringsbehoefte van </w:t>
      </w:r>
      <w:r w:rsidRPr="007567F6">
        <w:rPr>
          <w:rFonts w:ascii="Verdana" w:hAnsi="Verdana"/>
          <w:sz w:val="18"/>
          <w:szCs w:val="18"/>
          <w:lang w:val="nl-NL"/>
        </w:rPr>
        <w:t xml:space="preserve">de Europese defensie-industrie </w:t>
      </w:r>
      <w:r w:rsidRPr="007567F6">
        <w:rPr>
          <w:rFonts w:ascii="Verdana" w:hAnsi="Verdana"/>
          <w:color w:val="000000"/>
          <w:sz w:val="18"/>
          <w:szCs w:val="18"/>
          <w:lang w:val="nl-NL"/>
        </w:rPr>
        <w:t xml:space="preserve">aan dat de komende 10 jaar </w:t>
      </w:r>
      <w:r w:rsidRPr="007567F6">
        <w:rPr>
          <w:rFonts w:ascii="Verdana" w:hAnsi="Verdana"/>
          <w:sz w:val="18"/>
          <w:szCs w:val="18"/>
          <w:lang w:val="nl-NL"/>
        </w:rPr>
        <w:t>een bedrag van 500 miljard euro aanvullende financiering</w:t>
      </w:r>
      <w:r w:rsidRPr="007567F6">
        <w:rPr>
          <w:rFonts w:ascii="Verdana" w:hAnsi="Verdana"/>
          <w:color w:val="000000"/>
          <w:sz w:val="18"/>
          <w:szCs w:val="18"/>
          <w:lang w:val="nl-NL"/>
        </w:rPr>
        <w:t xml:space="preserve"> </w:t>
      </w:r>
      <w:r w:rsidRPr="007567F6">
        <w:rPr>
          <w:rFonts w:ascii="Verdana" w:hAnsi="Verdana"/>
          <w:sz w:val="18"/>
          <w:szCs w:val="18"/>
          <w:lang w:val="nl-NL"/>
        </w:rPr>
        <w:t xml:space="preserve">nodig zou zijn. </w:t>
      </w:r>
      <w:r w:rsidRPr="007567F6">
        <w:rPr>
          <w:rFonts w:ascii="Verdana" w:hAnsi="Verdana"/>
          <w:color w:val="000000"/>
          <w:sz w:val="18"/>
          <w:szCs w:val="18"/>
          <w:lang w:val="nl-NL"/>
        </w:rPr>
        <w:t>De analyse dat er extra investeringen nodig zijn</w:t>
      </w:r>
      <w:r w:rsidRPr="007567F6" w:rsidR="007567F6">
        <w:rPr>
          <w:rFonts w:ascii="Verdana" w:hAnsi="Verdana"/>
          <w:color w:val="000000"/>
          <w:sz w:val="18"/>
          <w:szCs w:val="18"/>
          <w:lang w:val="nl-NL"/>
        </w:rPr>
        <w:t>,</w:t>
      </w:r>
      <w:r w:rsidRPr="007567F6">
        <w:rPr>
          <w:rFonts w:ascii="Verdana" w:hAnsi="Verdana"/>
          <w:color w:val="000000"/>
          <w:sz w:val="18"/>
          <w:szCs w:val="18"/>
          <w:lang w:val="nl-NL"/>
        </w:rPr>
        <w:t xml:space="preserve"> werd door lidstaten breed gedeeld. Er is echter nog geen gedeeld beeld van de prioriteiten en de wijze waarop deze gefinancierd zouden moeten worden.</w:t>
      </w:r>
      <w:r w:rsidRPr="008D101B">
        <w:rPr>
          <w:rFonts w:ascii="Verdana" w:hAnsi="Verdana"/>
          <w:i/>
          <w:iCs/>
          <w:color w:val="000000"/>
          <w:sz w:val="18"/>
          <w:szCs w:val="18"/>
          <w:lang w:val="nl-NL"/>
        </w:rPr>
        <w:t xml:space="preserve"> </w:t>
      </w:r>
      <w:r w:rsidRPr="008D101B">
        <w:rPr>
          <w:rFonts w:ascii="Verdana" w:hAnsi="Verdana"/>
          <w:sz w:val="18"/>
          <w:szCs w:val="18"/>
          <w:lang w:val="nl-NL"/>
        </w:rPr>
        <w:t xml:space="preserve"> </w:t>
      </w:r>
    </w:p>
    <w:bookmarkEnd w:id="2"/>
    <w:p w:rsidRPr="008D101B" w:rsidR="00CB4B14" w:rsidP="00CB4B14" w:rsidRDefault="00CB4B14" w14:paraId="69A32EEE" w14:textId="0EA3782F">
      <w:pPr>
        <w:spacing w:line="240" w:lineRule="auto"/>
        <w:rPr>
          <w:rFonts w:ascii="Verdana" w:hAnsi="Verdana"/>
          <w:sz w:val="18"/>
          <w:szCs w:val="18"/>
          <w:lang w:val="nl-NL"/>
        </w:rPr>
      </w:pPr>
      <w:r w:rsidRPr="008D101B">
        <w:rPr>
          <w:rFonts w:ascii="Verdana" w:hAnsi="Verdana"/>
          <w:sz w:val="18"/>
          <w:szCs w:val="18"/>
          <w:lang w:val="nl-NL"/>
        </w:rPr>
        <w:t>De ER verwelkomde het door de Europese Investeringsbank Groep aangenomen Veiligheids- en Defensieactieplan en riep op tot een snelle uitvoering ervan. De ER verzocht de Europese Investeringsbank om haar beleid inzake kredietverlening aan de defensie-industrie te beoordelen en waar nodig verder aan te passen, en tegelijkertijd haar financieringscapaciteit veilig te stellen.</w:t>
      </w:r>
    </w:p>
    <w:p w:rsidRPr="008D101B" w:rsidR="00CB4B14" w:rsidP="00CB4B14" w:rsidRDefault="00CB4B14" w14:paraId="344C53C7" w14:textId="77777777">
      <w:pPr>
        <w:spacing w:line="240" w:lineRule="auto"/>
        <w:rPr>
          <w:rFonts w:ascii="Verdana" w:hAnsi="Verdana"/>
          <w:i/>
          <w:iCs/>
          <w:sz w:val="18"/>
          <w:szCs w:val="18"/>
          <w:lang w:val="nl-NL"/>
        </w:rPr>
      </w:pPr>
      <w:r w:rsidRPr="008D101B">
        <w:rPr>
          <w:rFonts w:ascii="Verdana" w:hAnsi="Verdana"/>
          <w:i/>
          <w:iCs/>
          <w:sz w:val="18"/>
          <w:szCs w:val="18"/>
          <w:lang w:val="nl-NL"/>
        </w:rPr>
        <w:lastRenderedPageBreak/>
        <w:t>Concurrentievermogen en Kapitaalmarktunie</w:t>
      </w:r>
    </w:p>
    <w:p w:rsidRPr="001B1CE7" w:rsidR="00CB4B14" w:rsidP="00CB4B14" w:rsidRDefault="00CB4B14" w14:paraId="6F36C1AC" w14:textId="77777777">
      <w:pPr>
        <w:spacing w:line="240" w:lineRule="auto"/>
        <w:rPr>
          <w:rFonts w:ascii="Verdana" w:hAnsi="Verdana"/>
          <w:sz w:val="18"/>
          <w:szCs w:val="18"/>
          <w:lang w:val="nl-NL"/>
        </w:rPr>
      </w:pPr>
      <w:r w:rsidRPr="008D101B">
        <w:rPr>
          <w:rFonts w:ascii="Verdana" w:hAnsi="Verdana"/>
          <w:sz w:val="18"/>
          <w:szCs w:val="18"/>
          <w:lang w:val="nl-NL"/>
        </w:rPr>
        <w:t xml:space="preserve">De ER concludeerde dat er voortgang is gemaakt in de stappen om het Europese concurrentievermogen te versterken. De ER stond in het bijzonder stil bij de stappen die moeten worden gezet om de kapitaalmarktunie te verdiepen en riep de Raad en de Europese Commissie op om haar werk te versnellen ten behoeve van de aanpak van fragmentatie op de kapitaalmarkten. Het mobiliseren van privaat kapitaal is cruciaal voor de uitdagingen van de EU. Het versterken van het concurrentievermogen is voor het kabinet een belangrijke prioriteit voor de nieuwe Europese </w:t>
      </w:r>
      <w:r w:rsidRPr="001B1CE7">
        <w:rPr>
          <w:rFonts w:ascii="Verdana" w:hAnsi="Verdana"/>
          <w:sz w:val="18"/>
          <w:szCs w:val="18"/>
          <w:lang w:val="nl-NL"/>
        </w:rPr>
        <w:t>Commissie.</w:t>
      </w:r>
    </w:p>
    <w:p w:rsidRPr="001B1CE7" w:rsidR="00CB4B14" w:rsidP="00CB4B14" w:rsidRDefault="00CB4B14" w14:paraId="22B0CF29" w14:textId="77777777">
      <w:pPr>
        <w:spacing w:line="240" w:lineRule="auto"/>
        <w:rPr>
          <w:rFonts w:ascii="Verdana" w:hAnsi="Verdana"/>
          <w:i/>
          <w:iCs/>
          <w:sz w:val="18"/>
          <w:szCs w:val="18"/>
          <w:lang w:val="nl-NL"/>
        </w:rPr>
      </w:pPr>
      <w:r w:rsidRPr="001B1CE7">
        <w:rPr>
          <w:rFonts w:ascii="Verdana" w:hAnsi="Verdana"/>
          <w:i/>
          <w:iCs/>
          <w:sz w:val="18"/>
          <w:szCs w:val="18"/>
          <w:lang w:val="nl-NL"/>
        </w:rPr>
        <w:t>Migratie</w:t>
      </w:r>
    </w:p>
    <w:p w:rsidRPr="008D101B" w:rsidR="00CB4B14" w:rsidP="00CB4B14" w:rsidRDefault="00CB4B14" w14:paraId="74080C1E" w14:textId="386FB439">
      <w:pPr>
        <w:spacing w:line="240" w:lineRule="auto"/>
        <w:rPr>
          <w:rFonts w:ascii="Verdana" w:hAnsi="Verdana"/>
          <w:sz w:val="18"/>
          <w:szCs w:val="18"/>
          <w:lang w:val="nl-NL"/>
        </w:rPr>
      </w:pPr>
      <w:r w:rsidRPr="001B1CE7">
        <w:rPr>
          <w:rFonts w:ascii="Verdana" w:hAnsi="Verdana"/>
          <w:sz w:val="18"/>
          <w:szCs w:val="18"/>
          <w:lang w:val="nl-NL"/>
        </w:rPr>
        <w:t xml:space="preserve">Voorafgaand aan de ER deelde Commissievoorzitter Von </w:t>
      </w:r>
      <w:r w:rsidR="00084CC1">
        <w:rPr>
          <w:rFonts w:ascii="Verdana" w:hAnsi="Verdana"/>
          <w:sz w:val="18"/>
          <w:szCs w:val="18"/>
          <w:lang w:val="nl-NL"/>
        </w:rPr>
        <w:t>d</w:t>
      </w:r>
      <w:r w:rsidRPr="001B1CE7">
        <w:rPr>
          <w:rFonts w:ascii="Verdana" w:hAnsi="Verdana"/>
          <w:sz w:val="18"/>
          <w:szCs w:val="18"/>
          <w:lang w:val="nl-NL"/>
        </w:rPr>
        <w:t>er Leyen een brief over geboekte voortgang en uitvoering van de gemaakte afspraken op het gebied van asiel en migratie</w:t>
      </w:r>
      <w:r w:rsidR="000B0A07">
        <w:rPr>
          <w:rFonts w:ascii="Verdana" w:hAnsi="Verdana"/>
          <w:sz w:val="18"/>
          <w:szCs w:val="18"/>
          <w:lang w:val="nl-NL"/>
        </w:rPr>
        <w:t>.</w:t>
      </w:r>
      <w:r w:rsidRPr="001B1CE7" w:rsidR="000B0A07">
        <w:rPr>
          <w:rStyle w:val="FootnoteReference"/>
          <w:rFonts w:ascii="Verdana" w:hAnsi="Verdana"/>
          <w:sz w:val="18"/>
          <w:szCs w:val="18"/>
          <w:lang w:val="nl-NL"/>
        </w:rPr>
        <w:footnoteReference w:id="11"/>
      </w:r>
      <w:r w:rsidRPr="001B1CE7">
        <w:rPr>
          <w:rFonts w:ascii="Verdana" w:hAnsi="Verdana"/>
          <w:sz w:val="18"/>
          <w:szCs w:val="18"/>
          <w:lang w:val="nl-NL"/>
        </w:rPr>
        <w:t xml:space="preserve"> De Commissie werd aangemoedigd voortvarend verder te gaan op de ingezette weg. De permanent vertegenwoordiger heeft, in lijn met motie Ceder c.s., aan de kabinetschef van het kabinet</w:t>
      </w:r>
      <w:r w:rsidRPr="001B1CE7" w:rsidR="00D76F7A">
        <w:rPr>
          <w:rFonts w:ascii="Verdana" w:hAnsi="Verdana"/>
          <w:sz w:val="18"/>
          <w:szCs w:val="18"/>
          <w:lang w:val="nl-NL"/>
        </w:rPr>
        <w:t xml:space="preserve"> van Commissaris</w:t>
      </w:r>
      <w:r w:rsidRPr="001B1CE7">
        <w:rPr>
          <w:rFonts w:ascii="Verdana" w:hAnsi="Verdana"/>
          <w:sz w:val="18"/>
          <w:szCs w:val="18"/>
          <w:lang w:val="nl-NL"/>
        </w:rPr>
        <w:t xml:space="preserve"> Johansson gevraagd aan de Commissaris het verzoek over te brengen onderzoek te blijven doen naar ontvangen signalen over ‘pushbacks’.</w:t>
      </w:r>
      <w:r w:rsidRPr="001B1CE7" w:rsidR="000B0A07">
        <w:rPr>
          <w:rStyle w:val="FootnoteReference"/>
          <w:rFonts w:ascii="Verdana" w:hAnsi="Verdana"/>
          <w:sz w:val="18"/>
          <w:szCs w:val="18"/>
          <w:lang w:val="nl-NL"/>
        </w:rPr>
        <w:footnoteReference w:id="12"/>
      </w:r>
    </w:p>
    <w:p w:rsidRPr="008D101B" w:rsidR="00CB4B14" w:rsidP="00CB4B14" w:rsidRDefault="00CB4B14" w14:paraId="73C5CBE3" w14:textId="77777777">
      <w:pPr>
        <w:spacing w:line="240" w:lineRule="auto"/>
        <w:rPr>
          <w:rFonts w:ascii="Verdana" w:hAnsi="Verdana"/>
          <w:i/>
          <w:iCs/>
          <w:sz w:val="18"/>
          <w:szCs w:val="18"/>
          <w:lang w:val="nl-NL"/>
        </w:rPr>
      </w:pPr>
      <w:r w:rsidRPr="008D101B">
        <w:rPr>
          <w:rFonts w:ascii="Verdana" w:hAnsi="Verdana"/>
          <w:i/>
          <w:iCs/>
          <w:sz w:val="18"/>
          <w:szCs w:val="18"/>
          <w:lang w:val="nl-NL"/>
        </w:rPr>
        <w:t>Georgië</w:t>
      </w:r>
    </w:p>
    <w:p w:rsidRPr="008D101B" w:rsidR="00CB4B14" w:rsidP="00CB4B14" w:rsidRDefault="00CB4B14" w14:paraId="062BC060" w14:textId="77777777">
      <w:pPr>
        <w:spacing w:line="240" w:lineRule="auto"/>
        <w:rPr>
          <w:rFonts w:ascii="Verdana" w:hAnsi="Verdana"/>
          <w:sz w:val="18"/>
          <w:szCs w:val="18"/>
          <w:lang w:val="nl-NL"/>
        </w:rPr>
      </w:pPr>
      <w:r w:rsidRPr="00AF3FB5">
        <w:rPr>
          <w:rFonts w:ascii="Verdana" w:hAnsi="Verdana"/>
          <w:sz w:val="18"/>
          <w:szCs w:val="18"/>
          <w:lang w:val="nl-NL"/>
        </w:rPr>
        <w:t>De ER uitte serieuze zorgen over de recente ontwikkelingen in Georgië en constateerde dat er sprake is van teruggang ten opzichte van de aanbevelingen van de Commissie in het kader van het toetredingstraject. Deze acties leiden tot het de facto stopzetten van het toetredingstraject. De ER riep de autoriteiten van Georgië op om hun gedrag aan te passen en de waarden van de Unie te respecteren zodat ze het pad richting EU toetreding kunnen hervatten. Het garanderen van vrije en eerlijke parlementaire verkiezingen in oktober, in aanwezigheid van waarnemingsmissies, is hierin van groot belang.</w:t>
      </w:r>
      <w:r w:rsidRPr="008D101B">
        <w:rPr>
          <w:rFonts w:ascii="Verdana" w:hAnsi="Verdana"/>
          <w:sz w:val="18"/>
          <w:szCs w:val="18"/>
          <w:lang w:val="nl-NL"/>
        </w:rPr>
        <w:t xml:space="preserve"> </w:t>
      </w:r>
    </w:p>
    <w:p w:rsidRPr="008D101B" w:rsidR="00CB4B14" w:rsidP="00CB4B14" w:rsidRDefault="00CB4B14" w14:paraId="577FCE8F" w14:textId="77777777">
      <w:pPr>
        <w:spacing w:line="240" w:lineRule="auto"/>
        <w:rPr>
          <w:rFonts w:ascii="Verdana" w:hAnsi="Verdana"/>
          <w:i/>
          <w:iCs/>
          <w:sz w:val="18"/>
          <w:szCs w:val="18"/>
          <w:lang w:val="nl-NL"/>
        </w:rPr>
      </w:pPr>
      <w:r w:rsidRPr="008D101B">
        <w:rPr>
          <w:rFonts w:ascii="Verdana" w:hAnsi="Verdana"/>
          <w:i/>
          <w:iCs/>
          <w:sz w:val="18"/>
          <w:szCs w:val="18"/>
          <w:lang w:val="nl-NL"/>
        </w:rPr>
        <w:t>Zwarte Zee</w:t>
      </w:r>
    </w:p>
    <w:p w:rsidRPr="008D101B" w:rsidR="00CB4B14" w:rsidP="00CB4B14" w:rsidRDefault="00CB4B14" w14:paraId="5D2419D1" w14:textId="0142DF47">
      <w:pPr>
        <w:spacing w:line="240" w:lineRule="auto"/>
        <w:rPr>
          <w:rFonts w:ascii="Verdana" w:hAnsi="Verdana"/>
          <w:sz w:val="18"/>
          <w:szCs w:val="18"/>
          <w:lang w:val="nl-NL"/>
        </w:rPr>
      </w:pPr>
      <w:r w:rsidRPr="008D101B">
        <w:rPr>
          <w:rFonts w:ascii="Verdana" w:hAnsi="Verdana"/>
          <w:sz w:val="18"/>
          <w:szCs w:val="18"/>
          <w:lang w:val="nl-NL"/>
        </w:rPr>
        <w:t xml:space="preserve">De ER nodigde de Commissie en de </w:t>
      </w:r>
      <w:r w:rsidR="003534B9">
        <w:rPr>
          <w:rFonts w:ascii="Verdana" w:hAnsi="Verdana"/>
          <w:sz w:val="18"/>
          <w:szCs w:val="18"/>
          <w:lang w:val="nl-NL"/>
        </w:rPr>
        <w:t>HV</w:t>
      </w:r>
      <w:r w:rsidRPr="008D101B">
        <w:rPr>
          <w:rFonts w:ascii="Verdana" w:hAnsi="Verdana"/>
          <w:sz w:val="18"/>
          <w:szCs w:val="18"/>
          <w:lang w:val="nl-NL"/>
        </w:rPr>
        <w:t xml:space="preserve"> uit om een gezamenlijke mededeling voor te bereiden voor een strategische benadering van de Zwarte Zee regio. </w:t>
      </w:r>
    </w:p>
    <w:p w:rsidRPr="008076E8" w:rsidR="00CB4B14" w:rsidP="00CB4B14" w:rsidRDefault="00CB4B14" w14:paraId="4CFF46E9" w14:textId="77777777">
      <w:pPr>
        <w:spacing w:line="240" w:lineRule="auto"/>
        <w:rPr>
          <w:rFonts w:ascii="Verdana" w:hAnsi="Verdana"/>
          <w:i/>
          <w:iCs/>
          <w:sz w:val="18"/>
          <w:szCs w:val="18"/>
          <w:lang w:val="nl-NL"/>
        </w:rPr>
      </w:pPr>
      <w:r w:rsidRPr="008076E8">
        <w:rPr>
          <w:rFonts w:ascii="Verdana" w:hAnsi="Verdana"/>
          <w:i/>
          <w:iCs/>
          <w:sz w:val="18"/>
          <w:szCs w:val="18"/>
          <w:lang w:val="nl-NL"/>
        </w:rPr>
        <w:t>Moldavië</w:t>
      </w:r>
    </w:p>
    <w:p w:rsidRPr="008076E8" w:rsidR="00CB4B14" w:rsidP="00CB4B14" w:rsidRDefault="00CB4B14" w14:paraId="78502644" w14:textId="77777777">
      <w:pPr>
        <w:spacing w:line="240" w:lineRule="auto"/>
        <w:rPr>
          <w:rFonts w:ascii="Verdana" w:hAnsi="Verdana"/>
          <w:sz w:val="18"/>
          <w:szCs w:val="18"/>
          <w:lang w:val="nl-NL"/>
        </w:rPr>
      </w:pPr>
      <w:r w:rsidRPr="008076E8">
        <w:rPr>
          <w:rFonts w:ascii="Verdana" w:hAnsi="Verdana"/>
          <w:sz w:val="18"/>
          <w:szCs w:val="18"/>
          <w:lang w:val="nl-NL"/>
        </w:rPr>
        <w:t>De ER benadrukte dat de EU Moldavië op alle relevante manieren zal blijven steunen om de uitdagingen als gevolg van de Russische agressieoorlog in Oekraïne het hoofd te bieden en om de weerbaarheid, veiligheid en stabiliteit van het land te versterken in het licht van Ruslands destabiliserende acties. De ER verwelkomde in dit licht de bilaterale bijdragen van EU-lidstaten aan de EU Partnerschapsmissie (EUPM) in Moldavië.</w:t>
      </w:r>
    </w:p>
    <w:p w:rsidRPr="008D101B" w:rsidR="00CB4B14" w:rsidP="00CB4B14" w:rsidRDefault="00CB4B14" w14:paraId="35D905CD" w14:textId="77777777">
      <w:pPr>
        <w:spacing w:line="240" w:lineRule="auto"/>
        <w:rPr>
          <w:rFonts w:ascii="Verdana" w:hAnsi="Verdana"/>
          <w:sz w:val="18"/>
          <w:szCs w:val="18"/>
          <w:lang w:val="nl-NL"/>
        </w:rPr>
      </w:pPr>
      <w:r w:rsidRPr="008076E8">
        <w:rPr>
          <w:rFonts w:ascii="Verdana" w:hAnsi="Verdana"/>
          <w:sz w:val="18"/>
          <w:szCs w:val="18"/>
          <w:lang w:val="nl-NL"/>
        </w:rPr>
        <w:t>De ER sprak tevredenheid uit over het aannemen van het onderhandelingskader en de organisatie van de eerste intergouvernementele conferentie over de toetreding van Moldavië. De EU zal nauw blijven samenwerken met Moldavië en de hervormingsinspanningen richting een Europese toekomst ondersteunen.</w:t>
      </w:r>
    </w:p>
    <w:p w:rsidRPr="00CD7F29" w:rsidR="00CB4B14" w:rsidP="00CB4B14" w:rsidRDefault="00CB4B14" w14:paraId="61C05021" w14:textId="77777777">
      <w:pPr>
        <w:spacing w:line="240" w:lineRule="auto"/>
        <w:rPr>
          <w:rFonts w:ascii="Verdana" w:hAnsi="Verdana"/>
          <w:i/>
          <w:iCs/>
          <w:sz w:val="18"/>
          <w:szCs w:val="18"/>
          <w:lang w:val="nl-NL"/>
        </w:rPr>
      </w:pPr>
      <w:r w:rsidRPr="00CD7F29">
        <w:rPr>
          <w:rFonts w:ascii="Verdana" w:hAnsi="Verdana"/>
          <w:i/>
          <w:iCs/>
          <w:sz w:val="18"/>
          <w:szCs w:val="18"/>
          <w:lang w:val="nl-NL"/>
        </w:rPr>
        <w:t>Tegengaan van antisemitisme, racisme en xenofobie</w:t>
      </w:r>
    </w:p>
    <w:p w:rsidRPr="008D101B" w:rsidR="00CB4B14" w:rsidP="00CB4B14" w:rsidRDefault="00CB4B14" w14:paraId="29CEE6D8" w14:textId="77777777">
      <w:pPr>
        <w:spacing w:line="240" w:lineRule="auto"/>
        <w:rPr>
          <w:rFonts w:ascii="Verdana" w:hAnsi="Verdana"/>
          <w:sz w:val="18"/>
          <w:szCs w:val="18"/>
          <w:lang w:val="nl-NL"/>
        </w:rPr>
      </w:pPr>
      <w:r w:rsidRPr="00CD7F29">
        <w:rPr>
          <w:rFonts w:ascii="Verdana" w:hAnsi="Verdana"/>
          <w:sz w:val="18"/>
          <w:szCs w:val="18"/>
          <w:lang w:val="nl-NL"/>
        </w:rPr>
        <w:t>De ER veroordeelde krachtig alle vormen van antisemitisme, haat, intolerantie, racisme en xenofobie, met inbegrip van moslimdiscriminatie.</w:t>
      </w:r>
    </w:p>
    <w:p w:rsidRPr="008D101B" w:rsidR="00CB4B14" w:rsidP="00CB4B14" w:rsidRDefault="00CB4B14" w14:paraId="017AB2AE" w14:textId="77777777">
      <w:pPr>
        <w:spacing w:line="240" w:lineRule="auto"/>
        <w:rPr>
          <w:rFonts w:ascii="Verdana" w:hAnsi="Verdana"/>
          <w:i/>
          <w:iCs/>
          <w:sz w:val="18"/>
          <w:szCs w:val="18"/>
          <w:lang w:val="nl-NL"/>
        </w:rPr>
      </w:pPr>
      <w:r w:rsidRPr="008D101B">
        <w:rPr>
          <w:rFonts w:ascii="Verdana" w:hAnsi="Verdana"/>
          <w:i/>
          <w:iCs/>
          <w:sz w:val="18"/>
          <w:szCs w:val="18"/>
          <w:lang w:val="nl-NL"/>
        </w:rPr>
        <w:t>Hybride bedreigingen</w:t>
      </w:r>
    </w:p>
    <w:p w:rsidRPr="008D101B" w:rsidR="00CB4B14" w:rsidP="00CB4B14" w:rsidRDefault="00CB4B14" w14:paraId="5B257841" w14:textId="77777777">
      <w:pPr>
        <w:spacing w:line="240" w:lineRule="auto"/>
        <w:rPr>
          <w:rFonts w:ascii="Verdana" w:hAnsi="Verdana"/>
          <w:sz w:val="18"/>
          <w:szCs w:val="18"/>
          <w:lang w:val="nl-NL"/>
        </w:rPr>
      </w:pPr>
      <w:r w:rsidRPr="008D101B">
        <w:rPr>
          <w:rFonts w:ascii="Verdana" w:hAnsi="Verdana"/>
          <w:sz w:val="18"/>
          <w:szCs w:val="18"/>
          <w:lang w:val="nl-NL"/>
        </w:rPr>
        <w:t xml:space="preserve">De ER veroordeelde krachtig alle vormen van hybride activiteiten gericht tegen de EU, zoals intimidatie, sabotage, ondermijning, manipulatie en inmenging, desinformatie, kwaadwillige cyberactiviteiten en de </w:t>
      </w:r>
      <w:proofErr w:type="spellStart"/>
      <w:r w:rsidRPr="008D101B">
        <w:rPr>
          <w:rFonts w:ascii="Verdana" w:hAnsi="Verdana"/>
          <w:sz w:val="18"/>
          <w:szCs w:val="18"/>
          <w:lang w:val="nl-NL"/>
        </w:rPr>
        <w:t>instrumentalisering</w:t>
      </w:r>
      <w:proofErr w:type="spellEnd"/>
      <w:r w:rsidRPr="008D101B">
        <w:rPr>
          <w:rFonts w:ascii="Verdana" w:hAnsi="Verdana"/>
          <w:sz w:val="18"/>
          <w:szCs w:val="18"/>
          <w:lang w:val="nl-NL"/>
        </w:rPr>
        <w:t xml:space="preserve"> van migranten door derde landen. Rusland heeft zijn campagne geïntensiveerd met nieuwe actieve operaties op Europese bodem. De EU en de lidstaten zullen dergelijke acties met een verenigd en vastberaden antwoord tegemoet treden. Als reactie op de </w:t>
      </w:r>
      <w:r w:rsidRPr="008D101B">
        <w:rPr>
          <w:rFonts w:ascii="Verdana" w:hAnsi="Verdana"/>
          <w:sz w:val="18"/>
          <w:szCs w:val="18"/>
          <w:lang w:val="nl-NL"/>
        </w:rPr>
        <w:lastRenderedPageBreak/>
        <w:t>destabiliserende acties van Rusland herhaalde de ER zijn oproep om in de Raad werk te maken van de invoering van een nieuw sanctieregime.</w:t>
      </w:r>
    </w:p>
    <w:p w:rsidRPr="008D101B" w:rsidR="00CB4B14" w:rsidP="00CB4B14" w:rsidRDefault="00CB4B14" w14:paraId="4783348C" w14:textId="77777777">
      <w:pPr>
        <w:spacing w:line="240" w:lineRule="auto"/>
        <w:rPr>
          <w:rFonts w:ascii="Verdana" w:hAnsi="Verdana"/>
          <w:i/>
          <w:iCs/>
          <w:sz w:val="18"/>
          <w:szCs w:val="18"/>
          <w:lang w:val="nl-NL"/>
        </w:rPr>
      </w:pPr>
      <w:r w:rsidRPr="008D101B">
        <w:rPr>
          <w:rFonts w:ascii="Verdana" w:hAnsi="Verdana"/>
          <w:i/>
          <w:iCs/>
          <w:sz w:val="18"/>
          <w:szCs w:val="18"/>
          <w:lang w:val="nl-NL"/>
        </w:rPr>
        <w:t>Volgende institutionele cyclus en benoemingen</w:t>
      </w:r>
    </w:p>
    <w:p w:rsidRPr="008D101B" w:rsidR="00CB4B14" w:rsidP="00CB4B14" w:rsidRDefault="008115FD" w14:paraId="0F83C97C" w14:textId="051EF20F">
      <w:pPr>
        <w:spacing w:line="240" w:lineRule="auto"/>
        <w:rPr>
          <w:rFonts w:ascii="Verdana" w:hAnsi="Verdana"/>
          <w:sz w:val="18"/>
          <w:szCs w:val="18"/>
          <w:lang w:val="nl-NL"/>
        </w:rPr>
      </w:pPr>
      <w:r w:rsidRPr="00B105E1">
        <w:rPr>
          <w:rFonts w:ascii="Verdana" w:hAnsi="Verdana"/>
          <w:sz w:val="18"/>
          <w:szCs w:val="18"/>
          <w:lang w:val="nl-NL"/>
        </w:rPr>
        <w:t>De</w:t>
      </w:r>
      <w:r w:rsidRPr="00B105E1" w:rsidR="00CB4B14">
        <w:rPr>
          <w:rFonts w:ascii="Verdana" w:hAnsi="Verdana"/>
          <w:sz w:val="18"/>
          <w:szCs w:val="18"/>
          <w:lang w:val="nl-NL"/>
        </w:rPr>
        <w:t xml:space="preserve"> ER </w:t>
      </w:r>
      <w:r w:rsidRPr="00B105E1">
        <w:rPr>
          <w:rFonts w:ascii="Verdana" w:hAnsi="Verdana"/>
          <w:sz w:val="18"/>
          <w:szCs w:val="18"/>
          <w:lang w:val="nl-NL"/>
        </w:rPr>
        <w:t xml:space="preserve">heeft </w:t>
      </w:r>
      <w:r w:rsidRPr="00B105E1" w:rsidR="00CB4B14">
        <w:rPr>
          <w:rFonts w:ascii="Verdana" w:hAnsi="Verdana"/>
          <w:sz w:val="18"/>
          <w:szCs w:val="18"/>
          <w:lang w:val="nl-NL"/>
        </w:rPr>
        <w:t>de Strategische Agenda voor de periode 2024-2029</w:t>
      </w:r>
      <w:r w:rsidRPr="00B105E1">
        <w:rPr>
          <w:rFonts w:ascii="Verdana" w:hAnsi="Verdana"/>
          <w:sz w:val="18"/>
          <w:szCs w:val="18"/>
          <w:lang w:val="nl-NL"/>
        </w:rPr>
        <w:t xml:space="preserve"> aangenomen</w:t>
      </w:r>
      <w:r w:rsidRPr="00B105E1" w:rsidR="00CB4B14">
        <w:rPr>
          <w:rFonts w:ascii="Verdana" w:hAnsi="Verdana"/>
          <w:sz w:val="18"/>
          <w:szCs w:val="18"/>
          <w:lang w:val="nl-NL"/>
        </w:rPr>
        <w:t>.</w:t>
      </w:r>
      <w:r w:rsidRPr="00B105E1" w:rsidR="000B0A07">
        <w:rPr>
          <w:rStyle w:val="FootnoteReference"/>
          <w:rFonts w:ascii="Verdana" w:hAnsi="Verdana"/>
          <w:sz w:val="18"/>
          <w:szCs w:val="18"/>
          <w:lang w:val="nl-NL"/>
        </w:rPr>
        <w:footnoteReference w:id="13"/>
      </w:r>
      <w:r w:rsidRPr="00B105E1" w:rsidR="00CB4B14">
        <w:rPr>
          <w:rFonts w:ascii="Verdana" w:hAnsi="Verdana"/>
          <w:sz w:val="18"/>
          <w:szCs w:val="18"/>
          <w:lang w:val="nl-NL"/>
        </w:rPr>
        <w:t xml:space="preserve"> Deze is richtinggevend voor de Commissie ter vaststelling van haar politieke prioriteiten. In lijn met motie </w:t>
      </w:r>
      <w:proofErr w:type="spellStart"/>
      <w:r w:rsidRPr="00B105E1" w:rsidR="00CB4B14">
        <w:rPr>
          <w:rFonts w:ascii="Verdana" w:hAnsi="Verdana"/>
          <w:sz w:val="18"/>
          <w:szCs w:val="18"/>
          <w:lang w:val="nl-NL"/>
        </w:rPr>
        <w:t>Piri</w:t>
      </w:r>
      <w:proofErr w:type="spellEnd"/>
      <w:r w:rsidRPr="00B105E1" w:rsidR="00CB4B14">
        <w:rPr>
          <w:rFonts w:ascii="Verdana" w:hAnsi="Verdana"/>
          <w:sz w:val="18"/>
          <w:szCs w:val="18"/>
          <w:lang w:val="nl-NL"/>
        </w:rPr>
        <w:t>/</w:t>
      </w:r>
      <w:proofErr w:type="spellStart"/>
      <w:r w:rsidRPr="00B105E1" w:rsidR="00CB4B14">
        <w:rPr>
          <w:rFonts w:ascii="Verdana" w:hAnsi="Verdana"/>
          <w:sz w:val="18"/>
          <w:szCs w:val="18"/>
          <w:lang w:val="nl-NL"/>
        </w:rPr>
        <w:t>Paternotte</w:t>
      </w:r>
      <w:proofErr w:type="spellEnd"/>
      <w:r w:rsidRPr="00B105E1" w:rsidR="00CB4B14">
        <w:rPr>
          <w:rFonts w:ascii="Verdana" w:hAnsi="Verdana"/>
          <w:sz w:val="18"/>
          <w:szCs w:val="18"/>
          <w:lang w:val="nl-NL"/>
        </w:rPr>
        <w:t xml:space="preserve"> is in de Strategische Agenda de bescherming en bevordering van de democratie en rechtsstaat in </w:t>
      </w:r>
      <w:r w:rsidRPr="00B105E1" w:rsidR="00B105E1">
        <w:rPr>
          <w:rFonts w:ascii="Verdana" w:hAnsi="Verdana"/>
          <w:sz w:val="18"/>
          <w:szCs w:val="18"/>
          <w:lang w:val="nl-NL"/>
        </w:rPr>
        <w:t>de EU</w:t>
      </w:r>
      <w:r w:rsidRPr="00B105E1" w:rsidR="00CB4B14">
        <w:rPr>
          <w:rFonts w:ascii="Verdana" w:hAnsi="Verdana"/>
          <w:sz w:val="18"/>
          <w:szCs w:val="18"/>
          <w:lang w:val="nl-NL"/>
        </w:rPr>
        <w:t xml:space="preserve"> als eerste prioriteit benoemd.</w:t>
      </w:r>
      <w:r w:rsidRPr="00B105E1" w:rsidR="000B0A07">
        <w:rPr>
          <w:rStyle w:val="FootnoteReference"/>
          <w:rFonts w:ascii="Verdana" w:hAnsi="Verdana"/>
          <w:sz w:val="18"/>
          <w:szCs w:val="18"/>
          <w:lang w:val="nl-NL"/>
        </w:rPr>
        <w:footnoteReference w:id="14"/>
      </w:r>
      <w:r w:rsidRPr="00B105E1" w:rsidR="00CB4B14">
        <w:rPr>
          <w:rFonts w:ascii="Verdana" w:hAnsi="Verdana"/>
          <w:sz w:val="18"/>
          <w:szCs w:val="18"/>
          <w:lang w:val="nl-NL"/>
        </w:rPr>
        <w:t xml:space="preserve"> De voor Nederland prioritaire punten zijn in de Strategische Agenda goed gereflecteerd.</w:t>
      </w:r>
      <w:r w:rsidRPr="00B105E1" w:rsidR="000B0A07">
        <w:rPr>
          <w:rStyle w:val="FootnoteReference"/>
          <w:rFonts w:ascii="Verdana" w:hAnsi="Verdana"/>
          <w:sz w:val="18"/>
          <w:szCs w:val="18"/>
          <w:lang w:val="nl-NL"/>
        </w:rPr>
        <w:footnoteReference w:id="15"/>
      </w:r>
      <w:r w:rsidRPr="008D101B" w:rsidR="00CB4B14">
        <w:rPr>
          <w:rFonts w:ascii="Verdana" w:hAnsi="Verdana"/>
          <w:sz w:val="18"/>
          <w:szCs w:val="18"/>
          <w:lang w:val="nl-NL"/>
        </w:rPr>
        <w:t xml:space="preserve"> </w:t>
      </w:r>
    </w:p>
    <w:p w:rsidRPr="008D101B" w:rsidR="00CB4B14" w:rsidP="00CB4B14" w:rsidRDefault="00CB4B14" w14:paraId="4DD55FBB" w14:textId="77777777">
      <w:pPr>
        <w:spacing w:line="240" w:lineRule="auto"/>
        <w:rPr>
          <w:rFonts w:ascii="Verdana" w:hAnsi="Verdana"/>
          <w:sz w:val="18"/>
          <w:szCs w:val="18"/>
          <w:lang w:val="nl-NL"/>
        </w:rPr>
      </w:pPr>
      <w:r w:rsidRPr="002472F2">
        <w:rPr>
          <w:rFonts w:ascii="Verdana" w:hAnsi="Verdana"/>
          <w:sz w:val="18"/>
          <w:szCs w:val="18"/>
          <w:lang w:val="nl-NL"/>
        </w:rPr>
        <w:t xml:space="preserve">Ook stemde de ER in met de routekaart voor verder werk aan het voorbereiden van de EU van de toekomst. De EU zal ook in de toekomst in staat moeten zijn over het handelingsvermogen te beschikken om de eigen ambities waar te maken in een nieuwe geopolitieke context en uitdagingen die steeds complexer zijn. Dit werk vindt parallel aan het uitbreidingsproces plaats. Vier werkstromen zullen in gang worden gezet: 1. Waarden en rechtsstaat, 2. Beleid, waaronder concurrentievermogen, welvaart en de geopolitieke rol van de EU, 3. Begroting, in het licht van de volgende onderhandelingen over een Meerjarig Financieel Kader, 4. Bestuur. In juni 2025 zal de ER gevraagd worden om een </w:t>
      </w:r>
      <w:r w:rsidRPr="002472F2">
        <w:rPr>
          <w:rFonts w:ascii="Verdana" w:hAnsi="Verdana"/>
          <w:i/>
          <w:iCs/>
          <w:sz w:val="18"/>
          <w:szCs w:val="18"/>
          <w:lang w:val="nl-NL"/>
        </w:rPr>
        <w:t>follow-up</w:t>
      </w:r>
      <w:r w:rsidRPr="002472F2">
        <w:rPr>
          <w:rFonts w:ascii="Verdana" w:hAnsi="Verdana"/>
          <w:sz w:val="18"/>
          <w:szCs w:val="18"/>
          <w:lang w:val="nl-NL"/>
        </w:rPr>
        <w:t xml:space="preserve"> verslag waarin deze vier gebieden aan bod komen op basis van een verwacht voortgangsrapport van het voorzitterschap en aangekondigde beleidsevaluaties van de Commissie.</w:t>
      </w:r>
    </w:p>
    <w:p w:rsidRPr="00844219" w:rsidR="002C30F7" w:rsidP="00CB4B14" w:rsidRDefault="00CB4B14" w14:paraId="6680DFB9" w14:textId="4FA9CE45">
      <w:pPr>
        <w:spacing w:line="240" w:lineRule="auto"/>
        <w:rPr>
          <w:rFonts w:ascii="Verdana" w:hAnsi="Verdana"/>
          <w:sz w:val="18"/>
          <w:szCs w:val="18"/>
          <w:lang w:val="nl-NL"/>
        </w:rPr>
      </w:pPr>
      <w:r w:rsidRPr="008D101B">
        <w:rPr>
          <w:rFonts w:ascii="Verdana" w:hAnsi="Verdana"/>
          <w:sz w:val="18"/>
          <w:szCs w:val="18"/>
          <w:lang w:val="nl-NL"/>
        </w:rPr>
        <w:t xml:space="preserve">Ten aanzien van benoemingen is afgesproken dat de huidige Commissievoorzitter, Ursula </w:t>
      </w:r>
      <w:proofErr w:type="spellStart"/>
      <w:r w:rsidR="00083080">
        <w:rPr>
          <w:rFonts w:ascii="Verdana" w:hAnsi="Verdana"/>
          <w:sz w:val="18"/>
          <w:szCs w:val="18"/>
          <w:lang w:val="nl-NL"/>
        </w:rPr>
        <w:t>v</w:t>
      </w:r>
      <w:r w:rsidRPr="008D101B">
        <w:rPr>
          <w:rFonts w:ascii="Verdana" w:hAnsi="Verdana"/>
          <w:sz w:val="18"/>
          <w:szCs w:val="18"/>
          <w:lang w:val="nl-NL"/>
        </w:rPr>
        <w:t>on</w:t>
      </w:r>
      <w:proofErr w:type="spellEnd"/>
      <w:r w:rsidRPr="008D101B">
        <w:rPr>
          <w:rFonts w:ascii="Verdana" w:hAnsi="Verdana"/>
          <w:sz w:val="18"/>
          <w:szCs w:val="18"/>
          <w:lang w:val="nl-NL"/>
        </w:rPr>
        <w:t xml:space="preserve"> </w:t>
      </w:r>
      <w:r w:rsidR="00083080">
        <w:rPr>
          <w:rFonts w:ascii="Verdana" w:hAnsi="Verdana"/>
          <w:sz w:val="18"/>
          <w:szCs w:val="18"/>
          <w:lang w:val="nl-NL"/>
        </w:rPr>
        <w:t>d</w:t>
      </w:r>
      <w:r w:rsidRPr="008D101B">
        <w:rPr>
          <w:rFonts w:ascii="Verdana" w:hAnsi="Verdana"/>
          <w:sz w:val="18"/>
          <w:szCs w:val="18"/>
          <w:lang w:val="nl-NL"/>
        </w:rPr>
        <w:t xml:space="preserve">er Leyen, wordt voorgedragen voor een tweede termijn. Voormalig Portugees premier António Costa werd verkozen als voorzitter van de ER voor een periode van </w:t>
      </w:r>
      <w:r w:rsidR="000B0A07">
        <w:rPr>
          <w:rFonts w:ascii="Verdana" w:hAnsi="Verdana"/>
          <w:sz w:val="18"/>
          <w:szCs w:val="18"/>
          <w:lang w:val="nl-NL"/>
        </w:rPr>
        <w:t>tweeënhalf</w:t>
      </w:r>
      <w:r w:rsidRPr="008D101B">
        <w:rPr>
          <w:rFonts w:ascii="Verdana" w:hAnsi="Verdana"/>
          <w:sz w:val="18"/>
          <w:szCs w:val="18"/>
          <w:lang w:val="nl-NL"/>
        </w:rPr>
        <w:t xml:space="preserve"> jaar. De Estse premier </w:t>
      </w:r>
      <w:proofErr w:type="spellStart"/>
      <w:r w:rsidRPr="008D101B">
        <w:rPr>
          <w:rFonts w:ascii="Verdana" w:hAnsi="Verdana"/>
          <w:sz w:val="18"/>
          <w:szCs w:val="18"/>
          <w:lang w:val="nl-NL"/>
        </w:rPr>
        <w:t>Kaja</w:t>
      </w:r>
      <w:proofErr w:type="spellEnd"/>
      <w:r w:rsidRPr="008D101B">
        <w:rPr>
          <w:rFonts w:ascii="Verdana" w:hAnsi="Verdana"/>
          <w:sz w:val="18"/>
          <w:szCs w:val="18"/>
          <w:lang w:val="nl-NL"/>
        </w:rPr>
        <w:t xml:space="preserve"> </w:t>
      </w:r>
      <w:proofErr w:type="spellStart"/>
      <w:r w:rsidRPr="008D101B">
        <w:rPr>
          <w:rFonts w:ascii="Verdana" w:hAnsi="Verdana"/>
          <w:sz w:val="18"/>
          <w:szCs w:val="18"/>
          <w:lang w:val="nl-NL"/>
        </w:rPr>
        <w:t>Kallas</w:t>
      </w:r>
      <w:proofErr w:type="spellEnd"/>
      <w:r w:rsidRPr="008D101B">
        <w:rPr>
          <w:rFonts w:ascii="Verdana" w:hAnsi="Verdana"/>
          <w:sz w:val="18"/>
          <w:szCs w:val="18"/>
          <w:lang w:val="nl-NL"/>
        </w:rPr>
        <w:t xml:space="preserve"> wordt </w:t>
      </w:r>
      <w:r w:rsidR="00462DFE">
        <w:rPr>
          <w:rFonts w:ascii="Verdana" w:hAnsi="Verdana"/>
          <w:sz w:val="18"/>
          <w:szCs w:val="18"/>
          <w:lang w:val="nl-NL"/>
        </w:rPr>
        <w:t>beschouwd als de meest geschikte kandidaat voor de functie van</w:t>
      </w:r>
      <w:r w:rsidRPr="008D101B">
        <w:rPr>
          <w:rFonts w:ascii="Verdana" w:hAnsi="Verdana"/>
          <w:sz w:val="18"/>
          <w:szCs w:val="18"/>
          <w:lang w:val="nl-NL"/>
        </w:rPr>
        <w:t xml:space="preserve"> Hoge Vertegenwoordiger voor het gemeenschappelijk Buitenland en Veiligheidsbeleid. </w:t>
      </w:r>
      <w:bookmarkStart w:name="_Hlk170744443" w:id="3"/>
    </w:p>
    <w:p w:rsidRPr="00A051F9" w:rsidR="00CB4B14" w:rsidP="00CB4B14" w:rsidRDefault="00CB4B14" w14:paraId="0E5ADC85" w14:textId="2FD70252">
      <w:pPr>
        <w:spacing w:line="240" w:lineRule="auto"/>
        <w:rPr>
          <w:rFonts w:ascii="Verdana" w:hAnsi="Verdana"/>
          <w:i/>
          <w:iCs/>
          <w:sz w:val="18"/>
          <w:szCs w:val="18"/>
          <w:lang w:val="nl-NL"/>
        </w:rPr>
      </w:pPr>
      <w:r w:rsidRPr="00A051F9">
        <w:rPr>
          <w:rFonts w:ascii="Verdana" w:hAnsi="Verdana"/>
          <w:i/>
          <w:iCs/>
          <w:sz w:val="18"/>
          <w:szCs w:val="18"/>
          <w:lang w:val="nl-NL"/>
        </w:rPr>
        <w:t>Toezegging over het effect van de door de Europese Commissie ingestelde instrumenten richting Hongarije</w:t>
      </w:r>
      <w:r w:rsidRPr="00A051F9">
        <w:rPr>
          <w:rStyle w:val="FootnoteReference"/>
          <w:rFonts w:ascii="Verdana" w:hAnsi="Verdana"/>
          <w:i/>
          <w:iCs/>
          <w:sz w:val="18"/>
          <w:szCs w:val="18"/>
          <w:lang w:val="nl-NL"/>
        </w:rPr>
        <w:footnoteReference w:id="16"/>
      </w:r>
    </w:p>
    <w:p w:rsidRPr="008D101B" w:rsidR="00CB4B14" w:rsidP="00CB4B14" w:rsidRDefault="00CB4B14" w14:paraId="4ECA907D" w14:textId="385000F0">
      <w:pPr>
        <w:spacing w:line="240" w:lineRule="auto"/>
        <w:rPr>
          <w:rFonts w:ascii="Verdana" w:hAnsi="Verdana"/>
          <w:sz w:val="18"/>
          <w:szCs w:val="18"/>
          <w:lang w:val="nl-NL"/>
        </w:rPr>
      </w:pPr>
      <w:r w:rsidRPr="00A051F9">
        <w:rPr>
          <w:rFonts w:ascii="Verdana" w:hAnsi="Verdana"/>
          <w:sz w:val="18"/>
          <w:szCs w:val="18"/>
          <w:lang w:val="nl-NL"/>
        </w:rPr>
        <w:t xml:space="preserve">In het plenair debat van 25 juni jl. is toegezegd om een verwijzing op te nemen naar documentatie waaruit blijkt dat Hongarije binnen het kader van de inzet van de Gemeenschappelijke Bepalingen Verordening (Common </w:t>
      </w:r>
      <w:proofErr w:type="spellStart"/>
      <w:r w:rsidRPr="00A051F9">
        <w:rPr>
          <w:rFonts w:ascii="Verdana" w:hAnsi="Verdana"/>
          <w:sz w:val="18"/>
          <w:szCs w:val="18"/>
          <w:lang w:val="nl-NL"/>
        </w:rPr>
        <w:t>Provisions</w:t>
      </w:r>
      <w:proofErr w:type="spellEnd"/>
      <w:r w:rsidRPr="00A051F9">
        <w:rPr>
          <w:rFonts w:ascii="Verdana" w:hAnsi="Verdana"/>
          <w:sz w:val="18"/>
          <w:szCs w:val="18"/>
          <w:lang w:val="nl-NL"/>
        </w:rPr>
        <w:t xml:space="preserve"> </w:t>
      </w:r>
      <w:proofErr w:type="spellStart"/>
      <w:r w:rsidRPr="00A051F9">
        <w:rPr>
          <w:rFonts w:ascii="Verdana" w:hAnsi="Verdana"/>
          <w:sz w:val="18"/>
          <w:szCs w:val="18"/>
          <w:lang w:val="nl-NL"/>
        </w:rPr>
        <w:t>Regulation</w:t>
      </w:r>
      <w:proofErr w:type="spellEnd"/>
      <w:r w:rsidRPr="00A051F9">
        <w:rPr>
          <w:rFonts w:ascii="Verdana" w:hAnsi="Verdana"/>
          <w:sz w:val="18"/>
          <w:szCs w:val="18"/>
          <w:lang w:val="nl-NL"/>
        </w:rPr>
        <w:t>, hierna: CPR)</w:t>
      </w:r>
      <w:r w:rsidRPr="00A051F9">
        <w:rPr>
          <w:rFonts w:ascii="Verdana" w:hAnsi="Verdana"/>
          <w:i/>
          <w:iCs/>
          <w:sz w:val="18"/>
          <w:szCs w:val="18"/>
          <w:lang w:val="nl-NL"/>
        </w:rPr>
        <w:t xml:space="preserve"> </w:t>
      </w:r>
      <w:r w:rsidRPr="00A051F9">
        <w:rPr>
          <w:rFonts w:ascii="Verdana" w:hAnsi="Verdana"/>
          <w:sz w:val="18"/>
          <w:szCs w:val="18"/>
          <w:lang w:val="nl-NL"/>
        </w:rPr>
        <w:t>voortgang heeft geboekt op het terrein van rechterlijke onafhankelijkheid. Voor een toelichting bij de inzet van de CPR tegen Hongarije wordt verwezen naar de Kamerbrief van 13 juni 2023.</w:t>
      </w:r>
      <w:r w:rsidRPr="00A051F9" w:rsidR="000B0A07">
        <w:rPr>
          <w:rStyle w:val="FootnoteReference"/>
          <w:rFonts w:ascii="Verdana" w:hAnsi="Verdana"/>
          <w:sz w:val="18"/>
          <w:szCs w:val="18"/>
        </w:rPr>
        <w:footnoteReference w:id="17"/>
      </w:r>
      <w:r w:rsidRPr="00A051F9">
        <w:rPr>
          <w:rFonts w:ascii="Verdana" w:hAnsi="Verdana"/>
          <w:sz w:val="18"/>
          <w:szCs w:val="18"/>
          <w:lang w:val="nl-NL"/>
        </w:rPr>
        <w:t xml:space="preserve"> Op 13 december jl. heeft de Commissie geoordeeld dat Hongarije voldoet aan de eisen op het terrein van rechterlijke onafhankelijkheid en daarmee gedeeltelijk aan de horizontale randvoorwaarde uit de CPR. Dit heeft onder meer te maken met het op 1 juni 2023 inwerking getreden wetgevingspakket gericht op het adresseren van de zorgen van de Commissie op dit terrein. Hiermee kan Hongarije aanspraak maken op circa 10,2 mld. euro van de opgeschorte 21,3 mld. euro aan EU-cohesiemiddelen.</w:t>
      </w:r>
      <w:r w:rsidRPr="00A051F9" w:rsidR="000B0A07">
        <w:rPr>
          <w:rStyle w:val="FootnoteReference"/>
          <w:rFonts w:ascii="Verdana" w:hAnsi="Verdana"/>
          <w:sz w:val="18"/>
          <w:szCs w:val="18"/>
          <w:lang w:val="nl-NL"/>
        </w:rPr>
        <w:footnoteReference w:id="18"/>
      </w:r>
      <w:r w:rsidRPr="00A051F9">
        <w:rPr>
          <w:rFonts w:ascii="Verdana" w:hAnsi="Verdana"/>
          <w:sz w:val="18"/>
          <w:szCs w:val="18"/>
          <w:lang w:val="nl-NL"/>
        </w:rPr>
        <w:t xml:space="preserve"> Naar aanleiding van het verzoek van het Europees Parlement van 11 januari jl. </w:t>
      </w:r>
      <w:r w:rsidR="00462DFE">
        <w:rPr>
          <w:rFonts w:ascii="Verdana" w:hAnsi="Verdana"/>
          <w:sz w:val="18"/>
          <w:szCs w:val="18"/>
          <w:lang w:val="nl-NL"/>
        </w:rPr>
        <w:t>over</w:t>
      </w:r>
      <w:r w:rsidR="000B0A07">
        <w:rPr>
          <w:rFonts w:ascii="Verdana" w:hAnsi="Verdana"/>
          <w:sz w:val="18"/>
          <w:szCs w:val="18"/>
          <w:lang w:val="nl-NL"/>
        </w:rPr>
        <w:t xml:space="preserve"> </w:t>
      </w:r>
      <w:r w:rsidRPr="00A051F9">
        <w:rPr>
          <w:rFonts w:ascii="Verdana" w:hAnsi="Verdana"/>
          <w:sz w:val="18"/>
          <w:szCs w:val="18"/>
          <w:lang w:val="nl-NL"/>
        </w:rPr>
        <w:t>het bovengenoemde Commissiebesluit van 13 december 2023, heeft de Commissie het besluit alsook een annex met een verdere toelichting bij de beoordeling gedeeld met het Europees Parlement. Dit document is niet openbaar. Wel is er op 13 december 2023 een perscommuniqué uitgegaan.</w:t>
      </w:r>
      <w:r w:rsidRPr="00A051F9" w:rsidR="000B0A07">
        <w:rPr>
          <w:rStyle w:val="FootnoteReference"/>
          <w:rFonts w:ascii="Verdana" w:hAnsi="Verdana"/>
          <w:sz w:val="18"/>
          <w:szCs w:val="18"/>
          <w:lang w:val="nl-NL"/>
        </w:rPr>
        <w:footnoteReference w:id="19"/>
      </w:r>
      <w:r w:rsidRPr="008D101B">
        <w:rPr>
          <w:rFonts w:ascii="Verdana" w:hAnsi="Verdana"/>
          <w:sz w:val="18"/>
          <w:szCs w:val="18"/>
          <w:lang w:val="nl-NL"/>
        </w:rPr>
        <w:t xml:space="preserve"> </w:t>
      </w:r>
    </w:p>
    <w:bookmarkEnd w:id="3"/>
    <w:p w:rsidRPr="008D101B" w:rsidR="00CB4B14" w:rsidP="00CB4B14" w:rsidRDefault="00CB4B14" w14:paraId="4C15F1C3" w14:textId="77777777">
      <w:pPr>
        <w:spacing w:line="240" w:lineRule="auto"/>
        <w:rPr>
          <w:rFonts w:ascii="Verdana" w:hAnsi="Verdana"/>
          <w:sz w:val="18"/>
          <w:szCs w:val="18"/>
          <w:lang w:val="nl-NL"/>
        </w:rPr>
      </w:pPr>
    </w:p>
    <w:p w:rsidRPr="00CB4B14" w:rsidR="00ED1851" w:rsidP="00CB4B14" w:rsidRDefault="00ED1851" w14:paraId="5DD4F7ED" w14:textId="77777777">
      <w:pPr>
        <w:rPr>
          <w:lang w:val="nl-NL"/>
        </w:rPr>
      </w:pPr>
    </w:p>
    <w:sectPr w:rsidRPr="00CB4B14" w:rsidR="00ED1851">
      <w:footerReference w:type="default" r:id="rId12"/>
      <w:pgSz w:w="12240" w:h="15840"/>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0E277" w14:textId="77777777" w:rsidR="00D65082" w:rsidRDefault="00D65082" w:rsidP="00D65082">
      <w:pPr>
        <w:spacing w:after="0" w:line="240" w:lineRule="auto"/>
      </w:pPr>
      <w:r>
        <w:separator/>
      </w:r>
    </w:p>
  </w:endnote>
  <w:endnote w:type="continuationSeparator" w:id="0">
    <w:p w14:paraId="37B9D6EC" w14:textId="77777777" w:rsidR="00D65082" w:rsidRDefault="00D65082" w:rsidP="00D65082">
      <w:pPr>
        <w:spacing w:after="0" w:line="240" w:lineRule="auto"/>
      </w:pPr>
      <w:r>
        <w:continuationSeparator/>
      </w:r>
    </w:p>
  </w:endnote>
  <w:endnote w:type="continuationNotice" w:id="1">
    <w:p w14:paraId="3E200375" w14:textId="77777777" w:rsidR="002720B5" w:rsidRDefault="002720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2832095"/>
      <w:docPartObj>
        <w:docPartGallery w:val="Page Numbers (Bottom of Page)"/>
        <w:docPartUnique/>
      </w:docPartObj>
    </w:sdtPr>
    <w:sdtEndPr/>
    <w:sdtContent>
      <w:p w14:paraId="1554D27B" w14:textId="4C385C37" w:rsidR="000F7E9A" w:rsidRDefault="000F7E9A">
        <w:pPr>
          <w:pStyle w:val="Footer"/>
          <w:jc w:val="center"/>
        </w:pPr>
        <w:r>
          <w:fldChar w:fldCharType="begin"/>
        </w:r>
        <w:r>
          <w:instrText>PAGE   \* MERGEFORMAT</w:instrText>
        </w:r>
        <w:r>
          <w:fldChar w:fldCharType="separate"/>
        </w:r>
        <w:r>
          <w:rPr>
            <w:lang w:val="nl-NL"/>
          </w:rPr>
          <w:t>2</w:t>
        </w:r>
        <w:r>
          <w:fldChar w:fldCharType="end"/>
        </w:r>
      </w:p>
    </w:sdtContent>
  </w:sdt>
  <w:p w14:paraId="3E941FD0" w14:textId="77777777" w:rsidR="000F7E9A" w:rsidRDefault="000F7E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5A5ED" w14:textId="77777777" w:rsidR="00D65082" w:rsidRDefault="00D65082" w:rsidP="00D65082">
      <w:pPr>
        <w:spacing w:after="0" w:line="240" w:lineRule="auto"/>
      </w:pPr>
      <w:r>
        <w:separator/>
      </w:r>
    </w:p>
  </w:footnote>
  <w:footnote w:type="continuationSeparator" w:id="0">
    <w:p w14:paraId="1D6D4F8B" w14:textId="77777777" w:rsidR="00D65082" w:rsidRDefault="00D65082" w:rsidP="00D65082">
      <w:pPr>
        <w:spacing w:after="0" w:line="240" w:lineRule="auto"/>
      </w:pPr>
      <w:r>
        <w:continuationSeparator/>
      </w:r>
    </w:p>
  </w:footnote>
  <w:footnote w:type="continuationNotice" w:id="1">
    <w:p w14:paraId="346FBC01" w14:textId="77777777" w:rsidR="002720B5" w:rsidRDefault="002720B5">
      <w:pPr>
        <w:spacing w:after="0" w:line="240" w:lineRule="auto"/>
      </w:pPr>
    </w:p>
  </w:footnote>
  <w:footnote w:id="2">
    <w:p w14:paraId="3E751414" w14:textId="71131043" w:rsidR="00BC67A7" w:rsidRPr="000460B5" w:rsidRDefault="00BC67A7" w:rsidP="00BC67A7">
      <w:pPr>
        <w:pStyle w:val="FootnoteText"/>
        <w:rPr>
          <w:rFonts w:ascii="Verdana" w:hAnsi="Verdana"/>
          <w:sz w:val="14"/>
          <w:szCs w:val="14"/>
          <w:lang w:val="nl-NL"/>
        </w:rPr>
      </w:pPr>
      <w:r w:rsidRPr="000460B5">
        <w:rPr>
          <w:rStyle w:val="FootnoteReference"/>
          <w:rFonts w:ascii="Verdana" w:hAnsi="Verdana"/>
          <w:sz w:val="14"/>
          <w:szCs w:val="14"/>
        </w:rPr>
        <w:footnoteRef/>
      </w:r>
      <w:r w:rsidRPr="000460B5">
        <w:rPr>
          <w:rFonts w:ascii="Verdana" w:hAnsi="Verdana"/>
          <w:sz w:val="14"/>
          <w:szCs w:val="14"/>
          <w:lang w:val="nl-NL"/>
        </w:rPr>
        <w:t xml:space="preserve"> Kamerstuk TZ202406-069</w:t>
      </w:r>
      <w:r w:rsidR="002F3BF0">
        <w:rPr>
          <w:rFonts w:ascii="Verdana" w:hAnsi="Verdana"/>
          <w:sz w:val="14"/>
          <w:szCs w:val="14"/>
          <w:lang w:val="nl-NL"/>
        </w:rPr>
        <w:t xml:space="preserve"> en </w:t>
      </w:r>
      <w:r w:rsidR="002F3BF0" w:rsidRPr="000460B5">
        <w:rPr>
          <w:rFonts w:ascii="Verdana" w:hAnsi="Verdana"/>
          <w:sz w:val="14"/>
          <w:szCs w:val="14"/>
          <w:lang w:val="nl-NL"/>
        </w:rPr>
        <w:t>Kamerstuk TZ202406-068</w:t>
      </w:r>
    </w:p>
  </w:footnote>
  <w:footnote w:id="3">
    <w:p w14:paraId="285DC230" w14:textId="0363C4E4" w:rsidR="00CB4B14" w:rsidRPr="000460B5" w:rsidRDefault="00CB4B14" w:rsidP="00CB4B14">
      <w:pPr>
        <w:pStyle w:val="FootnoteText"/>
        <w:rPr>
          <w:rFonts w:ascii="Verdana" w:hAnsi="Verdana"/>
          <w:sz w:val="14"/>
          <w:szCs w:val="14"/>
          <w:lang w:val="nl-NL"/>
        </w:rPr>
      </w:pPr>
      <w:r w:rsidRPr="000460B5">
        <w:rPr>
          <w:rStyle w:val="FootnoteReference"/>
          <w:rFonts w:ascii="Verdana" w:hAnsi="Verdana"/>
          <w:sz w:val="14"/>
          <w:szCs w:val="14"/>
        </w:rPr>
        <w:footnoteRef/>
      </w:r>
      <w:r w:rsidRPr="000460B5">
        <w:rPr>
          <w:rFonts w:ascii="Verdana" w:hAnsi="Verdana"/>
          <w:sz w:val="14"/>
          <w:szCs w:val="14"/>
          <w:lang w:val="nl-NL"/>
        </w:rPr>
        <w:t xml:space="preserve"> Motie 21 501-20 nr. 2099</w:t>
      </w:r>
    </w:p>
  </w:footnote>
  <w:footnote w:id="4">
    <w:p w14:paraId="2D88B12F" w14:textId="7ED0F859" w:rsidR="000B0A07" w:rsidRPr="000460B5" w:rsidRDefault="000B0A07" w:rsidP="000B0A07">
      <w:pPr>
        <w:pStyle w:val="FootnoteText"/>
        <w:rPr>
          <w:rFonts w:ascii="Verdana" w:hAnsi="Verdana"/>
          <w:sz w:val="14"/>
          <w:szCs w:val="14"/>
          <w:lang w:val="nl-NL"/>
        </w:rPr>
      </w:pPr>
      <w:r w:rsidRPr="000460B5">
        <w:rPr>
          <w:rStyle w:val="FootnoteReference"/>
          <w:rFonts w:ascii="Verdana" w:hAnsi="Verdana"/>
          <w:sz w:val="14"/>
          <w:szCs w:val="14"/>
        </w:rPr>
        <w:footnoteRef/>
      </w:r>
      <w:r w:rsidRPr="000460B5">
        <w:rPr>
          <w:rFonts w:ascii="Verdana" w:hAnsi="Verdana"/>
          <w:sz w:val="14"/>
          <w:szCs w:val="14"/>
          <w:lang w:val="nl-NL"/>
        </w:rPr>
        <w:t xml:space="preserve"> </w:t>
      </w:r>
      <w:hyperlink r:id="rId1" w:history="1">
        <w:r w:rsidRPr="000460B5">
          <w:rPr>
            <w:rStyle w:val="Hyperlink"/>
            <w:rFonts w:ascii="Verdana" w:hAnsi="Verdana"/>
            <w:sz w:val="14"/>
            <w:szCs w:val="14"/>
            <w:lang w:val="nl-NL"/>
          </w:rPr>
          <w:t>https://www.consilium.europa.eu/nl/press/press-releases/2024/06/27/joint-security-commitments-between-the-european-union-and-ukraine/</w:t>
        </w:r>
      </w:hyperlink>
    </w:p>
  </w:footnote>
  <w:footnote w:id="5">
    <w:p w14:paraId="3CD5FB25" w14:textId="754D72D4" w:rsidR="000B0A07" w:rsidRPr="000460B5" w:rsidRDefault="000B0A07" w:rsidP="000B0A07">
      <w:pPr>
        <w:pStyle w:val="FootnoteText"/>
        <w:rPr>
          <w:rFonts w:ascii="Verdana" w:hAnsi="Verdana"/>
          <w:sz w:val="14"/>
          <w:szCs w:val="14"/>
          <w:lang w:val="nl-NL"/>
        </w:rPr>
      </w:pPr>
      <w:r w:rsidRPr="000460B5">
        <w:rPr>
          <w:rStyle w:val="FootnoteReference"/>
          <w:rFonts w:ascii="Verdana" w:hAnsi="Verdana"/>
          <w:sz w:val="14"/>
          <w:szCs w:val="14"/>
        </w:rPr>
        <w:footnoteRef/>
      </w:r>
      <w:r w:rsidRPr="000460B5">
        <w:rPr>
          <w:rFonts w:ascii="Verdana" w:hAnsi="Verdana"/>
          <w:sz w:val="14"/>
          <w:szCs w:val="14"/>
          <w:lang w:val="nl-NL"/>
        </w:rPr>
        <w:t xml:space="preserve"> </w:t>
      </w:r>
      <w:hyperlink r:id="rId2" w:history="1">
        <w:r w:rsidRPr="000460B5">
          <w:rPr>
            <w:rStyle w:val="Hyperlink"/>
            <w:rFonts w:ascii="Verdana" w:hAnsi="Verdana"/>
            <w:sz w:val="14"/>
            <w:szCs w:val="14"/>
            <w:lang w:val="nl-NL"/>
          </w:rPr>
          <w:t xml:space="preserve">G7-top, </w:t>
        </w:r>
        <w:proofErr w:type="spellStart"/>
        <w:r w:rsidRPr="000460B5">
          <w:rPr>
            <w:rStyle w:val="Hyperlink"/>
            <w:rFonts w:ascii="Verdana" w:hAnsi="Verdana"/>
            <w:sz w:val="14"/>
            <w:szCs w:val="14"/>
            <w:lang w:val="nl-NL"/>
          </w:rPr>
          <w:t>Borgo</w:t>
        </w:r>
        <w:proofErr w:type="spellEnd"/>
        <w:r w:rsidRPr="000460B5">
          <w:rPr>
            <w:rStyle w:val="Hyperlink"/>
            <w:rFonts w:ascii="Verdana" w:hAnsi="Verdana"/>
            <w:sz w:val="14"/>
            <w:szCs w:val="14"/>
            <w:lang w:val="nl-NL"/>
          </w:rPr>
          <w:t xml:space="preserve"> </w:t>
        </w:r>
        <w:proofErr w:type="spellStart"/>
        <w:r w:rsidRPr="000460B5">
          <w:rPr>
            <w:rStyle w:val="Hyperlink"/>
            <w:rFonts w:ascii="Verdana" w:hAnsi="Verdana"/>
            <w:sz w:val="14"/>
            <w:szCs w:val="14"/>
            <w:lang w:val="nl-NL"/>
          </w:rPr>
          <w:t>Egnazia</w:t>
        </w:r>
        <w:proofErr w:type="spellEnd"/>
        <w:r w:rsidRPr="000460B5">
          <w:rPr>
            <w:rStyle w:val="Hyperlink"/>
            <w:rFonts w:ascii="Verdana" w:hAnsi="Verdana"/>
            <w:sz w:val="14"/>
            <w:szCs w:val="14"/>
            <w:lang w:val="nl-NL"/>
          </w:rPr>
          <w:t xml:space="preserve">, Apulië, Italië - </w:t>
        </w:r>
        <w:proofErr w:type="spellStart"/>
        <w:r w:rsidRPr="000460B5">
          <w:rPr>
            <w:rStyle w:val="Hyperlink"/>
            <w:rFonts w:ascii="Verdana" w:hAnsi="Verdana"/>
            <w:sz w:val="14"/>
            <w:szCs w:val="14"/>
            <w:lang w:val="nl-NL"/>
          </w:rPr>
          <w:t>Consilium</w:t>
        </w:r>
        <w:proofErr w:type="spellEnd"/>
        <w:r w:rsidRPr="000460B5">
          <w:rPr>
            <w:rStyle w:val="Hyperlink"/>
            <w:rFonts w:ascii="Verdana" w:hAnsi="Verdana"/>
            <w:sz w:val="14"/>
            <w:szCs w:val="14"/>
            <w:lang w:val="nl-NL"/>
          </w:rPr>
          <w:t xml:space="preserve"> (europa.eu)</w:t>
        </w:r>
      </w:hyperlink>
      <w:r w:rsidR="000460B5" w:rsidRPr="000460B5">
        <w:rPr>
          <w:rStyle w:val="Hyperlink"/>
          <w:rFonts w:ascii="Verdana" w:hAnsi="Verdana"/>
          <w:sz w:val="14"/>
          <w:szCs w:val="14"/>
          <w:lang w:val="nl-NL"/>
        </w:rPr>
        <w:t>.</w:t>
      </w:r>
    </w:p>
  </w:footnote>
  <w:footnote w:id="6">
    <w:p w14:paraId="2430F800" w14:textId="31D4617F" w:rsidR="000B0A07" w:rsidRPr="000460B5" w:rsidRDefault="000B0A07" w:rsidP="000B0A07">
      <w:pPr>
        <w:pStyle w:val="FootnoteText"/>
        <w:rPr>
          <w:rFonts w:ascii="Verdana" w:hAnsi="Verdana"/>
          <w:sz w:val="14"/>
          <w:szCs w:val="14"/>
        </w:rPr>
      </w:pPr>
      <w:r w:rsidRPr="000460B5">
        <w:rPr>
          <w:rStyle w:val="FootnoteReference"/>
          <w:rFonts w:ascii="Verdana" w:hAnsi="Verdana"/>
          <w:sz w:val="14"/>
          <w:szCs w:val="14"/>
        </w:rPr>
        <w:footnoteRef/>
      </w:r>
      <w:r w:rsidRPr="000460B5">
        <w:rPr>
          <w:rFonts w:ascii="Verdana" w:hAnsi="Verdana"/>
          <w:sz w:val="14"/>
          <w:szCs w:val="14"/>
        </w:rPr>
        <w:t xml:space="preserve"> </w:t>
      </w:r>
      <w:proofErr w:type="spellStart"/>
      <w:r w:rsidRPr="000460B5">
        <w:rPr>
          <w:rFonts w:ascii="Verdana" w:hAnsi="Verdana"/>
          <w:sz w:val="14"/>
          <w:szCs w:val="14"/>
        </w:rPr>
        <w:t>Kamerstuk</w:t>
      </w:r>
      <w:proofErr w:type="spellEnd"/>
      <w:r w:rsidRPr="000460B5">
        <w:rPr>
          <w:rFonts w:ascii="Verdana" w:hAnsi="Verdana"/>
          <w:sz w:val="14"/>
          <w:szCs w:val="14"/>
        </w:rPr>
        <w:t xml:space="preserve"> TZ202406-069</w:t>
      </w:r>
    </w:p>
  </w:footnote>
  <w:footnote w:id="7">
    <w:p w14:paraId="08D682BC" w14:textId="3BAD2605" w:rsidR="000B0A07" w:rsidRPr="000460B5" w:rsidRDefault="000B0A07" w:rsidP="000B0A07">
      <w:pPr>
        <w:pStyle w:val="FootnoteText"/>
        <w:rPr>
          <w:rFonts w:ascii="Verdana" w:hAnsi="Verdana"/>
          <w:sz w:val="14"/>
          <w:szCs w:val="14"/>
        </w:rPr>
      </w:pPr>
      <w:r w:rsidRPr="000460B5">
        <w:rPr>
          <w:rStyle w:val="FootnoteReference"/>
          <w:rFonts w:ascii="Verdana" w:hAnsi="Verdana"/>
          <w:sz w:val="14"/>
          <w:szCs w:val="14"/>
        </w:rPr>
        <w:footnoteRef/>
      </w:r>
      <w:r w:rsidRPr="000460B5">
        <w:rPr>
          <w:rFonts w:ascii="Verdana" w:hAnsi="Verdana"/>
          <w:sz w:val="14"/>
          <w:szCs w:val="14"/>
        </w:rPr>
        <w:t xml:space="preserve"> </w:t>
      </w:r>
      <w:proofErr w:type="spellStart"/>
      <w:r w:rsidRPr="000460B5">
        <w:rPr>
          <w:rFonts w:ascii="Verdana" w:hAnsi="Verdana"/>
          <w:sz w:val="14"/>
          <w:szCs w:val="14"/>
        </w:rPr>
        <w:t>Kamerstuk</w:t>
      </w:r>
      <w:proofErr w:type="spellEnd"/>
      <w:r w:rsidRPr="000460B5">
        <w:rPr>
          <w:rFonts w:ascii="Verdana" w:hAnsi="Verdana"/>
          <w:sz w:val="14"/>
          <w:szCs w:val="14"/>
        </w:rPr>
        <w:t xml:space="preserve"> 36</w:t>
      </w:r>
      <w:r w:rsidR="00F40E48">
        <w:rPr>
          <w:rFonts w:ascii="Verdana" w:hAnsi="Verdana"/>
          <w:sz w:val="14"/>
          <w:szCs w:val="14"/>
        </w:rPr>
        <w:t xml:space="preserve">v </w:t>
      </w:r>
      <w:r w:rsidRPr="000460B5">
        <w:rPr>
          <w:rFonts w:ascii="Verdana" w:hAnsi="Verdana"/>
          <w:sz w:val="14"/>
          <w:szCs w:val="14"/>
        </w:rPr>
        <w:t>045</w:t>
      </w:r>
      <w:r w:rsidR="00F40E48">
        <w:rPr>
          <w:rFonts w:ascii="Verdana" w:hAnsi="Verdana"/>
          <w:sz w:val="14"/>
          <w:szCs w:val="14"/>
        </w:rPr>
        <w:t xml:space="preserve"> nr. </w:t>
      </w:r>
      <w:r w:rsidRPr="000460B5">
        <w:rPr>
          <w:rFonts w:ascii="Verdana" w:hAnsi="Verdana"/>
          <w:sz w:val="14"/>
          <w:szCs w:val="14"/>
        </w:rPr>
        <w:t>183</w:t>
      </w:r>
    </w:p>
  </w:footnote>
  <w:footnote w:id="8">
    <w:p w14:paraId="6F1E11AD" w14:textId="77777777" w:rsidR="000B0A07" w:rsidRPr="000460B5" w:rsidRDefault="000B0A07" w:rsidP="000B0A07">
      <w:pPr>
        <w:pStyle w:val="FootnoteText"/>
        <w:rPr>
          <w:rFonts w:ascii="Verdana" w:hAnsi="Verdana"/>
          <w:sz w:val="14"/>
          <w:szCs w:val="14"/>
        </w:rPr>
      </w:pPr>
      <w:r w:rsidRPr="000460B5">
        <w:rPr>
          <w:rStyle w:val="FootnoteReference"/>
          <w:rFonts w:ascii="Verdana" w:hAnsi="Verdana"/>
          <w:sz w:val="14"/>
          <w:szCs w:val="14"/>
        </w:rPr>
        <w:footnoteRef/>
      </w:r>
      <w:r w:rsidRPr="000460B5">
        <w:rPr>
          <w:rFonts w:ascii="Verdana" w:hAnsi="Verdana"/>
          <w:sz w:val="14"/>
          <w:szCs w:val="14"/>
        </w:rPr>
        <w:t xml:space="preserve"> </w:t>
      </w:r>
      <w:hyperlink r:id="rId3" w:history="1">
        <w:r w:rsidRPr="000460B5">
          <w:rPr>
            <w:rStyle w:val="Hyperlink"/>
            <w:rFonts w:ascii="Verdana" w:hAnsi="Verdana"/>
            <w:sz w:val="14"/>
            <w:szCs w:val="14"/>
          </w:rPr>
          <w:t xml:space="preserve">Adopting Resolution 2735 (2024) with 14 Votes in </w:t>
        </w:r>
        <w:proofErr w:type="spellStart"/>
        <w:r w:rsidRPr="000460B5">
          <w:rPr>
            <w:rStyle w:val="Hyperlink"/>
            <w:rFonts w:ascii="Verdana" w:hAnsi="Verdana"/>
            <w:sz w:val="14"/>
            <w:szCs w:val="14"/>
          </w:rPr>
          <w:t>Favour</w:t>
        </w:r>
        <w:proofErr w:type="spellEnd"/>
        <w:r w:rsidRPr="000460B5">
          <w:rPr>
            <w:rStyle w:val="Hyperlink"/>
            <w:rFonts w:ascii="Verdana" w:hAnsi="Verdana"/>
            <w:sz w:val="14"/>
            <w:szCs w:val="14"/>
          </w:rPr>
          <w:t>, Russian Federation Abstaining, Security Council Welcomes New Gaza Ceasefire Proposal, Urges Full Implementation | Meetings Coverage and Press Releases</w:t>
        </w:r>
      </w:hyperlink>
      <w:r w:rsidRPr="000460B5">
        <w:rPr>
          <w:rStyle w:val="Hyperlink"/>
          <w:rFonts w:ascii="Verdana" w:hAnsi="Verdana"/>
          <w:sz w:val="14"/>
          <w:szCs w:val="14"/>
        </w:rPr>
        <w:t>.</w:t>
      </w:r>
    </w:p>
  </w:footnote>
  <w:footnote w:id="9">
    <w:p w14:paraId="1C7A401C" w14:textId="7C986255" w:rsidR="00CB4B14" w:rsidRPr="000460B5" w:rsidRDefault="00CB4B14" w:rsidP="00CB4B14">
      <w:pPr>
        <w:pStyle w:val="FootnoteText"/>
        <w:rPr>
          <w:rFonts w:ascii="Verdana" w:hAnsi="Verdana"/>
          <w:sz w:val="14"/>
          <w:szCs w:val="14"/>
        </w:rPr>
      </w:pPr>
      <w:r w:rsidRPr="000460B5">
        <w:rPr>
          <w:rStyle w:val="FootnoteReference"/>
          <w:rFonts w:ascii="Verdana" w:hAnsi="Verdana"/>
          <w:sz w:val="14"/>
          <w:szCs w:val="14"/>
        </w:rPr>
        <w:footnoteRef/>
      </w:r>
      <w:r w:rsidRPr="000460B5">
        <w:rPr>
          <w:rFonts w:ascii="Verdana" w:hAnsi="Verdana"/>
          <w:sz w:val="14"/>
          <w:szCs w:val="14"/>
        </w:rPr>
        <w:t xml:space="preserve"> </w:t>
      </w:r>
      <w:proofErr w:type="spellStart"/>
      <w:r w:rsidRPr="000460B5">
        <w:rPr>
          <w:rFonts w:ascii="Verdana" w:hAnsi="Verdana"/>
          <w:sz w:val="14"/>
          <w:szCs w:val="14"/>
        </w:rPr>
        <w:t>Kamerstuk</w:t>
      </w:r>
      <w:proofErr w:type="spellEnd"/>
      <w:r w:rsidRPr="000460B5">
        <w:rPr>
          <w:rFonts w:ascii="Verdana" w:hAnsi="Verdana"/>
          <w:sz w:val="14"/>
          <w:szCs w:val="14"/>
        </w:rPr>
        <w:t xml:space="preserve"> 21 501-20 nr. 2102</w:t>
      </w:r>
    </w:p>
  </w:footnote>
  <w:footnote w:id="10">
    <w:p w14:paraId="7672809C" w14:textId="3FE1626E" w:rsidR="00970849" w:rsidRPr="000460B5" w:rsidRDefault="00970849">
      <w:pPr>
        <w:pStyle w:val="FootnoteText"/>
        <w:rPr>
          <w:rFonts w:ascii="Verdana" w:hAnsi="Verdana"/>
          <w:sz w:val="14"/>
          <w:szCs w:val="14"/>
        </w:rPr>
      </w:pPr>
      <w:r w:rsidRPr="000460B5">
        <w:rPr>
          <w:rStyle w:val="FootnoteReference"/>
          <w:rFonts w:ascii="Verdana" w:hAnsi="Verdana"/>
          <w:sz w:val="14"/>
          <w:szCs w:val="14"/>
        </w:rPr>
        <w:footnoteRef/>
      </w:r>
      <w:r w:rsidRPr="000460B5">
        <w:rPr>
          <w:rFonts w:ascii="Verdana" w:hAnsi="Verdana"/>
          <w:sz w:val="14"/>
          <w:szCs w:val="14"/>
        </w:rPr>
        <w:t xml:space="preserve"> </w:t>
      </w:r>
      <w:hyperlink r:id="rId4" w:history="1">
        <w:r w:rsidRPr="000460B5">
          <w:rPr>
            <w:rStyle w:val="Hyperlink"/>
            <w:rFonts w:ascii="Verdana" w:hAnsi="Verdana"/>
            <w:sz w:val="14"/>
            <w:szCs w:val="14"/>
          </w:rPr>
          <w:t>Security Council Resolution 1701: The situation in the Middle East | UN Peacemaker</w:t>
        </w:r>
      </w:hyperlink>
      <w:r w:rsidR="000B0A07" w:rsidRPr="000460B5">
        <w:rPr>
          <w:rStyle w:val="Hyperlink"/>
          <w:rFonts w:ascii="Verdana" w:hAnsi="Verdana"/>
          <w:sz w:val="14"/>
          <w:szCs w:val="14"/>
        </w:rPr>
        <w:t>.</w:t>
      </w:r>
    </w:p>
  </w:footnote>
  <w:footnote w:id="11">
    <w:p w14:paraId="6B16DDC7" w14:textId="36D5999E" w:rsidR="000B0A07" w:rsidRPr="000460B5" w:rsidRDefault="000B0A07" w:rsidP="000B0A07">
      <w:pPr>
        <w:pStyle w:val="FootnoteText"/>
        <w:rPr>
          <w:rFonts w:ascii="Verdana" w:hAnsi="Verdana"/>
          <w:sz w:val="14"/>
          <w:szCs w:val="14"/>
          <w:lang w:val="nl-NL"/>
        </w:rPr>
      </w:pPr>
      <w:r w:rsidRPr="000460B5">
        <w:rPr>
          <w:rStyle w:val="FootnoteReference"/>
          <w:rFonts w:ascii="Verdana" w:hAnsi="Verdana"/>
          <w:sz w:val="14"/>
          <w:szCs w:val="14"/>
        </w:rPr>
        <w:footnoteRef/>
      </w:r>
      <w:r w:rsidRPr="000460B5">
        <w:rPr>
          <w:rFonts w:ascii="Verdana" w:hAnsi="Verdana"/>
          <w:sz w:val="14"/>
          <w:szCs w:val="14"/>
          <w:lang w:val="nl-NL"/>
        </w:rPr>
        <w:t xml:space="preserve"> Zie bijlage</w:t>
      </w:r>
    </w:p>
  </w:footnote>
  <w:footnote w:id="12">
    <w:p w14:paraId="6A82C3AC" w14:textId="4B23156B" w:rsidR="000B0A07" w:rsidRPr="000460B5" w:rsidRDefault="000B0A07" w:rsidP="000B0A07">
      <w:pPr>
        <w:pStyle w:val="FootnoteText"/>
        <w:rPr>
          <w:rFonts w:ascii="Verdana" w:hAnsi="Verdana"/>
          <w:sz w:val="14"/>
          <w:szCs w:val="14"/>
          <w:lang w:val="nl-NL"/>
        </w:rPr>
      </w:pPr>
      <w:r w:rsidRPr="000460B5">
        <w:rPr>
          <w:rStyle w:val="FootnoteReference"/>
          <w:rFonts w:ascii="Verdana" w:hAnsi="Verdana"/>
          <w:sz w:val="14"/>
          <w:szCs w:val="14"/>
        </w:rPr>
        <w:footnoteRef/>
      </w:r>
      <w:r w:rsidRPr="000460B5">
        <w:rPr>
          <w:rFonts w:ascii="Verdana" w:hAnsi="Verdana"/>
          <w:sz w:val="14"/>
          <w:szCs w:val="14"/>
          <w:lang w:val="nl-NL"/>
        </w:rPr>
        <w:t xml:space="preserve"> Kamerstuk 21 501-20 nr. 2104</w:t>
      </w:r>
    </w:p>
  </w:footnote>
  <w:footnote w:id="13">
    <w:p w14:paraId="0EFE308E" w14:textId="77777777" w:rsidR="000B0A07" w:rsidRPr="000460B5" w:rsidRDefault="000B0A07" w:rsidP="000B0A07">
      <w:pPr>
        <w:pStyle w:val="FootnoteText"/>
        <w:rPr>
          <w:rFonts w:ascii="Verdana" w:hAnsi="Verdana"/>
          <w:sz w:val="14"/>
          <w:szCs w:val="14"/>
          <w:lang w:val="nl-NL"/>
        </w:rPr>
      </w:pPr>
      <w:r w:rsidRPr="000460B5">
        <w:rPr>
          <w:rStyle w:val="FootnoteReference"/>
          <w:rFonts w:ascii="Verdana" w:hAnsi="Verdana"/>
          <w:sz w:val="14"/>
          <w:szCs w:val="14"/>
        </w:rPr>
        <w:footnoteRef/>
      </w:r>
      <w:r w:rsidRPr="000460B5">
        <w:rPr>
          <w:rFonts w:ascii="Verdana" w:hAnsi="Verdana"/>
          <w:sz w:val="14"/>
          <w:szCs w:val="14"/>
          <w:lang w:val="nl-NL"/>
        </w:rPr>
        <w:t xml:space="preserve"> De Strategische Agenda is als bijlage bij de ER-conclusies toegevoegd. </w:t>
      </w:r>
    </w:p>
  </w:footnote>
  <w:footnote w:id="14">
    <w:p w14:paraId="5385464C" w14:textId="1BF97746" w:rsidR="000B0A07" w:rsidRPr="000460B5" w:rsidRDefault="000B0A07" w:rsidP="000B0A07">
      <w:pPr>
        <w:pStyle w:val="FootnoteText"/>
        <w:rPr>
          <w:rFonts w:ascii="Verdana" w:hAnsi="Verdana"/>
          <w:sz w:val="14"/>
          <w:szCs w:val="14"/>
          <w:lang w:val="nl-NL"/>
        </w:rPr>
      </w:pPr>
      <w:r w:rsidRPr="000460B5">
        <w:rPr>
          <w:rStyle w:val="FootnoteReference"/>
          <w:rFonts w:ascii="Verdana" w:hAnsi="Verdana"/>
          <w:sz w:val="14"/>
          <w:szCs w:val="14"/>
        </w:rPr>
        <w:footnoteRef/>
      </w:r>
      <w:r w:rsidRPr="000460B5">
        <w:rPr>
          <w:rFonts w:ascii="Verdana" w:hAnsi="Verdana"/>
          <w:sz w:val="14"/>
          <w:szCs w:val="14"/>
          <w:lang w:val="nl-NL"/>
        </w:rPr>
        <w:t xml:space="preserve"> Kamerstuk 21 501-20 nr. 2092</w:t>
      </w:r>
    </w:p>
  </w:footnote>
  <w:footnote w:id="15">
    <w:p w14:paraId="4C56E8F4" w14:textId="77777777" w:rsidR="000B0A07" w:rsidRPr="000460B5" w:rsidRDefault="000B0A07" w:rsidP="000B0A07">
      <w:pPr>
        <w:pStyle w:val="FootnoteText"/>
        <w:rPr>
          <w:rFonts w:ascii="Verdana" w:hAnsi="Verdana" w:cstheme="minorHAnsi"/>
          <w:sz w:val="14"/>
          <w:szCs w:val="14"/>
          <w:lang w:val="nl-NL"/>
        </w:rPr>
      </w:pPr>
      <w:r w:rsidRPr="000460B5">
        <w:rPr>
          <w:rStyle w:val="FootnoteReference"/>
          <w:rFonts w:ascii="Verdana" w:hAnsi="Verdana" w:cstheme="minorHAnsi"/>
          <w:sz w:val="14"/>
          <w:szCs w:val="14"/>
        </w:rPr>
        <w:footnoteRef/>
      </w:r>
      <w:r w:rsidRPr="000460B5">
        <w:rPr>
          <w:rFonts w:ascii="Verdana" w:hAnsi="Verdana" w:cstheme="minorHAnsi"/>
          <w:sz w:val="14"/>
          <w:szCs w:val="14"/>
          <w:lang w:val="nl-NL"/>
        </w:rPr>
        <w:t xml:space="preserve"> Zie voor de Nederlandse inzet de Geannoteerde Agenda Europese Raad van 21 en 22 maart 2024, Kamerstuk 21501-20 nr. 2041.  </w:t>
      </w:r>
    </w:p>
  </w:footnote>
  <w:footnote w:id="16">
    <w:p w14:paraId="70FAC03A" w14:textId="541BAAEC" w:rsidR="00CB4B14" w:rsidRPr="000460B5" w:rsidRDefault="00CB4B14" w:rsidP="00CB4B14">
      <w:pPr>
        <w:pStyle w:val="FootnoteText"/>
        <w:rPr>
          <w:rFonts w:ascii="Verdana" w:hAnsi="Verdana"/>
          <w:sz w:val="14"/>
          <w:szCs w:val="14"/>
          <w:lang w:val="nl-NL"/>
        </w:rPr>
      </w:pPr>
      <w:r w:rsidRPr="000460B5">
        <w:rPr>
          <w:rStyle w:val="FootnoteReference"/>
          <w:rFonts w:ascii="Verdana" w:hAnsi="Verdana"/>
          <w:sz w:val="14"/>
          <w:szCs w:val="14"/>
        </w:rPr>
        <w:footnoteRef/>
      </w:r>
      <w:r w:rsidRPr="000460B5">
        <w:rPr>
          <w:rFonts w:ascii="Verdana" w:hAnsi="Verdana"/>
          <w:sz w:val="14"/>
          <w:szCs w:val="14"/>
          <w:lang w:val="nl-NL"/>
        </w:rPr>
        <w:t xml:space="preserve"> Kamerstuk TZ202406-068</w:t>
      </w:r>
    </w:p>
  </w:footnote>
  <w:footnote w:id="17">
    <w:p w14:paraId="33DDCDB6" w14:textId="4478FC7F" w:rsidR="000B0A07" w:rsidRPr="000460B5" w:rsidRDefault="000B0A07" w:rsidP="000B0A07">
      <w:pPr>
        <w:pStyle w:val="FootnoteText"/>
        <w:rPr>
          <w:rFonts w:ascii="Verdana" w:hAnsi="Verdana"/>
          <w:sz w:val="14"/>
          <w:szCs w:val="14"/>
          <w:lang w:val="nl-NL"/>
        </w:rPr>
      </w:pPr>
      <w:r w:rsidRPr="000460B5">
        <w:rPr>
          <w:rStyle w:val="FootnoteReference"/>
          <w:rFonts w:ascii="Verdana" w:hAnsi="Verdana"/>
          <w:sz w:val="14"/>
          <w:szCs w:val="14"/>
        </w:rPr>
        <w:footnoteRef/>
      </w:r>
      <w:r w:rsidRPr="000460B5">
        <w:rPr>
          <w:rFonts w:ascii="Verdana" w:hAnsi="Verdana"/>
          <w:sz w:val="14"/>
          <w:szCs w:val="14"/>
          <w:lang w:val="nl-NL"/>
        </w:rPr>
        <w:t xml:space="preserve"> Kamerstuk 21501-20, nr. 1970</w:t>
      </w:r>
    </w:p>
  </w:footnote>
  <w:footnote w:id="18">
    <w:p w14:paraId="28045D60" w14:textId="707B6907" w:rsidR="000B0A07" w:rsidRPr="000460B5" w:rsidRDefault="000B0A07" w:rsidP="000B0A07">
      <w:pPr>
        <w:pStyle w:val="FootnoteText"/>
        <w:rPr>
          <w:rFonts w:ascii="Verdana" w:hAnsi="Verdana"/>
          <w:sz w:val="14"/>
          <w:szCs w:val="14"/>
          <w:lang w:val="nl-NL"/>
        </w:rPr>
      </w:pPr>
      <w:r w:rsidRPr="000460B5">
        <w:rPr>
          <w:rStyle w:val="FootnoteReference"/>
          <w:rFonts w:ascii="Verdana" w:hAnsi="Verdana"/>
          <w:sz w:val="14"/>
          <w:szCs w:val="14"/>
        </w:rPr>
        <w:footnoteRef/>
      </w:r>
      <w:r w:rsidRPr="000460B5">
        <w:rPr>
          <w:rFonts w:ascii="Verdana" w:hAnsi="Verdana"/>
          <w:sz w:val="14"/>
          <w:szCs w:val="14"/>
          <w:lang w:val="nl-NL"/>
        </w:rPr>
        <w:t xml:space="preserve"> Kamerstuk 21501-07 nr. 1995. Verslag Eurogroep en </w:t>
      </w:r>
      <w:proofErr w:type="spellStart"/>
      <w:r w:rsidRPr="000460B5">
        <w:rPr>
          <w:rFonts w:ascii="Verdana" w:hAnsi="Verdana"/>
          <w:sz w:val="14"/>
          <w:szCs w:val="14"/>
          <w:lang w:val="nl-NL"/>
        </w:rPr>
        <w:t>Ecofinraad</w:t>
      </w:r>
      <w:proofErr w:type="spellEnd"/>
      <w:r w:rsidRPr="000460B5">
        <w:rPr>
          <w:rFonts w:ascii="Verdana" w:hAnsi="Verdana"/>
          <w:sz w:val="14"/>
          <w:szCs w:val="14"/>
          <w:lang w:val="nl-NL"/>
        </w:rPr>
        <w:t xml:space="preserve"> 7 en 8 december 2023</w:t>
      </w:r>
    </w:p>
  </w:footnote>
  <w:footnote w:id="19">
    <w:p w14:paraId="0B709C1B" w14:textId="77777777" w:rsidR="000B0A07" w:rsidRPr="000460B5" w:rsidRDefault="000B0A07" w:rsidP="000B0A07">
      <w:pPr>
        <w:pStyle w:val="FootnoteText"/>
        <w:rPr>
          <w:rFonts w:ascii="Verdana" w:hAnsi="Verdana"/>
          <w:sz w:val="14"/>
          <w:szCs w:val="14"/>
          <w:lang w:val="nl-NL"/>
        </w:rPr>
      </w:pPr>
      <w:r w:rsidRPr="000460B5">
        <w:rPr>
          <w:rStyle w:val="FootnoteReference"/>
          <w:rFonts w:ascii="Verdana" w:hAnsi="Verdana"/>
          <w:sz w:val="14"/>
          <w:szCs w:val="14"/>
        </w:rPr>
        <w:footnoteRef/>
      </w:r>
      <w:r w:rsidRPr="000460B5">
        <w:rPr>
          <w:rFonts w:ascii="Verdana" w:hAnsi="Verdana"/>
          <w:sz w:val="14"/>
          <w:szCs w:val="14"/>
          <w:lang w:val="nl-NL"/>
        </w:rPr>
        <w:t xml:space="preserve"> Zie hiervoor: </w:t>
      </w:r>
      <w:hyperlink r:id="rId5" w:history="1">
        <w:r w:rsidRPr="000460B5">
          <w:rPr>
            <w:rStyle w:val="Hyperlink"/>
            <w:rFonts w:ascii="Verdana" w:hAnsi="Verdana"/>
            <w:sz w:val="14"/>
            <w:szCs w:val="14"/>
            <w:lang w:val="nl-NL"/>
          </w:rPr>
          <w:t>https://ec.europa.eu/commission/presscorner/detail/en/ip_23_6465</w:t>
        </w:r>
      </w:hyperlink>
      <w:r w:rsidRPr="000460B5">
        <w:rPr>
          <w:rStyle w:val="Hyperlink"/>
          <w:rFonts w:ascii="Verdana" w:hAnsi="Verdana"/>
          <w:sz w:val="14"/>
          <w:szCs w:val="14"/>
          <w:lang w:val="nl-N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826DF6"/>
    <w:multiLevelType w:val="hybridMultilevel"/>
    <w:tmpl w:val="903CE63A"/>
    <w:lvl w:ilvl="0" w:tplc="E1A41070">
      <w:start w:val="1"/>
      <w:numFmt w:val="decimal"/>
      <w:lvlText w:val="%1."/>
      <w:lvlJc w:val="left"/>
      <w:pPr>
        <w:ind w:left="1280" w:hanging="360"/>
      </w:pPr>
    </w:lvl>
    <w:lvl w:ilvl="1" w:tplc="EF0A1B6E">
      <w:start w:val="1"/>
      <w:numFmt w:val="decimal"/>
      <w:lvlText w:val="%2."/>
      <w:lvlJc w:val="left"/>
      <w:pPr>
        <w:ind w:left="1280" w:hanging="360"/>
      </w:pPr>
    </w:lvl>
    <w:lvl w:ilvl="2" w:tplc="A010310E">
      <w:start w:val="1"/>
      <w:numFmt w:val="decimal"/>
      <w:lvlText w:val="%3."/>
      <w:lvlJc w:val="left"/>
      <w:pPr>
        <w:ind w:left="1280" w:hanging="360"/>
      </w:pPr>
    </w:lvl>
    <w:lvl w:ilvl="3" w:tplc="540E18CA">
      <w:start w:val="1"/>
      <w:numFmt w:val="decimal"/>
      <w:lvlText w:val="%4."/>
      <w:lvlJc w:val="left"/>
      <w:pPr>
        <w:ind w:left="1280" w:hanging="360"/>
      </w:pPr>
    </w:lvl>
    <w:lvl w:ilvl="4" w:tplc="6988265A">
      <w:start w:val="1"/>
      <w:numFmt w:val="decimal"/>
      <w:lvlText w:val="%5."/>
      <w:lvlJc w:val="left"/>
      <w:pPr>
        <w:ind w:left="1280" w:hanging="360"/>
      </w:pPr>
    </w:lvl>
    <w:lvl w:ilvl="5" w:tplc="BDE0C344">
      <w:start w:val="1"/>
      <w:numFmt w:val="decimal"/>
      <w:lvlText w:val="%6."/>
      <w:lvlJc w:val="left"/>
      <w:pPr>
        <w:ind w:left="1280" w:hanging="360"/>
      </w:pPr>
    </w:lvl>
    <w:lvl w:ilvl="6" w:tplc="BDD675F8">
      <w:start w:val="1"/>
      <w:numFmt w:val="decimal"/>
      <w:lvlText w:val="%7."/>
      <w:lvlJc w:val="left"/>
      <w:pPr>
        <w:ind w:left="1280" w:hanging="360"/>
      </w:pPr>
    </w:lvl>
    <w:lvl w:ilvl="7" w:tplc="081462A2">
      <w:start w:val="1"/>
      <w:numFmt w:val="decimal"/>
      <w:lvlText w:val="%8."/>
      <w:lvlJc w:val="left"/>
      <w:pPr>
        <w:ind w:left="1280" w:hanging="360"/>
      </w:pPr>
    </w:lvl>
    <w:lvl w:ilvl="8" w:tplc="65A86422">
      <w:start w:val="1"/>
      <w:numFmt w:val="decimal"/>
      <w:lvlText w:val="%9."/>
      <w:lvlJc w:val="left"/>
      <w:pPr>
        <w:ind w:left="1280" w:hanging="360"/>
      </w:pPr>
    </w:lvl>
  </w:abstractNum>
  <w:abstractNum w:abstractNumId="1" w15:restartNumberingAfterBreak="0">
    <w:nsid w:val="4F8C76AE"/>
    <w:multiLevelType w:val="hybridMultilevel"/>
    <w:tmpl w:val="6268C2FC"/>
    <w:lvl w:ilvl="0" w:tplc="CC4E7050">
      <w:start w:val="1"/>
      <w:numFmt w:val="decimal"/>
      <w:lvlText w:val="%1."/>
      <w:lvlJc w:val="left"/>
      <w:pPr>
        <w:ind w:left="1280" w:hanging="360"/>
      </w:pPr>
    </w:lvl>
    <w:lvl w:ilvl="1" w:tplc="16AAC558">
      <w:start w:val="1"/>
      <w:numFmt w:val="decimal"/>
      <w:lvlText w:val="%2."/>
      <w:lvlJc w:val="left"/>
      <w:pPr>
        <w:ind w:left="1280" w:hanging="360"/>
      </w:pPr>
    </w:lvl>
    <w:lvl w:ilvl="2" w:tplc="5300B960">
      <w:start w:val="1"/>
      <w:numFmt w:val="decimal"/>
      <w:lvlText w:val="%3."/>
      <w:lvlJc w:val="left"/>
      <w:pPr>
        <w:ind w:left="1280" w:hanging="360"/>
      </w:pPr>
    </w:lvl>
    <w:lvl w:ilvl="3" w:tplc="377A8D48">
      <w:start w:val="1"/>
      <w:numFmt w:val="decimal"/>
      <w:lvlText w:val="%4."/>
      <w:lvlJc w:val="left"/>
      <w:pPr>
        <w:ind w:left="1280" w:hanging="360"/>
      </w:pPr>
    </w:lvl>
    <w:lvl w:ilvl="4" w:tplc="6EFA1030">
      <w:start w:val="1"/>
      <w:numFmt w:val="decimal"/>
      <w:lvlText w:val="%5."/>
      <w:lvlJc w:val="left"/>
      <w:pPr>
        <w:ind w:left="1280" w:hanging="360"/>
      </w:pPr>
    </w:lvl>
    <w:lvl w:ilvl="5" w:tplc="51521432">
      <w:start w:val="1"/>
      <w:numFmt w:val="decimal"/>
      <w:lvlText w:val="%6."/>
      <w:lvlJc w:val="left"/>
      <w:pPr>
        <w:ind w:left="1280" w:hanging="360"/>
      </w:pPr>
    </w:lvl>
    <w:lvl w:ilvl="6" w:tplc="371A4D8A">
      <w:start w:val="1"/>
      <w:numFmt w:val="decimal"/>
      <w:lvlText w:val="%7."/>
      <w:lvlJc w:val="left"/>
      <w:pPr>
        <w:ind w:left="1280" w:hanging="360"/>
      </w:pPr>
    </w:lvl>
    <w:lvl w:ilvl="7" w:tplc="1C2C2D2E">
      <w:start w:val="1"/>
      <w:numFmt w:val="decimal"/>
      <w:lvlText w:val="%8."/>
      <w:lvlJc w:val="left"/>
      <w:pPr>
        <w:ind w:left="1280" w:hanging="360"/>
      </w:pPr>
    </w:lvl>
    <w:lvl w:ilvl="8" w:tplc="84B45AFE">
      <w:start w:val="1"/>
      <w:numFmt w:val="decimal"/>
      <w:lvlText w:val="%9."/>
      <w:lvlJc w:val="left"/>
      <w:pPr>
        <w:ind w:left="1280" w:hanging="360"/>
      </w:pPr>
    </w:lvl>
  </w:abstractNum>
  <w:abstractNum w:abstractNumId="2" w15:restartNumberingAfterBreak="0">
    <w:nsid w:val="625F2B27"/>
    <w:multiLevelType w:val="hybridMultilevel"/>
    <w:tmpl w:val="645C9C78"/>
    <w:lvl w:ilvl="0" w:tplc="343EAB66">
      <w:start w:val="1"/>
      <w:numFmt w:val="decimal"/>
      <w:lvlText w:val="%1."/>
      <w:lvlJc w:val="left"/>
      <w:pPr>
        <w:ind w:left="1280" w:hanging="360"/>
      </w:pPr>
    </w:lvl>
    <w:lvl w:ilvl="1" w:tplc="0CFA520E">
      <w:start w:val="1"/>
      <w:numFmt w:val="decimal"/>
      <w:lvlText w:val="%2."/>
      <w:lvlJc w:val="left"/>
      <w:pPr>
        <w:ind w:left="1280" w:hanging="360"/>
      </w:pPr>
    </w:lvl>
    <w:lvl w:ilvl="2" w:tplc="3D8EFD2E">
      <w:start w:val="1"/>
      <w:numFmt w:val="decimal"/>
      <w:lvlText w:val="%3."/>
      <w:lvlJc w:val="left"/>
      <w:pPr>
        <w:ind w:left="1280" w:hanging="360"/>
      </w:pPr>
    </w:lvl>
    <w:lvl w:ilvl="3" w:tplc="8312E992">
      <w:start w:val="1"/>
      <w:numFmt w:val="decimal"/>
      <w:lvlText w:val="%4."/>
      <w:lvlJc w:val="left"/>
      <w:pPr>
        <w:ind w:left="1280" w:hanging="360"/>
      </w:pPr>
    </w:lvl>
    <w:lvl w:ilvl="4" w:tplc="41D02B92">
      <w:start w:val="1"/>
      <w:numFmt w:val="decimal"/>
      <w:lvlText w:val="%5."/>
      <w:lvlJc w:val="left"/>
      <w:pPr>
        <w:ind w:left="1280" w:hanging="360"/>
      </w:pPr>
    </w:lvl>
    <w:lvl w:ilvl="5" w:tplc="C54EFDBA">
      <w:start w:val="1"/>
      <w:numFmt w:val="decimal"/>
      <w:lvlText w:val="%6."/>
      <w:lvlJc w:val="left"/>
      <w:pPr>
        <w:ind w:left="1280" w:hanging="360"/>
      </w:pPr>
    </w:lvl>
    <w:lvl w:ilvl="6" w:tplc="765893A4">
      <w:start w:val="1"/>
      <w:numFmt w:val="decimal"/>
      <w:lvlText w:val="%7."/>
      <w:lvlJc w:val="left"/>
      <w:pPr>
        <w:ind w:left="1280" w:hanging="360"/>
      </w:pPr>
    </w:lvl>
    <w:lvl w:ilvl="7" w:tplc="75D85288">
      <w:start w:val="1"/>
      <w:numFmt w:val="decimal"/>
      <w:lvlText w:val="%8."/>
      <w:lvlJc w:val="left"/>
      <w:pPr>
        <w:ind w:left="1280" w:hanging="360"/>
      </w:pPr>
    </w:lvl>
    <w:lvl w:ilvl="8" w:tplc="91D40E7C">
      <w:start w:val="1"/>
      <w:numFmt w:val="decimal"/>
      <w:lvlText w:val="%9."/>
      <w:lvlJc w:val="left"/>
      <w:pPr>
        <w:ind w:left="1280" w:hanging="360"/>
      </w:pPr>
    </w:lvl>
  </w:abstractNum>
  <w:num w:numId="1" w16cid:durableId="507138850">
    <w:abstractNumId w:val="1"/>
  </w:num>
  <w:num w:numId="2" w16cid:durableId="2094038072">
    <w:abstractNumId w:val="0"/>
  </w:num>
  <w:num w:numId="3" w16cid:durableId="12063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263"/>
    <w:rsid w:val="00011FCD"/>
    <w:rsid w:val="00014414"/>
    <w:rsid w:val="00014FF7"/>
    <w:rsid w:val="00022B51"/>
    <w:rsid w:val="000278C4"/>
    <w:rsid w:val="00031CA6"/>
    <w:rsid w:val="00041DB5"/>
    <w:rsid w:val="000431CA"/>
    <w:rsid w:val="000460B5"/>
    <w:rsid w:val="00046DD6"/>
    <w:rsid w:val="00047485"/>
    <w:rsid w:val="000545E0"/>
    <w:rsid w:val="000565F5"/>
    <w:rsid w:val="0006645C"/>
    <w:rsid w:val="000677D5"/>
    <w:rsid w:val="00073802"/>
    <w:rsid w:val="00082DDE"/>
    <w:rsid w:val="00083080"/>
    <w:rsid w:val="0008462E"/>
    <w:rsid w:val="00084CC1"/>
    <w:rsid w:val="00085F1F"/>
    <w:rsid w:val="000B0A07"/>
    <w:rsid w:val="000B2C23"/>
    <w:rsid w:val="000B56C4"/>
    <w:rsid w:val="000B6314"/>
    <w:rsid w:val="000B753F"/>
    <w:rsid w:val="000C4FEA"/>
    <w:rsid w:val="000C6C07"/>
    <w:rsid w:val="000D016F"/>
    <w:rsid w:val="000D5579"/>
    <w:rsid w:val="000D71CB"/>
    <w:rsid w:val="000E2997"/>
    <w:rsid w:val="000E2EA6"/>
    <w:rsid w:val="000E3CCA"/>
    <w:rsid w:val="000E6937"/>
    <w:rsid w:val="000F6234"/>
    <w:rsid w:val="000F73E2"/>
    <w:rsid w:val="000F7E9A"/>
    <w:rsid w:val="00102564"/>
    <w:rsid w:val="001054C4"/>
    <w:rsid w:val="00105C59"/>
    <w:rsid w:val="00110849"/>
    <w:rsid w:val="0011221C"/>
    <w:rsid w:val="00132912"/>
    <w:rsid w:val="00133A86"/>
    <w:rsid w:val="00136C1E"/>
    <w:rsid w:val="00142C14"/>
    <w:rsid w:val="0015282E"/>
    <w:rsid w:val="001612C4"/>
    <w:rsid w:val="0016398C"/>
    <w:rsid w:val="00172A57"/>
    <w:rsid w:val="00185946"/>
    <w:rsid w:val="001950F9"/>
    <w:rsid w:val="00195201"/>
    <w:rsid w:val="001A066A"/>
    <w:rsid w:val="001A1127"/>
    <w:rsid w:val="001A305D"/>
    <w:rsid w:val="001A5144"/>
    <w:rsid w:val="001B1CE7"/>
    <w:rsid w:val="001B21F2"/>
    <w:rsid w:val="001B73DF"/>
    <w:rsid w:val="001B7BED"/>
    <w:rsid w:val="001B7D32"/>
    <w:rsid w:val="001C080F"/>
    <w:rsid w:val="001C4717"/>
    <w:rsid w:val="001D021A"/>
    <w:rsid w:val="001D3C63"/>
    <w:rsid w:val="001E0B92"/>
    <w:rsid w:val="001E72F1"/>
    <w:rsid w:val="001F154B"/>
    <w:rsid w:val="001F28B0"/>
    <w:rsid w:val="00204ED8"/>
    <w:rsid w:val="002070D7"/>
    <w:rsid w:val="00210265"/>
    <w:rsid w:val="0021127A"/>
    <w:rsid w:val="002156AB"/>
    <w:rsid w:val="0021798C"/>
    <w:rsid w:val="00220762"/>
    <w:rsid w:val="002224E5"/>
    <w:rsid w:val="00225363"/>
    <w:rsid w:val="002273FC"/>
    <w:rsid w:val="00230038"/>
    <w:rsid w:val="002328A3"/>
    <w:rsid w:val="00243BEC"/>
    <w:rsid w:val="00244B94"/>
    <w:rsid w:val="002472F2"/>
    <w:rsid w:val="00247637"/>
    <w:rsid w:val="00250D52"/>
    <w:rsid w:val="0025156A"/>
    <w:rsid w:val="00253419"/>
    <w:rsid w:val="00254896"/>
    <w:rsid w:val="00255495"/>
    <w:rsid w:val="002559CD"/>
    <w:rsid w:val="0026759C"/>
    <w:rsid w:val="002720B5"/>
    <w:rsid w:val="002752AE"/>
    <w:rsid w:val="00276F9E"/>
    <w:rsid w:val="00290019"/>
    <w:rsid w:val="00290BFC"/>
    <w:rsid w:val="00291BCC"/>
    <w:rsid w:val="00297797"/>
    <w:rsid w:val="002A0F16"/>
    <w:rsid w:val="002A2F23"/>
    <w:rsid w:val="002B6784"/>
    <w:rsid w:val="002C12AF"/>
    <w:rsid w:val="002C1791"/>
    <w:rsid w:val="002C30F3"/>
    <w:rsid w:val="002C30F7"/>
    <w:rsid w:val="002C57DF"/>
    <w:rsid w:val="002D312F"/>
    <w:rsid w:val="002D5DC1"/>
    <w:rsid w:val="002E2184"/>
    <w:rsid w:val="002E44E3"/>
    <w:rsid w:val="002F0AFF"/>
    <w:rsid w:val="002F3BF0"/>
    <w:rsid w:val="00312FFD"/>
    <w:rsid w:val="00315E2A"/>
    <w:rsid w:val="00322B74"/>
    <w:rsid w:val="00326732"/>
    <w:rsid w:val="00326AD0"/>
    <w:rsid w:val="00327C62"/>
    <w:rsid w:val="00331330"/>
    <w:rsid w:val="003334F1"/>
    <w:rsid w:val="00335BC3"/>
    <w:rsid w:val="0034304A"/>
    <w:rsid w:val="0034551A"/>
    <w:rsid w:val="00346323"/>
    <w:rsid w:val="003534B9"/>
    <w:rsid w:val="0035600D"/>
    <w:rsid w:val="003574FC"/>
    <w:rsid w:val="003623E6"/>
    <w:rsid w:val="00363643"/>
    <w:rsid w:val="003668F9"/>
    <w:rsid w:val="00372AA0"/>
    <w:rsid w:val="003817F5"/>
    <w:rsid w:val="003862AA"/>
    <w:rsid w:val="00397B01"/>
    <w:rsid w:val="003A1B97"/>
    <w:rsid w:val="003B129A"/>
    <w:rsid w:val="003B4058"/>
    <w:rsid w:val="003B4A33"/>
    <w:rsid w:val="003C6D70"/>
    <w:rsid w:val="003D74DD"/>
    <w:rsid w:val="003E05BB"/>
    <w:rsid w:val="003F2519"/>
    <w:rsid w:val="003F2A45"/>
    <w:rsid w:val="004042C7"/>
    <w:rsid w:val="00413CE9"/>
    <w:rsid w:val="0041558A"/>
    <w:rsid w:val="004203F8"/>
    <w:rsid w:val="00427E72"/>
    <w:rsid w:val="00437FFD"/>
    <w:rsid w:val="00444574"/>
    <w:rsid w:val="00451FC0"/>
    <w:rsid w:val="00456684"/>
    <w:rsid w:val="004611E3"/>
    <w:rsid w:val="004628E8"/>
    <w:rsid w:val="00462DFE"/>
    <w:rsid w:val="00463564"/>
    <w:rsid w:val="004644B9"/>
    <w:rsid w:val="004741FE"/>
    <w:rsid w:val="00474D97"/>
    <w:rsid w:val="004767AC"/>
    <w:rsid w:val="004859B0"/>
    <w:rsid w:val="00485CB0"/>
    <w:rsid w:val="004A3950"/>
    <w:rsid w:val="004A3E09"/>
    <w:rsid w:val="004A6AE0"/>
    <w:rsid w:val="004A7E41"/>
    <w:rsid w:val="004B0050"/>
    <w:rsid w:val="004B0EA1"/>
    <w:rsid w:val="004B2DA2"/>
    <w:rsid w:val="004B7ABA"/>
    <w:rsid w:val="004C2143"/>
    <w:rsid w:val="004D5825"/>
    <w:rsid w:val="004D5B08"/>
    <w:rsid w:val="004D6CB7"/>
    <w:rsid w:val="004D798C"/>
    <w:rsid w:val="004E6DCA"/>
    <w:rsid w:val="004F0798"/>
    <w:rsid w:val="004F2A93"/>
    <w:rsid w:val="004F6A11"/>
    <w:rsid w:val="004F77AF"/>
    <w:rsid w:val="005005A3"/>
    <w:rsid w:val="005025AC"/>
    <w:rsid w:val="005065AC"/>
    <w:rsid w:val="00513263"/>
    <w:rsid w:val="00515989"/>
    <w:rsid w:val="00515DDD"/>
    <w:rsid w:val="00520A91"/>
    <w:rsid w:val="00521E2D"/>
    <w:rsid w:val="00532A99"/>
    <w:rsid w:val="00536083"/>
    <w:rsid w:val="00542AEC"/>
    <w:rsid w:val="005510CA"/>
    <w:rsid w:val="005528C0"/>
    <w:rsid w:val="005564C5"/>
    <w:rsid w:val="00560A44"/>
    <w:rsid w:val="00564953"/>
    <w:rsid w:val="00570B32"/>
    <w:rsid w:val="00571DD3"/>
    <w:rsid w:val="005750C5"/>
    <w:rsid w:val="0058581B"/>
    <w:rsid w:val="00586095"/>
    <w:rsid w:val="00597395"/>
    <w:rsid w:val="005A3FE3"/>
    <w:rsid w:val="005A46F6"/>
    <w:rsid w:val="005A6898"/>
    <w:rsid w:val="005B1289"/>
    <w:rsid w:val="005C3AB0"/>
    <w:rsid w:val="005D10DB"/>
    <w:rsid w:val="005D152D"/>
    <w:rsid w:val="005D4E37"/>
    <w:rsid w:val="005E343E"/>
    <w:rsid w:val="005F372C"/>
    <w:rsid w:val="006015D6"/>
    <w:rsid w:val="00602510"/>
    <w:rsid w:val="00605313"/>
    <w:rsid w:val="00611E7E"/>
    <w:rsid w:val="00614478"/>
    <w:rsid w:val="00622320"/>
    <w:rsid w:val="00632904"/>
    <w:rsid w:val="0063646D"/>
    <w:rsid w:val="00636AC6"/>
    <w:rsid w:val="00637E1B"/>
    <w:rsid w:val="00643674"/>
    <w:rsid w:val="00646382"/>
    <w:rsid w:val="0064679D"/>
    <w:rsid w:val="00652A0A"/>
    <w:rsid w:val="00653737"/>
    <w:rsid w:val="00655D50"/>
    <w:rsid w:val="006659E4"/>
    <w:rsid w:val="0066647A"/>
    <w:rsid w:val="006672FD"/>
    <w:rsid w:val="00670259"/>
    <w:rsid w:val="00682055"/>
    <w:rsid w:val="00685857"/>
    <w:rsid w:val="00687C27"/>
    <w:rsid w:val="006950D3"/>
    <w:rsid w:val="006976C7"/>
    <w:rsid w:val="006A0FCF"/>
    <w:rsid w:val="006A73BF"/>
    <w:rsid w:val="006B2A31"/>
    <w:rsid w:val="006B3BFD"/>
    <w:rsid w:val="006B772C"/>
    <w:rsid w:val="006B79B4"/>
    <w:rsid w:val="006C12DD"/>
    <w:rsid w:val="006D0876"/>
    <w:rsid w:val="006D57EE"/>
    <w:rsid w:val="006E05EF"/>
    <w:rsid w:val="006E455C"/>
    <w:rsid w:val="00702D53"/>
    <w:rsid w:val="00704A3C"/>
    <w:rsid w:val="007153DB"/>
    <w:rsid w:val="007264B3"/>
    <w:rsid w:val="00726AE6"/>
    <w:rsid w:val="00730300"/>
    <w:rsid w:val="00732733"/>
    <w:rsid w:val="007402E1"/>
    <w:rsid w:val="0074094F"/>
    <w:rsid w:val="0074539E"/>
    <w:rsid w:val="007567F6"/>
    <w:rsid w:val="00763F7E"/>
    <w:rsid w:val="007674B3"/>
    <w:rsid w:val="00770572"/>
    <w:rsid w:val="00774CB1"/>
    <w:rsid w:val="00781893"/>
    <w:rsid w:val="0078529F"/>
    <w:rsid w:val="00791191"/>
    <w:rsid w:val="007946B9"/>
    <w:rsid w:val="00797A0D"/>
    <w:rsid w:val="007A26D4"/>
    <w:rsid w:val="007A26EE"/>
    <w:rsid w:val="007A3DDE"/>
    <w:rsid w:val="007A4D07"/>
    <w:rsid w:val="007B46F9"/>
    <w:rsid w:val="007B78B9"/>
    <w:rsid w:val="007C66FA"/>
    <w:rsid w:val="007D005D"/>
    <w:rsid w:val="007D3253"/>
    <w:rsid w:val="007D5C36"/>
    <w:rsid w:val="007E7650"/>
    <w:rsid w:val="007F15B1"/>
    <w:rsid w:val="008076E8"/>
    <w:rsid w:val="008115FD"/>
    <w:rsid w:val="00820B0E"/>
    <w:rsid w:val="00825505"/>
    <w:rsid w:val="00827A45"/>
    <w:rsid w:val="00830A51"/>
    <w:rsid w:val="008328A5"/>
    <w:rsid w:val="00835BE8"/>
    <w:rsid w:val="00844219"/>
    <w:rsid w:val="00847312"/>
    <w:rsid w:val="00847E82"/>
    <w:rsid w:val="00857DB8"/>
    <w:rsid w:val="00863E9E"/>
    <w:rsid w:val="00865387"/>
    <w:rsid w:val="00870671"/>
    <w:rsid w:val="00876B2C"/>
    <w:rsid w:val="008950BF"/>
    <w:rsid w:val="008A25A9"/>
    <w:rsid w:val="008A5326"/>
    <w:rsid w:val="008A5FB5"/>
    <w:rsid w:val="008A615C"/>
    <w:rsid w:val="008A6FFB"/>
    <w:rsid w:val="008A75BF"/>
    <w:rsid w:val="008B096D"/>
    <w:rsid w:val="008B265E"/>
    <w:rsid w:val="008B2DF8"/>
    <w:rsid w:val="008B318C"/>
    <w:rsid w:val="008B5225"/>
    <w:rsid w:val="008B71B7"/>
    <w:rsid w:val="008C0563"/>
    <w:rsid w:val="008C3A7D"/>
    <w:rsid w:val="008C4053"/>
    <w:rsid w:val="008C7543"/>
    <w:rsid w:val="008D5671"/>
    <w:rsid w:val="008D56DF"/>
    <w:rsid w:val="008E681E"/>
    <w:rsid w:val="008F0215"/>
    <w:rsid w:val="008F0837"/>
    <w:rsid w:val="008F22AE"/>
    <w:rsid w:val="008F259E"/>
    <w:rsid w:val="009001CD"/>
    <w:rsid w:val="00912C89"/>
    <w:rsid w:val="00921DAD"/>
    <w:rsid w:val="0092283A"/>
    <w:rsid w:val="009366F0"/>
    <w:rsid w:val="00937A08"/>
    <w:rsid w:val="00940317"/>
    <w:rsid w:val="00951F3B"/>
    <w:rsid w:val="00953C2F"/>
    <w:rsid w:val="00956CA0"/>
    <w:rsid w:val="00965B3C"/>
    <w:rsid w:val="00970849"/>
    <w:rsid w:val="00970C66"/>
    <w:rsid w:val="009712B7"/>
    <w:rsid w:val="0097788B"/>
    <w:rsid w:val="009808C0"/>
    <w:rsid w:val="0098131D"/>
    <w:rsid w:val="00981A93"/>
    <w:rsid w:val="0098391A"/>
    <w:rsid w:val="00984B20"/>
    <w:rsid w:val="0098635F"/>
    <w:rsid w:val="00991EDC"/>
    <w:rsid w:val="0099260D"/>
    <w:rsid w:val="00994393"/>
    <w:rsid w:val="009A19EF"/>
    <w:rsid w:val="009A4358"/>
    <w:rsid w:val="009B1113"/>
    <w:rsid w:val="009B5542"/>
    <w:rsid w:val="009B5CDE"/>
    <w:rsid w:val="009B7319"/>
    <w:rsid w:val="009D072D"/>
    <w:rsid w:val="009D54CC"/>
    <w:rsid w:val="009D7711"/>
    <w:rsid w:val="009E4257"/>
    <w:rsid w:val="00A00562"/>
    <w:rsid w:val="00A051F9"/>
    <w:rsid w:val="00A1588D"/>
    <w:rsid w:val="00A159AB"/>
    <w:rsid w:val="00A20860"/>
    <w:rsid w:val="00A22A6F"/>
    <w:rsid w:val="00A2694F"/>
    <w:rsid w:val="00A279C7"/>
    <w:rsid w:val="00A32B4E"/>
    <w:rsid w:val="00A5446C"/>
    <w:rsid w:val="00A55E2B"/>
    <w:rsid w:val="00A61EC0"/>
    <w:rsid w:val="00A6233F"/>
    <w:rsid w:val="00A625D0"/>
    <w:rsid w:val="00A6382F"/>
    <w:rsid w:val="00A67F18"/>
    <w:rsid w:val="00A712E7"/>
    <w:rsid w:val="00A74299"/>
    <w:rsid w:val="00A80017"/>
    <w:rsid w:val="00A861AC"/>
    <w:rsid w:val="00A92C54"/>
    <w:rsid w:val="00A934BE"/>
    <w:rsid w:val="00A938E2"/>
    <w:rsid w:val="00A93907"/>
    <w:rsid w:val="00A947BB"/>
    <w:rsid w:val="00A971C4"/>
    <w:rsid w:val="00AA2446"/>
    <w:rsid w:val="00AA47BB"/>
    <w:rsid w:val="00AA5AAC"/>
    <w:rsid w:val="00AA7A87"/>
    <w:rsid w:val="00AB4D93"/>
    <w:rsid w:val="00AB634F"/>
    <w:rsid w:val="00AB694C"/>
    <w:rsid w:val="00AD3BBA"/>
    <w:rsid w:val="00AD77A1"/>
    <w:rsid w:val="00AE1893"/>
    <w:rsid w:val="00AF0160"/>
    <w:rsid w:val="00AF3FB5"/>
    <w:rsid w:val="00AF433D"/>
    <w:rsid w:val="00AF4D7B"/>
    <w:rsid w:val="00B02214"/>
    <w:rsid w:val="00B064F1"/>
    <w:rsid w:val="00B105E1"/>
    <w:rsid w:val="00B2069D"/>
    <w:rsid w:val="00B35B4D"/>
    <w:rsid w:val="00B43B7F"/>
    <w:rsid w:val="00B50259"/>
    <w:rsid w:val="00B5251C"/>
    <w:rsid w:val="00B525D1"/>
    <w:rsid w:val="00B5349C"/>
    <w:rsid w:val="00B55CB6"/>
    <w:rsid w:val="00B777A3"/>
    <w:rsid w:val="00B84EDA"/>
    <w:rsid w:val="00B93575"/>
    <w:rsid w:val="00B93B65"/>
    <w:rsid w:val="00B96BFE"/>
    <w:rsid w:val="00B970E4"/>
    <w:rsid w:val="00BA57AA"/>
    <w:rsid w:val="00BA5A09"/>
    <w:rsid w:val="00BB09CB"/>
    <w:rsid w:val="00BB24C9"/>
    <w:rsid w:val="00BB2E57"/>
    <w:rsid w:val="00BB6583"/>
    <w:rsid w:val="00BB711F"/>
    <w:rsid w:val="00BB7965"/>
    <w:rsid w:val="00BC17DD"/>
    <w:rsid w:val="00BC3277"/>
    <w:rsid w:val="00BC3693"/>
    <w:rsid w:val="00BC67A7"/>
    <w:rsid w:val="00BC6DD3"/>
    <w:rsid w:val="00BC76F0"/>
    <w:rsid w:val="00BD4205"/>
    <w:rsid w:val="00BD4637"/>
    <w:rsid w:val="00BD5AFC"/>
    <w:rsid w:val="00BE1610"/>
    <w:rsid w:val="00BE19F8"/>
    <w:rsid w:val="00BE5AAF"/>
    <w:rsid w:val="00BE7B65"/>
    <w:rsid w:val="00BF0515"/>
    <w:rsid w:val="00BF0548"/>
    <w:rsid w:val="00BF2802"/>
    <w:rsid w:val="00C00CE4"/>
    <w:rsid w:val="00C00EA4"/>
    <w:rsid w:val="00C04EE3"/>
    <w:rsid w:val="00C06BA4"/>
    <w:rsid w:val="00C11C08"/>
    <w:rsid w:val="00C11D5D"/>
    <w:rsid w:val="00C1529B"/>
    <w:rsid w:val="00C15AAA"/>
    <w:rsid w:val="00C27117"/>
    <w:rsid w:val="00C331C7"/>
    <w:rsid w:val="00C33EFD"/>
    <w:rsid w:val="00C36EC9"/>
    <w:rsid w:val="00C40045"/>
    <w:rsid w:val="00C65B23"/>
    <w:rsid w:val="00C71709"/>
    <w:rsid w:val="00C76984"/>
    <w:rsid w:val="00C81041"/>
    <w:rsid w:val="00C81F34"/>
    <w:rsid w:val="00C84F5A"/>
    <w:rsid w:val="00C85C75"/>
    <w:rsid w:val="00C9013D"/>
    <w:rsid w:val="00C93B62"/>
    <w:rsid w:val="00C972BE"/>
    <w:rsid w:val="00CA2699"/>
    <w:rsid w:val="00CA28AD"/>
    <w:rsid w:val="00CA5A30"/>
    <w:rsid w:val="00CA6828"/>
    <w:rsid w:val="00CB47D5"/>
    <w:rsid w:val="00CB4B14"/>
    <w:rsid w:val="00CC77F1"/>
    <w:rsid w:val="00CD1007"/>
    <w:rsid w:val="00CD5112"/>
    <w:rsid w:val="00CD6E9A"/>
    <w:rsid w:val="00CD7F29"/>
    <w:rsid w:val="00CF26D9"/>
    <w:rsid w:val="00CF7F02"/>
    <w:rsid w:val="00D01265"/>
    <w:rsid w:val="00D01B99"/>
    <w:rsid w:val="00D01FDE"/>
    <w:rsid w:val="00D04C6A"/>
    <w:rsid w:val="00D101D9"/>
    <w:rsid w:val="00D163B4"/>
    <w:rsid w:val="00D21FEC"/>
    <w:rsid w:val="00D24CF8"/>
    <w:rsid w:val="00D260F1"/>
    <w:rsid w:val="00D323A9"/>
    <w:rsid w:val="00D361FB"/>
    <w:rsid w:val="00D371F5"/>
    <w:rsid w:val="00D55F48"/>
    <w:rsid w:val="00D60F91"/>
    <w:rsid w:val="00D61968"/>
    <w:rsid w:val="00D65082"/>
    <w:rsid w:val="00D70563"/>
    <w:rsid w:val="00D73EA3"/>
    <w:rsid w:val="00D75E7A"/>
    <w:rsid w:val="00D76F7A"/>
    <w:rsid w:val="00D77F11"/>
    <w:rsid w:val="00D80EF3"/>
    <w:rsid w:val="00D84E4B"/>
    <w:rsid w:val="00D924FB"/>
    <w:rsid w:val="00DA41C3"/>
    <w:rsid w:val="00DA5331"/>
    <w:rsid w:val="00DB0489"/>
    <w:rsid w:val="00DB0831"/>
    <w:rsid w:val="00DB0C85"/>
    <w:rsid w:val="00DB473A"/>
    <w:rsid w:val="00DB4A06"/>
    <w:rsid w:val="00DB6200"/>
    <w:rsid w:val="00DC07D2"/>
    <w:rsid w:val="00DC089E"/>
    <w:rsid w:val="00DC6357"/>
    <w:rsid w:val="00DD1324"/>
    <w:rsid w:val="00DD243A"/>
    <w:rsid w:val="00DD479F"/>
    <w:rsid w:val="00DE2A1D"/>
    <w:rsid w:val="00DE4C9C"/>
    <w:rsid w:val="00E00117"/>
    <w:rsid w:val="00E05D40"/>
    <w:rsid w:val="00E11E30"/>
    <w:rsid w:val="00E129AE"/>
    <w:rsid w:val="00E20B4A"/>
    <w:rsid w:val="00E234E7"/>
    <w:rsid w:val="00E249DD"/>
    <w:rsid w:val="00E26D94"/>
    <w:rsid w:val="00E34476"/>
    <w:rsid w:val="00E37A74"/>
    <w:rsid w:val="00E449FF"/>
    <w:rsid w:val="00E51575"/>
    <w:rsid w:val="00E52A91"/>
    <w:rsid w:val="00E52A99"/>
    <w:rsid w:val="00E54414"/>
    <w:rsid w:val="00E61D9F"/>
    <w:rsid w:val="00E64876"/>
    <w:rsid w:val="00E979C2"/>
    <w:rsid w:val="00EA1B8C"/>
    <w:rsid w:val="00EA4387"/>
    <w:rsid w:val="00EA4837"/>
    <w:rsid w:val="00EB5F97"/>
    <w:rsid w:val="00EB77DD"/>
    <w:rsid w:val="00ED0EC4"/>
    <w:rsid w:val="00ED1851"/>
    <w:rsid w:val="00ED4F0B"/>
    <w:rsid w:val="00ED73FA"/>
    <w:rsid w:val="00EE20C3"/>
    <w:rsid w:val="00EE277F"/>
    <w:rsid w:val="00EE3A36"/>
    <w:rsid w:val="00EE626C"/>
    <w:rsid w:val="00EF1716"/>
    <w:rsid w:val="00EF57E5"/>
    <w:rsid w:val="00F029A3"/>
    <w:rsid w:val="00F10C79"/>
    <w:rsid w:val="00F12CB2"/>
    <w:rsid w:val="00F15B8E"/>
    <w:rsid w:val="00F20005"/>
    <w:rsid w:val="00F2079B"/>
    <w:rsid w:val="00F21F38"/>
    <w:rsid w:val="00F256A3"/>
    <w:rsid w:val="00F279EE"/>
    <w:rsid w:val="00F40DEE"/>
    <w:rsid w:val="00F40E48"/>
    <w:rsid w:val="00F54F9B"/>
    <w:rsid w:val="00F55836"/>
    <w:rsid w:val="00F616C4"/>
    <w:rsid w:val="00F62444"/>
    <w:rsid w:val="00F62C20"/>
    <w:rsid w:val="00F64511"/>
    <w:rsid w:val="00F676B8"/>
    <w:rsid w:val="00F73CF0"/>
    <w:rsid w:val="00F85D67"/>
    <w:rsid w:val="00F90741"/>
    <w:rsid w:val="00F92C82"/>
    <w:rsid w:val="00F97471"/>
    <w:rsid w:val="00FA09DF"/>
    <w:rsid w:val="00FA0FB9"/>
    <w:rsid w:val="00FA2065"/>
    <w:rsid w:val="00FA2E32"/>
    <w:rsid w:val="00FC0235"/>
    <w:rsid w:val="00FC493D"/>
    <w:rsid w:val="00FC6A08"/>
    <w:rsid w:val="00FC73CC"/>
    <w:rsid w:val="00FC7D3E"/>
    <w:rsid w:val="00FE2EED"/>
    <w:rsid w:val="00FE5248"/>
    <w:rsid w:val="00FF31FC"/>
    <w:rsid w:val="00FF6485"/>
    <w:rsid w:val="00FF6707"/>
    <w:rsid w:val="00FF73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54D32"/>
  <w15:chartTrackingRefBased/>
  <w15:docId w15:val="{D717F6D6-FE85-4105-B306-4545E6A07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50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5082"/>
  </w:style>
  <w:style w:type="paragraph" w:styleId="Footer">
    <w:name w:val="footer"/>
    <w:basedOn w:val="Normal"/>
    <w:link w:val="FooterChar"/>
    <w:uiPriority w:val="99"/>
    <w:unhideWhenUsed/>
    <w:rsid w:val="00D650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5082"/>
  </w:style>
  <w:style w:type="paragraph" w:styleId="FootnoteText">
    <w:name w:val="footnote text"/>
    <w:basedOn w:val="Normal"/>
    <w:link w:val="FootnoteTextChar"/>
    <w:uiPriority w:val="99"/>
    <w:semiHidden/>
    <w:unhideWhenUsed/>
    <w:rsid w:val="00D650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5082"/>
    <w:rPr>
      <w:sz w:val="20"/>
      <w:szCs w:val="20"/>
    </w:rPr>
  </w:style>
  <w:style w:type="character" w:styleId="FootnoteReference">
    <w:name w:val="footnote reference"/>
    <w:basedOn w:val="DefaultParagraphFont"/>
    <w:uiPriority w:val="99"/>
    <w:semiHidden/>
    <w:unhideWhenUsed/>
    <w:rsid w:val="00D65082"/>
    <w:rPr>
      <w:vertAlign w:val="superscript"/>
    </w:rPr>
  </w:style>
  <w:style w:type="paragraph" w:styleId="Revision">
    <w:name w:val="Revision"/>
    <w:hidden/>
    <w:uiPriority w:val="99"/>
    <w:semiHidden/>
    <w:rsid w:val="002720B5"/>
    <w:pPr>
      <w:spacing w:after="0" w:line="240" w:lineRule="auto"/>
    </w:pPr>
  </w:style>
  <w:style w:type="character" w:styleId="CommentReference">
    <w:name w:val="annotation reference"/>
    <w:basedOn w:val="DefaultParagraphFont"/>
    <w:uiPriority w:val="99"/>
    <w:semiHidden/>
    <w:unhideWhenUsed/>
    <w:rsid w:val="00331330"/>
    <w:rPr>
      <w:sz w:val="16"/>
      <w:szCs w:val="16"/>
    </w:rPr>
  </w:style>
  <w:style w:type="paragraph" w:styleId="CommentText">
    <w:name w:val="annotation text"/>
    <w:basedOn w:val="Normal"/>
    <w:link w:val="CommentTextChar"/>
    <w:uiPriority w:val="99"/>
    <w:unhideWhenUsed/>
    <w:rsid w:val="00331330"/>
    <w:pPr>
      <w:spacing w:line="240" w:lineRule="auto"/>
    </w:pPr>
    <w:rPr>
      <w:sz w:val="20"/>
      <w:szCs w:val="20"/>
    </w:rPr>
  </w:style>
  <w:style w:type="character" w:customStyle="1" w:styleId="CommentTextChar">
    <w:name w:val="Comment Text Char"/>
    <w:basedOn w:val="DefaultParagraphFont"/>
    <w:link w:val="CommentText"/>
    <w:uiPriority w:val="99"/>
    <w:rsid w:val="00331330"/>
    <w:rPr>
      <w:sz w:val="20"/>
      <w:szCs w:val="20"/>
    </w:rPr>
  </w:style>
  <w:style w:type="paragraph" w:styleId="CommentSubject">
    <w:name w:val="annotation subject"/>
    <w:basedOn w:val="CommentText"/>
    <w:next w:val="CommentText"/>
    <w:link w:val="CommentSubjectChar"/>
    <w:uiPriority w:val="99"/>
    <w:semiHidden/>
    <w:unhideWhenUsed/>
    <w:rsid w:val="00331330"/>
    <w:rPr>
      <w:b/>
      <w:bCs/>
    </w:rPr>
  </w:style>
  <w:style w:type="character" w:customStyle="1" w:styleId="CommentSubjectChar">
    <w:name w:val="Comment Subject Char"/>
    <w:basedOn w:val="CommentTextChar"/>
    <w:link w:val="CommentSubject"/>
    <w:uiPriority w:val="99"/>
    <w:semiHidden/>
    <w:rsid w:val="00331330"/>
    <w:rPr>
      <w:b/>
      <w:bCs/>
      <w:sz w:val="20"/>
      <w:szCs w:val="20"/>
    </w:rPr>
  </w:style>
  <w:style w:type="paragraph" w:styleId="EndnoteText">
    <w:name w:val="endnote text"/>
    <w:basedOn w:val="Normal"/>
    <w:link w:val="EndnoteTextChar"/>
    <w:uiPriority w:val="99"/>
    <w:semiHidden/>
    <w:unhideWhenUsed/>
    <w:rsid w:val="00863E9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63E9E"/>
    <w:rPr>
      <w:sz w:val="20"/>
      <w:szCs w:val="20"/>
    </w:rPr>
  </w:style>
  <w:style w:type="character" w:styleId="EndnoteReference">
    <w:name w:val="endnote reference"/>
    <w:basedOn w:val="DefaultParagraphFont"/>
    <w:uiPriority w:val="99"/>
    <w:semiHidden/>
    <w:unhideWhenUsed/>
    <w:rsid w:val="00863E9E"/>
    <w:rPr>
      <w:vertAlign w:val="superscript"/>
    </w:rPr>
  </w:style>
  <w:style w:type="character" w:styleId="Hyperlink">
    <w:name w:val="Hyperlink"/>
    <w:basedOn w:val="DefaultParagraphFont"/>
    <w:uiPriority w:val="99"/>
    <w:unhideWhenUsed/>
    <w:rsid w:val="00726AE6"/>
    <w:rPr>
      <w:color w:val="0563C1" w:themeColor="hyperlink"/>
      <w:u w:val="single"/>
    </w:rPr>
  </w:style>
  <w:style w:type="character" w:styleId="UnresolvedMention">
    <w:name w:val="Unresolved Mention"/>
    <w:basedOn w:val="DefaultParagraphFont"/>
    <w:uiPriority w:val="99"/>
    <w:semiHidden/>
    <w:unhideWhenUsed/>
    <w:rsid w:val="00726A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620989">
      <w:bodyDiv w:val="1"/>
      <w:marLeft w:val="0"/>
      <w:marRight w:val="0"/>
      <w:marTop w:val="0"/>
      <w:marBottom w:val="0"/>
      <w:divBdr>
        <w:top w:val="none" w:sz="0" w:space="0" w:color="auto"/>
        <w:left w:val="none" w:sz="0" w:space="0" w:color="auto"/>
        <w:bottom w:val="none" w:sz="0" w:space="0" w:color="auto"/>
        <w:right w:val="none" w:sz="0" w:space="0" w:color="auto"/>
      </w:divBdr>
    </w:div>
    <w:div w:id="696151826">
      <w:bodyDiv w:val="1"/>
      <w:marLeft w:val="0"/>
      <w:marRight w:val="0"/>
      <w:marTop w:val="0"/>
      <w:marBottom w:val="0"/>
      <w:divBdr>
        <w:top w:val="none" w:sz="0" w:space="0" w:color="auto"/>
        <w:left w:val="none" w:sz="0" w:space="0" w:color="auto"/>
        <w:bottom w:val="none" w:sz="0" w:space="0" w:color="auto"/>
        <w:right w:val="none" w:sz="0" w:space="0" w:color="auto"/>
      </w:divBdr>
    </w:div>
    <w:div w:id="815027015">
      <w:bodyDiv w:val="1"/>
      <w:marLeft w:val="0"/>
      <w:marRight w:val="0"/>
      <w:marTop w:val="0"/>
      <w:marBottom w:val="0"/>
      <w:divBdr>
        <w:top w:val="none" w:sz="0" w:space="0" w:color="auto"/>
        <w:left w:val="none" w:sz="0" w:space="0" w:color="auto"/>
        <w:bottom w:val="none" w:sz="0" w:space="0" w:color="auto"/>
        <w:right w:val="none" w:sz="0" w:space="0" w:color="auto"/>
      </w:divBdr>
    </w:div>
    <w:div w:id="1526215115">
      <w:bodyDiv w:val="1"/>
      <w:marLeft w:val="0"/>
      <w:marRight w:val="0"/>
      <w:marTop w:val="0"/>
      <w:marBottom w:val="0"/>
      <w:divBdr>
        <w:top w:val="none" w:sz="0" w:space="0" w:color="auto"/>
        <w:left w:val="none" w:sz="0" w:space="0" w:color="auto"/>
        <w:bottom w:val="none" w:sz="0" w:space="0" w:color="auto"/>
        <w:right w:val="none" w:sz="0" w:space="0" w:color="auto"/>
      </w:divBdr>
    </w:div>
    <w:div w:id="1614632869">
      <w:bodyDiv w:val="1"/>
      <w:marLeft w:val="0"/>
      <w:marRight w:val="0"/>
      <w:marTop w:val="0"/>
      <w:marBottom w:val="0"/>
      <w:divBdr>
        <w:top w:val="none" w:sz="0" w:space="0" w:color="auto"/>
        <w:left w:val="none" w:sz="0" w:space="0" w:color="auto"/>
        <w:bottom w:val="none" w:sz="0" w:space="0" w:color="auto"/>
        <w:right w:val="none" w:sz="0" w:space="0" w:color="auto"/>
      </w:divBdr>
    </w:div>
    <w:div w:id="1833108523">
      <w:bodyDiv w:val="1"/>
      <w:marLeft w:val="0"/>
      <w:marRight w:val="0"/>
      <w:marTop w:val="0"/>
      <w:marBottom w:val="0"/>
      <w:divBdr>
        <w:top w:val="none" w:sz="0" w:space="0" w:color="auto"/>
        <w:left w:val="none" w:sz="0" w:space="0" w:color="auto"/>
        <w:bottom w:val="none" w:sz="0" w:space="0" w:color="auto"/>
        <w:right w:val="none" w:sz="0" w:space="0" w:color="auto"/>
      </w:divBdr>
    </w:div>
    <w:div w:id="1936551169">
      <w:bodyDiv w:val="1"/>
      <w:marLeft w:val="0"/>
      <w:marRight w:val="0"/>
      <w:marTop w:val="0"/>
      <w:marBottom w:val="0"/>
      <w:divBdr>
        <w:top w:val="none" w:sz="0" w:space="0" w:color="auto"/>
        <w:left w:val="none" w:sz="0" w:space="0" w:color="auto"/>
        <w:bottom w:val="none" w:sz="0" w:space="0" w:color="auto"/>
        <w:right w:val="none" w:sz="0" w:space="0" w:color="auto"/>
      </w:divBdr>
    </w:div>
    <w:div w:id="1942028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press.un.org/en/2024/sc15723.doc.htm" TargetMode="External"/><Relationship Id="rId2" Type="http://schemas.openxmlformats.org/officeDocument/2006/relationships/hyperlink" Target="https://www.consilium.europa.eu/nl/meetings/international-summit/2024/06/13-15/" TargetMode="External"/><Relationship Id="rId1" Type="http://schemas.openxmlformats.org/officeDocument/2006/relationships/hyperlink" Target="https://www.consilium.europa.eu/nl/press/press-releases/2024/06/27/joint-security-commitments-between-the-european-union-and-ukraine/" TargetMode="External"/><Relationship Id="rId5" Type="http://schemas.openxmlformats.org/officeDocument/2006/relationships/hyperlink" Target="https://ec.europa.eu/commission/presscorner/detail/en/ip_23_6465" TargetMode="External"/><Relationship Id="rId4" Type="http://schemas.openxmlformats.org/officeDocument/2006/relationships/hyperlink" Target="https://peacemaker.un.org/israellebanon-resolution17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2938</ap:Words>
  <ap:Characters>16162</ap:Characters>
  <ap:DocSecurity>0</ap:DocSecurity>
  <ap:Lines>134</ap:Lines>
  <ap:Paragraphs>38</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19062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2024-07-03T13:07:00.0000000Z</lastPrinted>
  <dcterms:created xsi:type="dcterms:W3CDTF">2024-07-08T09:00:00.0000000Z</dcterms:created>
  <dcterms:modified xsi:type="dcterms:W3CDTF">2024-07-08T09:00:00.0000000Z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0x0101009C7CE436063D44E9BE7DC0259EF7C32F006EB9F9836A634AE58B6169785FD3936F006712C1AEAE031D4084A205B91261093E</vt:lpwstr>
  </property>
  <property fmtid="{D5CDD505-2E9C-101B-9397-08002B2CF9AE}" pid="3" name="BZ_Country">
    <vt:lpwstr>3;#The Netherlands|7f69a7bb-478c-499d-a6cf-5869916dfee4</vt:lpwstr>
  </property>
  <property fmtid="{D5CDD505-2E9C-101B-9397-08002B2CF9AE}" pid="4" name="BZ_Theme">
    <vt:lpwstr>1;#Organization|d3f777fe-abca-43dd-b11c-a7496ad32ea5;#2;#Visits (logistic)|53e8069b-a40e-4a89-b4f3-9b7112716272</vt:lpwstr>
  </property>
  <property fmtid="{D5CDD505-2E9C-101B-9397-08002B2CF9AE}" pid="5" name="BZ_Classification">
    <vt:lpwstr>5;#UNCLASSIFIED|d92c6340-bc14-4cb2-a9a6-6deda93c493b;#155;#NO MARKING|879e64ec-6597-483b-94db-f5f70afd7299</vt:lpwstr>
  </property>
  <property fmtid="{D5CDD505-2E9C-101B-9397-08002B2CF9AE}" pid="6" name="BZ_Forum">
    <vt:lpwstr>4;#EU|4d8f9873-61b3-4ee5-b6f7-0bb00c6df5e8</vt:lpwstr>
  </property>
  <property fmtid="{D5CDD505-2E9C-101B-9397-08002B2CF9AE}" pid="7" name="BZForumOrganisation">
    <vt:lpwstr>2;#Not applicable|0049e722-bfb1-4a3f-9d08-af7366a9af40</vt:lpwstr>
  </property>
  <property fmtid="{D5CDD505-2E9C-101B-9397-08002B2CF9AE}" pid="8" name="BZTheme">
    <vt:lpwstr>1;#Not applicable|ec01d90b-9d0f-4785-8785-e1ea615196bf</vt:lpwstr>
  </property>
  <property fmtid="{D5CDD505-2E9C-101B-9397-08002B2CF9AE}" pid="9" name="BZCountryState">
    <vt:lpwstr>3;#Not applicable|ec01d90b-9d0f-4785-8785-e1ea615196bf</vt:lpwstr>
  </property>
  <property fmtid="{D5CDD505-2E9C-101B-9397-08002B2CF9AE}" pid="10" name="BZMarking">
    <vt:lpwstr>5;#NO MARKING|0a4eb9ae-69eb-4d9e-b573-43ab99ef8592</vt:lpwstr>
  </property>
  <property fmtid="{D5CDD505-2E9C-101B-9397-08002B2CF9AE}" pid="11" name="_dlc_DocIdItemGuid">
    <vt:lpwstr>1cbc1f92-de76-4e2b-ad98-f8b81593fc65</vt:lpwstr>
  </property>
  <property fmtid="{D5CDD505-2E9C-101B-9397-08002B2CF9AE}" pid="12" name="BZClassification">
    <vt:lpwstr>4;#UNCLASSIFIED (U)|284e6a62-15ab-4017-be27-a1e965f4e940</vt:lpwstr>
  </property>
  <property fmtid="{D5CDD505-2E9C-101B-9397-08002B2CF9AE}" pid="13" name="_docset_NoMedatataSyncRequired">
    <vt:lpwstr>False</vt:lpwstr>
  </property>
</Properties>
</file>