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2F80" w:rsidR="00252DDC" w:rsidP="00B86B14" w:rsidRDefault="4F8D5EA7" w14:paraId="380A4FEA" w14:textId="4936D7EB">
      <w:pPr>
        <w:spacing w:line="240" w:lineRule="auto"/>
        <w:rPr>
          <w:rFonts w:ascii="Verdana" w:hAnsi="Verdana"/>
          <w:b/>
          <w:bCs/>
          <w:sz w:val="20"/>
          <w:szCs w:val="20"/>
        </w:rPr>
      </w:pPr>
      <w:r w:rsidRPr="00382F80">
        <w:rPr>
          <w:rFonts w:ascii="Verdana" w:hAnsi="Verdana"/>
          <w:b/>
          <w:bCs/>
          <w:sz w:val="20"/>
          <w:szCs w:val="20"/>
        </w:rPr>
        <w:t>G</w:t>
      </w:r>
      <w:r w:rsidRPr="00382F80" w:rsidR="00252DDC">
        <w:rPr>
          <w:rFonts w:ascii="Verdana" w:hAnsi="Verdana"/>
          <w:b/>
          <w:bCs/>
          <w:sz w:val="20"/>
          <w:szCs w:val="20"/>
        </w:rPr>
        <w:t>EANNOTEERDE AGENDA VAN DE EUROPESE RAAD VAN 27</w:t>
      </w:r>
      <w:r w:rsidRPr="00382F80" w:rsidR="00252DDC">
        <w:rPr>
          <w:rFonts w:ascii="Verdana" w:hAnsi="Verdana"/>
          <w:b/>
          <w:bCs/>
          <w:sz w:val="20"/>
          <w:szCs w:val="20"/>
          <w:vertAlign w:val="superscript"/>
        </w:rPr>
        <w:t xml:space="preserve"> </w:t>
      </w:r>
      <w:r w:rsidRPr="00382F80" w:rsidR="00252DDC">
        <w:rPr>
          <w:rFonts w:ascii="Verdana" w:hAnsi="Verdana"/>
          <w:b/>
          <w:bCs/>
          <w:sz w:val="20"/>
          <w:szCs w:val="20"/>
        </w:rPr>
        <w:t>EN 28 JUNI 2024</w:t>
      </w:r>
    </w:p>
    <w:p w:rsidRPr="00382F80" w:rsidR="00252DDC" w:rsidP="00B86B14" w:rsidRDefault="00252DDC" w14:paraId="7EA88B56" w14:textId="02136EC0">
      <w:pPr>
        <w:spacing w:line="240" w:lineRule="auto"/>
        <w:rPr>
          <w:rFonts w:ascii="Verdana" w:hAnsi="Verdana"/>
          <w:sz w:val="20"/>
          <w:szCs w:val="20"/>
        </w:rPr>
      </w:pPr>
      <w:r w:rsidRPr="00382F80">
        <w:rPr>
          <w:rFonts w:ascii="Verdana" w:hAnsi="Verdana"/>
          <w:sz w:val="20"/>
          <w:szCs w:val="20"/>
        </w:rPr>
        <w:t xml:space="preserve">Op donderdag 27 en vrijdag 28 juni aanstaande vindt </w:t>
      </w:r>
      <w:r>
        <w:rPr>
          <w:rFonts w:ascii="Verdana" w:hAnsi="Verdana"/>
          <w:sz w:val="20"/>
          <w:szCs w:val="20"/>
        </w:rPr>
        <w:t>de</w:t>
      </w:r>
      <w:r w:rsidRPr="00382F80">
        <w:rPr>
          <w:rFonts w:ascii="Verdana" w:hAnsi="Verdana"/>
          <w:sz w:val="20"/>
          <w:szCs w:val="20"/>
        </w:rPr>
        <w:t xml:space="preserve"> Europese Raad (ER) plaats in Brussel. De ER zal spreken over de Russische agressie jegens Oekraïne, </w:t>
      </w:r>
      <w:r>
        <w:rPr>
          <w:rFonts w:ascii="Verdana" w:hAnsi="Verdana"/>
          <w:sz w:val="20"/>
          <w:szCs w:val="20"/>
        </w:rPr>
        <w:t>de situatie in het</w:t>
      </w:r>
      <w:r w:rsidRPr="00382F80">
        <w:rPr>
          <w:rFonts w:ascii="Verdana" w:hAnsi="Verdana"/>
          <w:sz w:val="20"/>
          <w:szCs w:val="20"/>
        </w:rPr>
        <w:t xml:space="preserve"> Midden</w:t>
      </w:r>
      <w:r>
        <w:rPr>
          <w:rFonts w:ascii="Verdana" w:hAnsi="Verdana"/>
          <w:sz w:val="20"/>
          <w:szCs w:val="20"/>
        </w:rPr>
        <w:t>-</w:t>
      </w:r>
      <w:r w:rsidRPr="00382F80">
        <w:rPr>
          <w:rFonts w:ascii="Verdana" w:hAnsi="Verdana"/>
          <w:sz w:val="20"/>
          <w:szCs w:val="20"/>
        </w:rPr>
        <w:t xml:space="preserve">Oosten, veiligheid en defensie, concurrentievermogen en de kapitaalmarktunie, </w:t>
      </w:r>
      <w:r>
        <w:rPr>
          <w:rFonts w:ascii="Verdana" w:hAnsi="Verdana"/>
          <w:sz w:val="20"/>
          <w:szCs w:val="20"/>
        </w:rPr>
        <w:t xml:space="preserve">en onder overige onderwerpen over </w:t>
      </w:r>
      <w:r w:rsidRPr="00382F80">
        <w:rPr>
          <w:rFonts w:ascii="Verdana" w:hAnsi="Verdana"/>
          <w:sz w:val="20"/>
          <w:szCs w:val="20"/>
        </w:rPr>
        <w:t>migratie, Georgië, de Zwarte Zee</w:t>
      </w:r>
      <w:r w:rsidR="00B66520">
        <w:rPr>
          <w:rFonts w:ascii="Verdana" w:hAnsi="Verdana"/>
          <w:sz w:val="20"/>
          <w:szCs w:val="20"/>
        </w:rPr>
        <w:t>,</w:t>
      </w:r>
      <w:r w:rsidRPr="00382F80">
        <w:rPr>
          <w:rFonts w:ascii="Verdana" w:hAnsi="Verdana"/>
          <w:sz w:val="20"/>
          <w:szCs w:val="20"/>
        </w:rPr>
        <w:t xml:space="preserve"> en de </w:t>
      </w:r>
      <w:r>
        <w:rPr>
          <w:rFonts w:ascii="Verdana" w:hAnsi="Verdana"/>
          <w:sz w:val="20"/>
          <w:szCs w:val="20"/>
        </w:rPr>
        <w:t xml:space="preserve">volgende institutionele cyclus: de </w:t>
      </w:r>
      <w:r w:rsidRPr="00382F80">
        <w:rPr>
          <w:rFonts w:ascii="Verdana" w:hAnsi="Verdana"/>
          <w:sz w:val="20"/>
          <w:szCs w:val="20"/>
        </w:rPr>
        <w:t>strategische agenda</w:t>
      </w:r>
      <w:r w:rsidR="00F36C73">
        <w:rPr>
          <w:rFonts w:ascii="Verdana" w:hAnsi="Verdana"/>
          <w:sz w:val="20"/>
          <w:szCs w:val="20"/>
        </w:rPr>
        <w:t xml:space="preserve"> 2024-2029</w:t>
      </w:r>
      <w:r w:rsidR="00A314B6">
        <w:rPr>
          <w:rFonts w:ascii="Verdana" w:hAnsi="Verdana"/>
          <w:sz w:val="20"/>
          <w:szCs w:val="20"/>
        </w:rPr>
        <w:t>, voordrachten voor topbenoemingen</w:t>
      </w:r>
      <w:r w:rsidRPr="00382F80">
        <w:rPr>
          <w:rFonts w:ascii="Verdana" w:hAnsi="Verdana"/>
          <w:sz w:val="20"/>
          <w:szCs w:val="20"/>
        </w:rPr>
        <w:t xml:space="preserve"> en toekomst van de EU. De minister-president is voornemens deel te nemen aan de ER.</w:t>
      </w:r>
    </w:p>
    <w:p w:rsidR="003D05EC" w:rsidP="00B86B14" w:rsidRDefault="00252DDC" w14:paraId="3D0D709B" w14:textId="77777777">
      <w:pPr>
        <w:spacing w:line="240" w:lineRule="auto"/>
        <w:rPr>
          <w:rFonts w:ascii="Verdana" w:hAnsi="Verdana"/>
          <w:i/>
          <w:iCs/>
          <w:sz w:val="20"/>
          <w:szCs w:val="20"/>
        </w:rPr>
      </w:pPr>
      <w:r w:rsidRPr="00382F80">
        <w:rPr>
          <w:rFonts w:ascii="Verdana" w:hAnsi="Verdana"/>
          <w:i/>
          <w:iCs/>
          <w:sz w:val="20"/>
          <w:szCs w:val="20"/>
        </w:rPr>
        <w:t>Oekraïne</w:t>
      </w:r>
    </w:p>
    <w:p w:rsidR="00A76C31" w:rsidP="00B86B14" w:rsidRDefault="00252DDC" w14:paraId="524EB8ED" w14:textId="0E12E82E">
      <w:pPr>
        <w:spacing w:line="240" w:lineRule="auto"/>
        <w:rPr>
          <w:rFonts w:ascii="Verdana" w:hAnsi="Verdana" w:eastAsia="Times New Roman"/>
          <w:sz w:val="20"/>
          <w:szCs w:val="20"/>
        </w:rPr>
      </w:pPr>
      <w:r>
        <w:rPr>
          <w:rFonts w:ascii="Verdana" w:hAnsi="Verdana" w:eastAsia="Times New Roman"/>
          <w:sz w:val="20"/>
          <w:szCs w:val="20"/>
        </w:rPr>
        <w:t xml:space="preserve">De ER zal spreken over de voortdurende Russische agressie tegen Oekraïne en de verschillende werksporen van steun aan Oekraïne. De inzet van het kabinet blijft onverminderd gericht op het steunen van Oekraïne enerzijds en het verhogen van druk op Rusland om de agressieoorlog te beëindigen anderzijds. </w:t>
      </w:r>
      <w:r w:rsidRPr="00AE269E">
        <w:rPr>
          <w:rFonts w:ascii="Verdana" w:hAnsi="Verdana" w:eastAsia="Times New Roman"/>
          <w:sz w:val="20"/>
          <w:szCs w:val="20"/>
        </w:rPr>
        <w:t>De</w:t>
      </w:r>
      <w:r>
        <w:rPr>
          <w:rFonts w:ascii="Verdana" w:hAnsi="Verdana" w:eastAsia="Times New Roman"/>
          <w:sz w:val="20"/>
          <w:szCs w:val="20"/>
        </w:rPr>
        <w:t xml:space="preserve"> ER</w:t>
      </w:r>
      <w:r w:rsidRPr="00BD189D">
        <w:rPr>
          <w:rFonts w:ascii="Verdana" w:hAnsi="Verdana" w:eastAsia="Times New Roman"/>
          <w:sz w:val="20"/>
          <w:szCs w:val="20"/>
        </w:rPr>
        <w:t xml:space="preserve"> zal</w:t>
      </w:r>
      <w:r w:rsidR="003D05EC">
        <w:rPr>
          <w:rFonts w:ascii="Verdana" w:hAnsi="Verdana" w:eastAsia="Times New Roman"/>
          <w:sz w:val="20"/>
          <w:szCs w:val="20"/>
        </w:rPr>
        <w:t xml:space="preserve"> voortborduren op de RBZ van 24 juni</w:t>
      </w:r>
      <w:r w:rsidR="003E158E">
        <w:rPr>
          <w:rFonts w:ascii="Verdana" w:hAnsi="Verdana" w:eastAsia="Times New Roman"/>
          <w:sz w:val="20"/>
          <w:szCs w:val="20"/>
        </w:rPr>
        <w:t xml:space="preserve"> a.s.</w:t>
      </w:r>
      <w:r w:rsidR="00B31075">
        <w:rPr>
          <w:rFonts w:ascii="Verdana" w:hAnsi="Verdana" w:eastAsia="Times New Roman"/>
          <w:sz w:val="20"/>
          <w:szCs w:val="20"/>
        </w:rPr>
        <w:t>;</w:t>
      </w:r>
      <w:r w:rsidR="003D05EC">
        <w:rPr>
          <w:rFonts w:ascii="Verdana" w:hAnsi="Verdana" w:eastAsia="Times New Roman"/>
          <w:sz w:val="20"/>
          <w:szCs w:val="20"/>
        </w:rPr>
        <w:t xml:space="preserve"> in de GA voor de RBZ staat </w:t>
      </w:r>
      <w:r w:rsidR="009B0F22">
        <w:rPr>
          <w:rFonts w:ascii="Verdana" w:hAnsi="Verdana" w:eastAsia="Times New Roman"/>
          <w:sz w:val="20"/>
          <w:szCs w:val="20"/>
        </w:rPr>
        <w:t xml:space="preserve">uitgebreider </w:t>
      </w:r>
      <w:r w:rsidR="003D05EC">
        <w:rPr>
          <w:rFonts w:ascii="Verdana" w:hAnsi="Verdana" w:eastAsia="Times New Roman"/>
          <w:sz w:val="20"/>
          <w:szCs w:val="20"/>
        </w:rPr>
        <w:t xml:space="preserve">beschreven waar </w:t>
      </w:r>
      <w:r w:rsidR="003E158E">
        <w:rPr>
          <w:rFonts w:ascii="Verdana" w:hAnsi="Verdana" w:eastAsia="Times New Roman"/>
          <w:sz w:val="20"/>
          <w:szCs w:val="20"/>
        </w:rPr>
        <w:t>in de Raad</w:t>
      </w:r>
      <w:r w:rsidR="003D05EC">
        <w:rPr>
          <w:rFonts w:ascii="Verdana" w:hAnsi="Verdana" w:eastAsia="Times New Roman"/>
          <w:sz w:val="20"/>
          <w:szCs w:val="20"/>
        </w:rPr>
        <w:t xml:space="preserve"> naar verwachting over zal </w:t>
      </w:r>
      <w:r w:rsidR="003E158E">
        <w:rPr>
          <w:rFonts w:ascii="Verdana" w:hAnsi="Verdana" w:eastAsia="Times New Roman"/>
          <w:sz w:val="20"/>
          <w:szCs w:val="20"/>
        </w:rPr>
        <w:t>worden gesproken</w:t>
      </w:r>
      <w:r w:rsidR="003D05EC">
        <w:rPr>
          <w:rFonts w:ascii="Verdana" w:hAnsi="Verdana" w:eastAsia="Times New Roman"/>
          <w:sz w:val="20"/>
          <w:szCs w:val="20"/>
        </w:rPr>
        <w:t>.</w:t>
      </w:r>
      <w:r w:rsidR="003D05EC">
        <w:rPr>
          <w:rStyle w:val="FootnoteReference"/>
          <w:rFonts w:ascii="Verdana" w:hAnsi="Verdana" w:eastAsia="Times New Roman"/>
          <w:sz w:val="20"/>
          <w:szCs w:val="20"/>
        </w:rPr>
        <w:footnoteReference w:id="2"/>
      </w:r>
      <w:r w:rsidR="003D05EC">
        <w:rPr>
          <w:rFonts w:ascii="Verdana" w:hAnsi="Verdana" w:eastAsia="Times New Roman"/>
          <w:sz w:val="20"/>
          <w:szCs w:val="20"/>
        </w:rPr>
        <w:t xml:space="preserve"> </w:t>
      </w:r>
    </w:p>
    <w:p w:rsidRPr="00B31075" w:rsidR="00252DDC" w:rsidP="00B86B14" w:rsidRDefault="00252DDC" w14:paraId="3DE333A8" w14:textId="1DBBE150">
      <w:pPr>
        <w:spacing w:line="240" w:lineRule="auto"/>
        <w:rPr>
          <w:rFonts w:ascii="Verdana" w:hAnsi="Verdana"/>
          <w:sz w:val="20"/>
          <w:szCs w:val="20"/>
        </w:rPr>
      </w:pPr>
      <w:r>
        <w:rPr>
          <w:rFonts w:ascii="Verdana" w:hAnsi="Verdana" w:eastAsia="Times New Roman"/>
          <w:sz w:val="20"/>
          <w:szCs w:val="20"/>
        </w:rPr>
        <w:t>Het kabinet</w:t>
      </w:r>
      <w:r w:rsidRPr="00BD189D">
        <w:rPr>
          <w:rFonts w:ascii="Verdana" w:hAnsi="Verdana" w:eastAsia="Times New Roman"/>
          <w:sz w:val="20"/>
          <w:szCs w:val="20"/>
        </w:rPr>
        <w:t xml:space="preserve"> </w:t>
      </w:r>
      <w:r>
        <w:rPr>
          <w:rFonts w:ascii="Verdana" w:hAnsi="Verdana" w:eastAsia="Times New Roman"/>
          <w:sz w:val="20"/>
          <w:szCs w:val="20"/>
        </w:rPr>
        <w:t xml:space="preserve">is voorstander van het intensiveren van </w:t>
      </w:r>
      <w:r w:rsidRPr="00BD189D">
        <w:rPr>
          <w:rFonts w:ascii="Verdana" w:hAnsi="Verdana" w:eastAsia="Times New Roman"/>
          <w:sz w:val="20"/>
          <w:szCs w:val="20"/>
        </w:rPr>
        <w:t>militaire, en ook andere steun aan Oekraïne, zowel bilateraal als via de EU.</w:t>
      </w:r>
      <w:r>
        <w:rPr>
          <w:rFonts w:ascii="Verdana" w:hAnsi="Verdana" w:eastAsia="Times New Roman"/>
          <w:sz w:val="20"/>
          <w:szCs w:val="20"/>
        </w:rPr>
        <w:t xml:space="preserve"> </w:t>
      </w:r>
      <w:r w:rsidR="009B0F22">
        <w:rPr>
          <w:rFonts w:ascii="Verdana" w:hAnsi="Verdana" w:eastAsia="Times New Roman"/>
          <w:sz w:val="20"/>
          <w:szCs w:val="20"/>
        </w:rPr>
        <w:t>Het kabinet</w:t>
      </w:r>
      <w:r w:rsidRPr="001E728C">
        <w:rPr>
          <w:rFonts w:ascii="Verdana" w:hAnsi="Verdana" w:eastAsia="Times New Roman"/>
          <w:sz w:val="20"/>
          <w:szCs w:val="20"/>
        </w:rPr>
        <w:t xml:space="preserve"> </w:t>
      </w:r>
      <w:r>
        <w:rPr>
          <w:rFonts w:ascii="Verdana" w:hAnsi="Verdana" w:eastAsia="Times New Roman"/>
          <w:sz w:val="20"/>
          <w:szCs w:val="20"/>
        </w:rPr>
        <w:t xml:space="preserve">wil </w:t>
      </w:r>
      <w:r w:rsidRPr="001E728C">
        <w:rPr>
          <w:rFonts w:ascii="Verdana" w:hAnsi="Verdana" w:eastAsia="Times New Roman"/>
          <w:sz w:val="20"/>
          <w:szCs w:val="20"/>
        </w:rPr>
        <w:t xml:space="preserve">dat lidstaten zich </w:t>
      </w:r>
      <w:r w:rsidR="009B0F22">
        <w:rPr>
          <w:rFonts w:ascii="Verdana" w:hAnsi="Verdana" w:eastAsia="Times New Roman"/>
          <w:sz w:val="20"/>
          <w:szCs w:val="20"/>
        </w:rPr>
        <w:t xml:space="preserve">daarbij onder andere </w:t>
      </w:r>
      <w:r w:rsidRPr="001E728C">
        <w:rPr>
          <w:rFonts w:ascii="Verdana" w:hAnsi="Verdana" w:eastAsia="Times New Roman"/>
          <w:sz w:val="20"/>
          <w:szCs w:val="20"/>
        </w:rPr>
        <w:t>flexibel en creatief opstellen om nieuwe steunmaatregelen, zoals het Nederlandse Patriot-initiatief, te realiseren.</w:t>
      </w:r>
      <w:r w:rsidR="009B0F22">
        <w:rPr>
          <w:rFonts w:ascii="Verdana" w:hAnsi="Verdana" w:eastAsia="Times New Roman"/>
          <w:sz w:val="20"/>
          <w:szCs w:val="20"/>
        </w:rPr>
        <w:t xml:space="preserve"> Daarnaast is</w:t>
      </w:r>
      <w:r>
        <w:rPr>
          <w:rFonts w:ascii="Verdana" w:hAnsi="Verdana" w:eastAsia="Times New Roman"/>
          <w:sz w:val="20"/>
          <w:szCs w:val="20"/>
        </w:rPr>
        <w:t xml:space="preserve"> het </w:t>
      </w:r>
      <w:r w:rsidR="009B0F22">
        <w:rPr>
          <w:rFonts w:ascii="Verdana" w:hAnsi="Verdana" w:eastAsia="Times New Roman"/>
          <w:sz w:val="20"/>
          <w:szCs w:val="20"/>
        </w:rPr>
        <w:t xml:space="preserve">wat het </w:t>
      </w:r>
      <w:r>
        <w:rPr>
          <w:rFonts w:ascii="Verdana" w:hAnsi="Verdana" w:eastAsia="Times New Roman"/>
          <w:sz w:val="20"/>
          <w:szCs w:val="20"/>
        </w:rPr>
        <w:t xml:space="preserve">kabinet betreft cruciaal dat er zo snel mogelijk een akkoord wordt bereikt op de verschillende </w:t>
      </w:r>
      <w:r w:rsidRPr="00AE269E">
        <w:rPr>
          <w:rFonts w:ascii="Verdana" w:hAnsi="Verdana" w:eastAsia="Times New Roman"/>
          <w:sz w:val="20"/>
          <w:szCs w:val="20"/>
        </w:rPr>
        <w:t>Raadsbesluiten</w:t>
      </w:r>
      <w:r>
        <w:rPr>
          <w:rFonts w:ascii="Verdana" w:hAnsi="Verdana" w:eastAsia="Times New Roman"/>
          <w:sz w:val="20"/>
          <w:szCs w:val="20"/>
        </w:rPr>
        <w:t xml:space="preserve"> over de implementatie van de directe militaire steun aan Oekraïne onder de E</w:t>
      </w:r>
      <w:r w:rsidR="000A5FF2">
        <w:rPr>
          <w:rFonts w:ascii="Verdana" w:hAnsi="Verdana" w:eastAsia="Times New Roman"/>
          <w:sz w:val="20"/>
          <w:szCs w:val="20"/>
        </w:rPr>
        <w:t>uropese Vredesfaciliteit (EPF)</w:t>
      </w:r>
      <w:r>
        <w:rPr>
          <w:rFonts w:ascii="Verdana" w:hAnsi="Verdana" w:eastAsia="Times New Roman"/>
          <w:sz w:val="20"/>
          <w:szCs w:val="20"/>
        </w:rPr>
        <w:t xml:space="preserve">. </w:t>
      </w:r>
      <w:r>
        <w:rPr>
          <w:rFonts w:ascii="Verdana" w:hAnsi="Verdana"/>
          <w:sz w:val="20"/>
          <w:szCs w:val="20"/>
        </w:rPr>
        <w:t xml:space="preserve">Het kabinet zal voortgang op het EU-veiligheidsarrangement omarmen. Dit langjarige </w:t>
      </w:r>
      <w:r w:rsidRPr="0059138C">
        <w:rPr>
          <w:rFonts w:ascii="Verdana" w:hAnsi="Verdana"/>
          <w:i/>
          <w:sz w:val="20"/>
          <w:szCs w:val="20"/>
        </w:rPr>
        <w:t>commitment</w:t>
      </w:r>
      <w:r>
        <w:rPr>
          <w:rFonts w:ascii="Verdana" w:hAnsi="Verdana"/>
          <w:sz w:val="20"/>
          <w:szCs w:val="20"/>
        </w:rPr>
        <w:t xml:space="preserve"> geeft een sterk signaal aan </w:t>
      </w:r>
      <w:proofErr w:type="spellStart"/>
      <w:r>
        <w:rPr>
          <w:rFonts w:ascii="Verdana" w:hAnsi="Verdana"/>
          <w:sz w:val="20"/>
          <w:szCs w:val="20"/>
        </w:rPr>
        <w:t>Kyiv</w:t>
      </w:r>
      <w:proofErr w:type="spellEnd"/>
      <w:r>
        <w:rPr>
          <w:rFonts w:ascii="Verdana" w:hAnsi="Verdana"/>
          <w:sz w:val="20"/>
          <w:szCs w:val="20"/>
        </w:rPr>
        <w:t>, internationale partners en Moskou dat de EU Oekraïne zal blijven steunen</w:t>
      </w:r>
      <w:r w:rsidRPr="007530FE">
        <w:rPr>
          <w:rFonts w:ascii="Verdana" w:hAnsi="Verdana"/>
          <w:i/>
          <w:iCs/>
          <w:sz w:val="20"/>
          <w:szCs w:val="20"/>
        </w:rPr>
        <w:t xml:space="preserve"> </w:t>
      </w:r>
      <w:r>
        <w:rPr>
          <w:rFonts w:ascii="Verdana" w:hAnsi="Verdana"/>
          <w:i/>
          <w:iCs/>
          <w:sz w:val="20"/>
          <w:szCs w:val="20"/>
        </w:rPr>
        <w:t>for</w:t>
      </w:r>
      <w:r>
        <w:rPr>
          <w:rFonts w:ascii="Verdana" w:hAnsi="Verdana"/>
          <w:sz w:val="20"/>
          <w:szCs w:val="20"/>
        </w:rPr>
        <w:t xml:space="preserve"> </w:t>
      </w:r>
      <w:r>
        <w:rPr>
          <w:rFonts w:ascii="Verdana" w:hAnsi="Verdana"/>
          <w:i/>
          <w:iCs/>
          <w:sz w:val="20"/>
          <w:szCs w:val="20"/>
        </w:rPr>
        <w:t xml:space="preserve">as long as </w:t>
      </w:r>
      <w:proofErr w:type="spellStart"/>
      <w:r>
        <w:rPr>
          <w:rFonts w:ascii="Verdana" w:hAnsi="Verdana"/>
          <w:i/>
          <w:iCs/>
          <w:sz w:val="20"/>
          <w:szCs w:val="20"/>
        </w:rPr>
        <w:t>it</w:t>
      </w:r>
      <w:proofErr w:type="spellEnd"/>
      <w:r>
        <w:rPr>
          <w:rFonts w:ascii="Verdana" w:hAnsi="Verdana"/>
          <w:i/>
          <w:iCs/>
          <w:sz w:val="20"/>
          <w:szCs w:val="20"/>
        </w:rPr>
        <w:t xml:space="preserve"> takes</w:t>
      </w:r>
      <w:r>
        <w:rPr>
          <w:rFonts w:ascii="Verdana" w:hAnsi="Verdana"/>
          <w:sz w:val="20"/>
          <w:szCs w:val="20"/>
        </w:rPr>
        <w:t xml:space="preserve">. </w:t>
      </w:r>
    </w:p>
    <w:p w:rsidRPr="006170CE" w:rsidR="089F6DB7" w:rsidP="00B86B14" w:rsidRDefault="00252DDC" w14:paraId="5AC50AEC" w14:textId="6CC5E878">
      <w:pPr>
        <w:spacing w:after="0" w:line="240" w:lineRule="auto"/>
        <w:rPr>
          <w:rFonts w:ascii="Verdana" w:hAnsi="Verdana" w:eastAsia="Times New Roman"/>
          <w:sz w:val="20"/>
          <w:szCs w:val="20"/>
        </w:rPr>
      </w:pPr>
      <w:r>
        <w:rPr>
          <w:rFonts w:ascii="Verdana" w:hAnsi="Verdana" w:eastAsia="Times New Roman"/>
          <w:sz w:val="20"/>
          <w:szCs w:val="20"/>
        </w:rPr>
        <w:t xml:space="preserve">Het kabinet is ambitieus </w:t>
      </w:r>
      <w:r w:rsidRPr="00A73405">
        <w:rPr>
          <w:rFonts w:ascii="Verdana" w:hAnsi="Verdana" w:eastAsia="Times New Roman"/>
          <w:sz w:val="20"/>
          <w:szCs w:val="20"/>
        </w:rPr>
        <w:t xml:space="preserve">als het gaat om het </w:t>
      </w:r>
      <w:r>
        <w:rPr>
          <w:rFonts w:ascii="Verdana" w:hAnsi="Verdana" w:eastAsia="Times New Roman"/>
          <w:sz w:val="20"/>
          <w:szCs w:val="20"/>
        </w:rPr>
        <w:t xml:space="preserve">verkennen van </w:t>
      </w:r>
      <w:r w:rsidRPr="00A73405">
        <w:rPr>
          <w:rFonts w:ascii="Verdana" w:hAnsi="Verdana" w:eastAsia="Times New Roman"/>
          <w:sz w:val="20"/>
          <w:szCs w:val="20"/>
        </w:rPr>
        <w:t>aanvullende maatregelen o</w:t>
      </w:r>
      <w:r>
        <w:rPr>
          <w:rFonts w:ascii="Verdana" w:hAnsi="Verdana" w:eastAsia="Times New Roman"/>
          <w:sz w:val="20"/>
          <w:szCs w:val="20"/>
        </w:rPr>
        <w:t xml:space="preserve">p basis </w:t>
      </w:r>
      <w:r w:rsidRPr="00A73405">
        <w:rPr>
          <w:rFonts w:ascii="Verdana" w:hAnsi="Verdana" w:eastAsia="Times New Roman"/>
          <w:sz w:val="20"/>
          <w:szCs w:val="20"/>
        </w:rPr>
        <w:t>v</w:t>
      </w:r>
      <w:r>
        <w:rPr>
          <w:rFonts w:ascii="Verdana" w:hAnsi="Verdana" w:eastAsia="Times New Roman"/>
          <w:sz w:val="20"/>
          <w:szCs w:val="20"/>
        </w:rPr>
        <w:t>an</w:t>
      </w:r>
      <w:r w:rsidRPr="00A73405">
        <w:rPr>
          <w:rFonts w:ascii="Verdana" w:hAnsi="Verdana" w:eastAsia="Times New Roman"/>
          <w:sz w:val="20"/>
          <w:szCs w:val="20"/>
        </w:rPr>
        <w:t xml:space="preserve"> geïmmobiliseerde tegoeden van de Russische Centrale Bank</w:t>
      </w:r>
      <w:r>
        <w:rPr>
          <w:rFonts w:ascii="Verdana" w:hAnsi="Verdana" w:eastAsia="Times New Roman"/>
          <w:sz w:val="20"/>
          <w:szCs w:val="20"/>
        </w:rPr>
        <w:t xml:space="preserve"> </w:t>
      </w:r>
      <w:r w:rsidRPr="00A73405">
        <w:rPr>
          <w:rFonts w:ascii="Verdana" w:hAnsi="Verdana" w:eastAsia="Times New Roman"/>
          <w:sz w:val="20"/>
          <w:szCs w:val="20"/>
        </w:rPr>
        <w:t>(</w:t>
      </w:r>
      <w:r>
        <w:rPr>
          <w:rFonts w:ascii="Verdana" w:hAnsi="Verdana" w:eastAsia="Times New Roman"/>
          <w:sz w:val="20"/>
          <w:szCs w:val="20"/>
        </w:rPr>
        <w:t xml:space="preserve">bijvoorbeeld door inzet van de </w:t>
      </w:r>
      <w:r w:rsidRPr="00A73405">
        <w:rPr>
          <w:rFonts w:ascii="Verdana" w:hAnsi="Verdana" w:eastAsia="Times New Roman"/>
          <w:sz w:val="20"/>
          <w:szCs w:val="20"/>
        </w:rPr>
        <w:t>buitengewone rente-inkomsten)</w:t>
      </w:r>
      <w:r>
        <w:rPr>
          <w:rFonts w:ascii="Verdana" w:hAnsi="Verdana" w:eastAsia="Times New Roman"/>
          <w:sz w:val="20"/>
          <w:szCs w:val="20"/>
        </w:rPr>
        <w:t xml:space="preserve">. Het kabinet trekt hierbij samen op met EU- en G7-partners. Het kabinet verwelkomt het voornemen van de G7 om een lening aan Oekraïne te verstrekken op basis van de toekomstige buitengewone rente-inkomsten. </w:t>
      </w:r>
      <w:r w:rsidR="089F6DB7">
        <w:rPr>
          <w:rFonts w:ascii="Verdana" w:hAnsi="Verdana" w:eastAsia="Times New Roman"/>
          <w:sz w:val="20"/>
          <w:szCs w:val="20"/>
        </w:rPr>
        <w:t>Hierbij is het wat het kabinet betreft belangrijk dat de</w:t>
      </w:r>
      <w:r w:rsidRPr="006B6018" w:rsidR="089F6DB7">
        <w:rPr>
          <w:rFonts w:ascii="Verdana" w:hAnsi="Verdana" w:eastAsia="Times New Roman"/>
          <w:sz w:val="20"/>
          <w:szCs w:val="20"/>
        </w:rPr>
        <w:t xml:space="preserve"> gelden, zo mogelijk in consul</w:t>
      </w:r>
      <w:r w:rsidR="002E4EDB">
        <w:rPr>
          <w:rFonts w:ascii="Verdana" w:hAnsi="Verdana" w:eastAsia="Times New Roman"/>
          <w:sz w:val="20"/>
          <w:szCs w:val="20"/>
        </w:rPr>
        <w:t>t</w:t>
      </w:r>
      <w:r w:rsidRPr="006B6018" w:rsidR="089F6DB7">
        <w:rPr>
          <w:rFonts w:ascii="Verdana" w:hAnsi="Verdana" w:eastAsia="Times New Roman"/>
          <w:sz w:val="20"/>
          <w:szCs w:val="20"/>
        </w:rPr>
        <w:t xml:space="preserve">atie met </w:t>
      </w:r>
      <w:r w:rsidR="089F6DB7">
        <w:rPr>
          <w:rFonts w:ascii="Verdana" w:hAnsi="Verdana" w:eastAsia="Times New Roman"/>
          <w:sz w:val="20"/>
          <w:szCs w:val="20"/>
        </w:rPr>
        <w:t>Oekraïne</w:t>
      </w:r>
      <w:r w:rsidRPr="006B6018" w:rsidR="089F6DB7">
        <w:rPr>
          <w:rFonts w:ascii="Verdana" w:hAnsi="Verdana" w:eastAsia="Times New Roman"/>
          <w:sz w:val="20"/>
          <w:szCs w:val="20"/>
        </w:rPr>
        <w:t>, te</w:t>
      </w:r>
      <w:r w:rsidR="00324689">
        <w:rPr>
          <w:rFonts w:ascii="Verdana" w:hAnsi="Verdana" w:eastAsia="Times New Roman"/>
          <w:sz w:val="20"/>
          <w:szCs w:val="20"/>
        </w:rPr>
        <w:t>recht</w:t>
      </w:r>
      <w:r w:rsidRPr="006B6018" w:rsidR="089F6DB7">
        <w:rPr>
          <w:rFonts w:ascii="Verdana" w:hAnsi="Verdana" w:eastAsia="Times New Roman"/>
          <w:sz w:val="20"/>
          <w:szCs w:val="20"/>
        </w:rPr>
        <w:t xml:space="preserve"> </w:t>
      </w:r>
      <w:r w:rsidR="089F6DB7">
        <w:rPr>
          <w:rFonts w:ascii="Verdana" w:hAnsi="Verdana" w:eastAsia="Times New Roman"/>
          <w:sz w:val="20"/>
          <w:szCs w:val="20"/>
        </w:rPr>
        <w:t xml:space="preserve">moeten </w:t>
      </w:r>
      <w:r w:rsidRPr="006B6018" w:rsidR="089F6DB7">
        <w:rPr>
          <w:rFonts w:ascii="Verdana" w:hAnsi="Verdana" w:eastAsia="Times New Roman"/>
          <w:sz w:val="20"/>
          <w:szCs w:val="20"/>
        </w:rPr>
        <w:t xml:space="preserve">komen waar de noden het hoogst zijn. Dit kan militaire steun zijn, maar ook </w:t>
      </w:r>
      <w:r w:rsidR="089F6DB7">
        <w:rPr>
          <w:rFonts w:ascii="Verdana" w:hAnsi="Verdana" w:eastAsia="Times New Roman"/>
          <w:sz w:val="20"/>
          <w:szCs w:val="20"/>
        </w:rPr>
        <w:t xml:space="preserve">financiële of </w:t>
      </w:r>
      <w:r w:rsidRPr="006B6018" w:rsidR="089F6DB7">
        <w:rPr>
          <w:rFonts w:ascii="Verdana" w:hAnsi="Verdana" w:eastAsia="Times New Roman"/>
          <w:sz w:val="20"/>
          <w:szCs w:val="20"/>
        </w:rPr>
        <w:t>wederopbouwsteun of compensatie van schade.</w:t>
      </w:r>
      <w:r w:rsidR="089F6DB7">
        <w:rPr>
          <w:rFonts w:ascii="Verdana" w:hAnsi="Verdana" w:eastAsia="Times New Roman"/>
          <w:sz w:val="20"/>
          <w:szCs w:val="20"/>
        </w:rPr>
        <w:t xml:space="preserve"> Bij de verdere</w:t>
      </w:r>
      <w:r w:rsidRPr="006B6018" w:rsidR="089F6DB7">
        <w:rPr>
          <w:rFonts w:ascii="Verdana" w:hAnsi="Verdana" w:eastAsia="Times New Roman"/>
          <w:sz w:val="20"/>
          <w:szCs w:val="20"/>
        </w:rPr>
        <w:t xml:space="preserve"> uitwerking</w:t>
      </w:r>
      <w:r w:rsidR="089F6DB7">
        <w:rPr>
          <w:rFonts w:ascii="Verdana" w:hAnsi="Verdana" w:eastAsia="Times New Roman"/>
          <w:sz w:val="20"/>
          <w:szCs w:val="20"/>
        </w:rPr>
        <w:t xml:space="preserve"> van de verschillende mogelijkheden</w:t>
      </w:r>
      <w:r w:rsidRPr="006B6018" w:rsidR="089F6DB7">
        <w:rPr>
          <w:rFonts w:ascii="Verdana" w:hAnsi="Verdana" w:eastAsia="Times New Roman"/>
          <w:sz w:val="20"/>
          <w:szCs w:val="20"/>
        </w:rPr>
        <w:t xml:space="preserve"> </w:t>
      </w:r>
      <w:r w:rsidR="089F6DB7">
        <w:rPr>
          <w:rFonts w:ascii="Verdana" w:hAnsi="Verdana" w:eastAsia="Times New Roman"/>
          <w:sz w:val="20"/>
          <w:szCs w:val="20"/>
        </w:rPr>
        <w:t>is het</w:t>
      </w:r>
      <w:r w:rsidRPr="006B6018" w:rsidR="089F6DB7">
        <w:rPr>
          <w:rFonts w:ascii="Verdana" w:hAnsi="Verdana" w:eastAsia="Times New Roman"/>
          <w:sz w:val="20"/>
          <w:szCs w:val="20"/>
        </w:rPr>
        <w:t xml:space="preserve"> van belang dat de nodige zorgvuldigheid wordt betracht</w:t>
      </w:r>
      <w:r w:rsidR="089F6DB7">
        <w:rPr>
          <w:rFonts w:ascii="Verdana" w:hAnsi="Verdana" w:eastAsia="Times New Roman"/>
          <w:sz w:val="20"/>
          <w:szCs w:val="20"/>
        </w:rPr>
        <w:t xml:space="preserve"> en dat risico’s en verantwoordelijkheden zoveel mogelijk gedeeld worden.</w:t>
      </w:r>
      <w:r w:rsidR="00476EE8">
        <w:rPr>
          <w:rFonts w:ascii="Verdana" w:hAnsi="Verdana" w:eastAsia="Times New Roman"/>
          <w:sz w:val="20"/>
          <w:szCs w:val="20"/>
        </w:rPr>
        <w:t xml:space="preserve"> Verdere technische uitwerking van het G7</w:t>
      </w:r>
      <w:r w:rsidR="00324689">
        <w:rPr>
          <w:rFonts w:ascii="Verdana" w:hAnsi="Verdana" w:eastAsia="Times New Roman"/>
          <w:sz w:val="20"/>
          <w:szCs w:val="20"/>
        </w:rPr>
        <w:t>-</w:t>
      </w:r>
      <w:r w:rsidR="00476EE8">
        <w:rPr>
          <w:rFonts w:ascii="Verdana" w:hAnsi="Verdana" w:eastAsia="Times New Roman"/>
          <w:sz w:val="20"/>
          <w:szCs w:val="20"/>
        </w:rPr>
        <w:t xml:space="preserve">voorstel is geboden. Het kabinet zal uw </w:t>
      </w:r>
      <w:r w:rsidR="003673B0">
        <w:rPr>
          <w:rFonts w:ascii="Verdana" w:hAnsi="Verdana" w:eastAsia="Times New Roman"/>
          <w:sz w:val="20"/>
          <w:szCs w:val="20"/>
        </w:rPr>
        <w:t>K</w:t>
      </w:r>
      <w:r w:rsidR="00476EE8">
        <w:rPr>
          <w:rFonts w:ascii="Verdana" w:hAnsi="Verdana" w:eastAsia="Times New Roman"/>
          <w:sz w:val="20"/>
          <w:szCs w:val="20"/>
        </w:rPr>
        <w:t>amer op regelmatige basis informeren over de voortgang hier</w:t>
      </w:r>
      <w:r w:rsidR="00523326">
        <w:rPr>
          <w:rFonts w:ascii="Verdana" w:hAnsi="Verdana" w:eastAsia="Times New Roman"/>
          <w:sz w:val="20"/>
          <w:szCs w:val="20"/>
        </w:rPr>
        <w:t>van</w:t>
      </w:r>
      <w:r w:rsidR="00476EE8">
        <w:rPr>
          <w:rFonts w:ascii="Verdana" w:hAnsi="Verdana" w:eastAsia="Times New Roman"/>
          <w:sz w:val="20"/>
          <w:szCs w:val="20"/>
        </w:rPr>
        <w:t xml:space="preserve">. </w:t>
      </w:r>
    </w:p>
    <w:p w:rsidRPr="00382F80" w:rsidR="00252DDC" w:rsidP="00B86B14" w:rsidRDefault="00252DDC" w14:paraId="7C2C09DB" w14:textId="77777777">
      <w:pPr>
        <w:spacing w:after="0" w:line="240" w:lineRule="auto"/>
        <w:rPr>
          <w:rFonts w:ascii="Verdana" w:hAnsi="Verdana" w:eastAsia="Times New Roman"/>
          <w:sz w:val="20"/>
          <w:szCs w:val="20"/>
        </w:rPr>
      </w:pPr>
    </w:p>
    <w:p w:rsidRPr="00DF3A78" w:rsidR="00DF3A78" w:rsidP="00DF3A78" w:rsidRDefault="00DF3A78" w14:paraId="11977F4F" w14:textId="5DB193D3">
      <w:r w:rsidRPr="00CE1CD4">
        <w:rPr>
          <w:rFonts w:ascii="Verdana" w:hAnsi="Verdana"/>
          <w:sz w:val="20"/>
          <w:szCs w:val="20"/>
        </w:rPr>
        <w:t xml:space="preserve">Het kabinet verwelkomt het akkoord op een ambitieus veertiende sanctiepakket, met meer maatregelen gericht tegen sanctie-omzeiling, de Russische schaduwvloot en maatregelen die het Russische verdienvermogen raken, onder meer in de energiesector. Conform de toezegging aan het lid </w:t>
      </w:r>
      <w:proofErr w:type="spellStart"/>
      <w:r w:rsidRPr="00CE1CD4">
        <w:rPr>
          <w:rFonts w:ascii="Verdana" w:hAnsi="Verdana"/>
          <w:sz w:val="20"/>
          <w:szCs w:val="20"/>
        </w:rPr>
        <w:t>Boswijk</w:t>
      </w:r>
      <w:proofErr w:type="spellEnd"/>
      <w:r w:rsidRPr="00CE1CD4">
        <w:rPr>
          <w:rFonts w:ascii="Verdana" w:hAnsi="Verdana"/>
          <w:sz w:val="20"/>
          <w:szCs w:val="20"/>
        </w:rPr>
        <w:t xml:space="preserve"> zal de Kamer op korte termijn nader worden geïnformeerd over</w:t>
      </w:r>
      <w:r w:rsidRPr="00CE1CD4" w:rsidR="004679E9">
        <w:rPr>
          <w:rFonts w:ascii="Verdana" w:hAnsi="Verdana"/>
          <w:sz w:val="20"/>
          <w:szCs w:val="20"/>
        </w:rPr>
        <w:t xml:space="preserve"> de</w:t>
      </w:r>
      <w:r w:rsidRPr="00CE1CD4">
        <w:rPr>
          <w:rFonts w:ascii="Verdana" w:hAnsi="Verdana"/>
          <w:sz w:val="20"/>
          <w:szCs w:val="20"/>
        </w:rPr>
        <w:t xml:space="preserve"> specifieke maatregelen ten aanzien van het tegengaan van de Russische schaduwvloot.</w:t>
      </w:r>
    </w:p>
    <w:p w:rsidRPr="00382F80" w:rsidR="00937AD5" w:rsidP="00B86B14" w:rsidRDefault="00937AD5" w14:paraId="00F6F9D1" w14:textId="77777777">
      <w:pPr>
        <w:spacing w:after="0" w:line="240" w:lineRule="auto"/>
        <w:rPr>
          <w:rFonts w:ascii="Verdana" w:hAnsi="Verdana" w:eastAsia="Times New Roman"/>
          <w:sz w:val="20"/>
          <w:szCs w:val="20"/>
        </w:rPr>
      </w:pPr>
    </w:p>
    <w:p w:rsidR="00FD1B0D" w:rsidP="00B86B14" w:rsidRDefault="00252DDC" w14:paraId="2057947F" w14:textId="77777777">
      <w:pPr>
        <w:spacing w:line="240" w:lineRule="auto"/>
        <w:rPr>
          <w:rFonts w:ascii="Verdana" w:hAnsi="Verdana"/>
          <w:i/>
          <w:iCs/>
          <w:sz w:val="20"/>
          <w:szCs w:val="20"/>
        </w:rPr>
      </w:pPr>
      <w:bookmarkStart w:name="_Hlk169530989" w:id="0"/>
      <w:r>
        <w:rPr>
          <w:rFonts w:ascii="Verdana" w:hAnsi="Verdana"/>
          <w:i/>
          <w:iCs/>
          <w:sz w:val="20"/>
          <w:szCs w:val="20"/>
        </w:rPr>
        <w:t xml:space="preserve">Situatie in het </w:t>
      </w:r>
      <w:r w:rsidRPr="0FE159DC">
        <w:rPr>
          <w:rFonts w:ascii="Verdana" w:hAnsi="Verdana"/>
          <w:i/>
          <w:iCs/>
          <w:sz w:val="20"/>
          <w:szCs w:val="20"/>
        </w:rPr>
        <w:t>Midden</w:t>
      </w:r>
      <w:r>
        <w:rPr>
          <w:rFonts w:ascii="Verdana" w:hAnsi="Verdana"/>
          <w:i/>
          <w:iCs/>
          <w:sz w:val="20"/>
          <w:szCs w:val="20"/>
        </w:rPr>
        <w:t>-</w:t>
      </w:r>
      <w:r w:rsidRPr="0FE159DC">
        <w:rPr>
          <w:rFonts w:ascii="Verdana" w:hAnsi="Verdana"/>
          <w:i/>
          <w:iCs/>
          <w:sz w:val="20"/>
          <w:szCs w:val="20"/>
        </w:rPr>
        <w:t xml:space="preserve">Oosten </w:t>
      </w:r>
    </w:p>
    <w:p w:rsidRPr="006170CE" w:rsidR="4F8D5EA7" w:rsidP="00B86B14" w:rsidRDefault="5B244AD6" w14:paraId="123E0440" w14:textId="6C43A949">
      <w:pPr>
        <w:spacing w:line="240" w:lineRule="auto"/>
        <w:rPr>
          <w:rFonts w:ascii="Verdana" w:hAnsi="Verdana"/>
          <w:sz w:val="20"/>
          <w:szCs w:val="20"/>
          <w:highlight w:val="yellow"/>
        </w:rPr>
      </w:pPr>
      <w:r>
        <w:rPr>
          <w:rFonts w:ascii="Verdana" w:hAnsi="Verdana" w:eastAsia="Verdana" w:cs="Verdana"/>
          <w:sz w:val="20"/>
          <w:szCs w:val="20"/>
        </w:rPr>
        <w:t xml:space="preserve">De Europese Raad zal stilstaan bij de situatie in het </w:t>
      </w:r>
      <w:r w:rsidRPr="00380A11">
        <w:rPr>
          <w:rFonts w:ascii="Verdana" w:hAnsi="Verdana" w:eastAsia="Verdana" w:cs="Verdana"/>
          <w:sz w:val="20"/>
          <w:szCs w:val="20"/>
        </w:rPr>
        <w:t>Midden</w:t>
      </w:r>
      <w:r w:rsidRPr="00380A11" w:rsidR="00CA3BA7">
        <w:rPr>
          <w:rFonts w:ascii="Verdana" w:hAnsi="Verdana" w:eastAsia="Verdana" w:cs="Verdana"/>
          <w:sz w:val="20"/>
          <w:szCs w:val="20"/>
        </w:rPr>
        <w:t>-Oosten</w:t>
      </w:r>
      <w:r w:rsidRPr="003568D4">
        <w:rPr>
          <w:rFonts w:ascii="Verdana" w:hAnsi="Verdana"/>
          <w:sz w:val="20"/>
          <w:szCs w:val="20"/>
        </w:rPr>
        <w:t>.</w:t>
      </w:r>
      <w:r w:rsidRPr="003568D4" w:rsidR="00DF3051">
        <w:rPr>
          <w:rStyle w:val="FootnoteReference"/>
          <w:rFonts w:ascii="Verdana" w:hAnsi="Verdana"/>
          <w:sz w:val="20"/>
          <w:szCs w:val="20"/>
        </w:rPr>
        <w:footnoteReference w:id="3"/>
      </w:r>
      <w:r w:rsidRPr="003568D4">
        <w:rPr>
          <w:rFonts w:ascii="Verdana" w:hAnsi="Verdana"/>
          <w:sz w:val="20"/>
          <w:szCs w:val="20"/>
        </w:rPr>
        <w:t xml:space="preserve"> </w:t>
      </w:r>
      <w:r w:rsidR="00252DDC">
        <w:rPr>
          <w:rFonts w:ascii="Verdana" w:hAnsi="Verdana" w:eastAsia="Verdana" w:cs="Verdana"/>
          <w:sz w:val="20"/>
          <w:szCs w:val="20"/>
        </w:rPr>
        <w:t>Het kabinet</w:t>
      </w:r>
      <w:r w:rsidRPr="0FE159DC" w:rsidR="00252DDC">
        <w:rPr>
          <w:rFonts w:ascii="Verdana" w:hAnsi="Verdana" w:eastAsia="Verdana" w:cs="Verdana"/>
          <w:sz w:val="20"/>
          <w:szCs w:val="20"/>
        </w:rPr>
        <w:t xml:space="preserve"> zal binnen de EU blijven pleiten voor een onmiddellijk staakt-het-vuren</w:t>
      </w:r>
      <w:r w:rsidR="00252DDC">
        <w:rPr>
          <w:rFonts w:ascii="Verdana" w:hAnsi="Verdana" w:eastAsia="Verdana" w:cs="Verdana"/>
          <w:sz w:val="20"/>
          <w:szCs w:val="20"/>
        </w:rPr>
        <w:t xml:space="preserve"> in lijn met resolutie 2735 van de VN</w:t>
      </w:r>
      <w:r w:rsidR="00324689">
        <w:rPr>
          <w:rFonts w:ascii="Verdana" w:hAnsi="Verdana" w:eastAsia="Verdana" w:cs="Verdana"/>
          <w:sz w:val="20"/>
          <w:szCs w:val="20"/>
        </w:rPr>
        <w:t>-</w:t>
      </w:r>
      <w:r w:rsidR="00252DDC">
        <w:rPr>
          <w:rFonts w:ascii="Verdana" w:hAnsi="Verdana" w:eastAsia="Verdana" w:cs="Verdana"/>
          <w:sz w:val="20"/>
          <w:szCs w:val="20"/>
        </w:rPr>
        <w:t xml:space="preserve">veiligheidsraad, dat moet leiden tot het vrijlaten </w:t>
      </w:r>
      <w:r w:rsidDel="00EA6BE5" w:rsidR="00252DDC">
        <w:rPr>
          <w:rFonts w:ascii="Verdana" w:hAnsi="Verdana" w:eastAsia="Verdana" w:cs="Verdana"/>
          <w:sz w:val="20"/>
          <w:szCs w:val="20"/>
        </w:rPr>
        <w:t xml:space="preserve">van </w:t>
      </w:r>
      <w:r w:rsidR="00252DDC">
        <w:rPr>
          <w:rFonts w:ascii="Verdana" w:hAnsi="Verdana" w:eastAsia="Verdana" w:cs="Verdana"/>
          <w:sz w:val="20"/>
          <w:szCs w:val="20"/>
        </w:rPr>
        <w:t xml:space="preserve">de gegijzelden en </w:t>
      </w:r>
      <w:r w:rsidRPr="0FE159DC" w:rsidR="00252DDC">
        <w:rPr>
          <w:rFonts w:ascii="Verdana" w:hAnsi="Verdana" w:eastAsia="Verdana" w:cs="Verdana"/>
          <w:sz w:val="20"/>
          <w:szCs w:val="20"/>
        </w:rPr>
        <w:lastRenderedPageBreak/>
        <w:t>een drastische toename van ongehinderde humanitaire hulp</w:t>
      </w:r>
      <w:r w:rsidR="00252DDC">
        <w:rPr>
          <w:rFonts w:ascii="Verdana" w:hAnsi="Verdana" w:eastAsia="Verdana" w:cs="Verdana"/>
          <w:sz w:val="20"/>
          <w:szCs w:val="20"/>
        </w:rPr>
        <w:t xml:space="preserve">. </w:t>
      </w:r>
      <w:bookmarkStart w:name="_Hlk169521397" w:id="1"/>
      <w:r w:rsidR="00252DDC">
        <w:rPr>
          <w:rFonts w:ascii="Verdana" w:hAnsi="Verdana" w:eastAsia="Verdana" w:cs="Verdana"/>
          <w:sz w:val="20"/>
          <w:szCs w:val="20"/>
        </w:rPr>
        <w:t>Deze resolutie is in lijn met het</w:t>
      </w:r>
      <w:r w:rsidRPr="0FE159DC" w:rsidR="00252DDC">
        <w:rPr>
          <w:rFonts w:ascii="Verdana" w:hAnsi="Verdana" w:eastAsia="Verdana" w:cs="Verdana"/>
          <w:sz w:val="20"/>
          <w:szCs w:val="20"/>
        </w:rPr>
        <w:t xml:space="preserve"> door </w:t>
      </w:r>
      <w:r w:rsidR="00324689">
        <w:rPr>
          <w:rFonts w:ascii="Verdana" w:hAnsi="Verdana" w:eastAsia="Verdana" w:cs="Verdana"/>
          <w:sz w:val="20"/>
          <w:szCs w:val="20"/>
        </w:rPr>
        <w:t>p</w:t>
      </w:r>
      <w:r w:rsidR="00252DDC">
        <w:rPr>
          <w:rFonts w:ascii="Verdana" w:hAnsi="Verdana" w:eastAsia="Verdana" w:cs="Verdana"/>
          <w:sz w:val="20"/>
          <w:szCs w:val="20"/>
        </w:rPr>
        <w:t xml:space="preserve">resident </w:t>
      </w:r>
      <w:proofErr w:type="spellStart"/>
      <w:r w:rsidRPr="0FE159DC" w:rsidR="00252DDC">
        <w:rPr>
          <w:rFonts w:ascii="Verdana" w:hAnsi="Verdana" w:eastAsia="Verdana" w:cs="Verdana"/>
          <w:sz w:val="20"/>
          <w:szCs w:val="20"/>
        </w:rPr>
        <w:t>Biden</w:t>
      </w:r>
      <w:proofErr w:type="spellEnd"/>
      <w:r w:rsidRPr="0FE159DC" w:rsidR="00252DDC">
        <w:rPr>
          <w:rFonts w:ascii="Verdana" w:hAnsi="Verdana" w:eastAsia="Verdana" w:cs="Verdana"/>
          <w:sz w:val="20"/>
          <w:szCs w:val="20"/>
        </w:rPr>
        <w:t xml:space="preserve"> gepresenteerde vredesplan (</w:t>
      </w:r>
      <w:r w:rsidRPr="00D923B5" w:rsidR="00252DDC">
        <w:rPr>
          <w:rFonts w:ascii="Verdana" w:hAnsi="Verdana" w:eastAsia="Verdana" w:cs="Verdana"/>
          <w:i/>
          <w:sz w:val="20"/>
          <w:szCs w:val="20"/>
        </w:rPr>
        <w:t xml:space="preserve">Gaza </w:t>
      </w:r>
      <w:proofErr w:type="spellStart"/>
      <w:r w:rsidRPr="00D923B5" w:rsidR="00252DDC">
        <w:rPr>
          <w:rFonts w:ascii="Verdana" w:hAnsi="Verdana" w:eastAsia="Verdana" w:cs="Verdana"/>
          <w:i/>
          <w:sz w:val="20"/>
          <w:szCs w:val="20"/>
        </w:rPr>
        <w:t>Peace</w:t>
      </w:r>
      <w:proofErr w:type="spellEnd"/>
      <w:r w:rsidRPr="00D923B5" w:rsidR="00252DDC">
        <w:rPr>
          <w:rFonts w:ascii="Verdana" w:hAnsi="Verdana" w:eastAsia="Verdana" w:cs="Verdana"/>
          <w:i/>
          <w:sz w:val="20"/>
          <w:szCs w:val="20"/>
        </w:rPr>
        <w:t xml:space="preserve"> Plan</w:t>
      </w:r>
      <w:r w:rsidRPr="0FE159DC" w:rsidR="00252DDC">
        <w:rPr>
          <w:rFonts w:ascii="Verdana" w:hAnsi="Verdana" w:eastAsia="Verdana" w:cs="Verdana"/>
          <w:sz w:val="20"/>
          <w:szCs w:val="20"/>
        </w:rPr>
        <w:t>)</w:t>
      </w:r>
      <w:r w:rsidR="00252DDC">
        <w:rPr>
          <w:rFonts w:ascii="Verdana" w:hAnsi="Verdana" w:eastAsia="Verdana" w:cs="Verdana"/>
          <w:sz w:val="20"/>
          <w:szCs w:val="20"/>
        </w:rPr>
        <w:t>. Het kabinet roept EU-lidstaten op hier steun voor uit te spreken en roept betrokkenen op zich hier direct aan te binden. Nederland blijft daarnaast oproepen</w:t>
      </w:r>
      <w:r w:rsidR="00324689">
        <w:rPr>
          <w:rFonts w:ascii="Verdana" w:hAnsi="Verdana" w:eastAsia="Verdana" w:cs="Verdana"/>
          <w:sz w:val="20"/>
          <w:szCs w:val="20"/>
        </w:rPr>
        <w:t xml:space="preserve"> tot </w:t>
      </w:r>
      <w:r w:rsidR="00252DDC">
        <w:rPr>
          <w:rFonts w:ascii="Verdana" w:hAnsi="Verdana" w:eastAsia="Verdana" w:cs="Verdana"/>
          <w:sz w:val="20"/>
          <w:szCs w:val="20"/>
        </w:rPr>
        <w:t>de naleving van de door het Internationaal Gerechtshof bepaalde voorlopige maatregelen waarbij operaties in Rafah direct moeten worden gestaakt. Ook blijft Nederland aandacht vragen en zorgen uiten over het bestaande risico op een verdere regionale escalatie van het conflict</w:t>
      </w:r>
      <w:r w:rsidRPr="03C17B54" w:rsidR="00252DDC">
        <w:rPr>
          <w:rFonts w:ascii="Verdana" w:hAnsi="Verdana" w:eastAsia="Verdana" w:cs="Verdana"/>
          <w:sz w:val="20"/>
          <w:szCs w:val="20"/>
        </w:rPr>
        <w:t xml:space="preserve">. </w:t>
      </w:r>
      <w:bookmarkEnd w:id="0"/>
      <w:bookmarkEnd w:id="1"/>
    </w:p>
    <w:p w:rsidR="00B148C2" w:rsidP="00B86B14" w:rsidRDefault="5C7864BE" w14:paraId="10573DA3" w14:textId="3976069B">
      <w:pPr>
        <w:spacing w:line="240" w:lineRule="auto"/>
        <w:rPr>
          <w:rFonts w:ascii="Verdana" w:hAnsi="Verdana"/>
          <w:sz w:val="20"/>
          <w:szCs w:val="20"/>
        </w:rPr>
      </w:pPr>
      <w:r w:rsidRPr="5C7864BE">
        <w:rPr>
          <w:rFonts w:ascii="Verdana" w:hAnsi="Verdana"/>
          <w:i/>
          <w:iCs/>
          <w:sz w:val="20"/>
          <w:szCs w:val="20"/>
        </w:rPr>
        <w:t>Veiligheid en Defensie</w:t>
      </w:r>
      <w:r w:rsidRPr="5C7864BE">
        <w:rPr>
          <w:rFonts w:ascii="Verdana" w:hAnsi="Verdana"/>
          <w:sz w:val="20"/>
          <w:szCs w:val="20"/>
        </w:rPr>
        <w:t xml:space="preserve"> </w:t>
      </w:r>
      <w:r w:rsidR="00252DDC">
        <w:br/>
      </w:r>
      <w:r w:rsidR="008E1950">
        <w:rPr>
          <w:rFonts w:ascii="Verdana" w:hAnsi="Verdana"/>
          <w:sz w:val="20"/>
          <w:szCs w:val="20"/>
        </w:rPr>
        <w:t xml:space="preserve">De ER zal stilstaan bij de versterking van de defensie-industrie. Tijdens de ER van 21 en 22 maart jl. is afgesproken dat de EU zich zou inspannen voor het verbeteren van de toegang van de Europese defensie-industrie tot publieke en private financiering. In deze context verzocht de ER de Raad en de </w:t>
      </w:r>
      <w:r w:rsidRPr="00DF3A78" w:rsidR="008E1950">
        <w:rPr>
          <w:rFonts w:ascii="Verdana" w:hAnsi="Verdana"/>
          <w:sz w:val="20"/>
          <w:szCs w:val="20"/>
        </w:rPr>
        <w:t xml:space="preserve">Commissie opties voor het mobiliseren van financiering te onderzoeken en uiterlijk in juni 2024 verslag uit te brengen. </w:t>
      </w:r>
      <w:r w:rsidRPr="000D13B1" w:rsidR="00DF3A78">
        <w:rPr>
          <w:rFonts w:ascii="Verdana" w:hAnsi="Verdana"/>
          <w:color w:val="000000"/>
          <w:sz w:val="20"/>
          <w:szCs w:val="20"/>
        </w:rPr>
        <w:t xml:space="preserve">De Commissie zal </w:t>
      </w:r>
      <w:r w:rsidRPr="000D13B1" w:rsidR="00DF3A78">
        <w:rPr>
          <w:rFonts w:ascii="Verdana" w:hAnsi="Verdana"/>
          <w:sz w:val="20"/>
          <w:szCs w:val="20"/>
        </w:rPr>
        <w:t xml:space="preserve">naar verwachting voorafgaand aan de ER </w:t>
      </w:r>
      <w:r w:rsidRPr="000D13B1" w:rsidR="00DF3A78">
        <w:rPr>
          <w:rFonts w:ascii="Verdana" w:hAnsi="Verdana"/>
          <w:color w:val="000000"/>
          <w:sz w:val="20"/>
          <w:szCs w:val="20"/>
        </w:rPr>
        <w:t xml:space="preserve">een notitie delen met opties voor financiering van de defensie-industrie. Het kabinet zal </w:t>
      </w:r>
      <w:r w:rsidRPr="000D13B1" w:rsidR="00DF3A78">
        <w:rPr>
          <w:rFonts w:ascii="Verdana" w:hAnsi="Verdana"/>
          <w:sz w:val="20"/>
          <w:szCs w:val="20"/>
        </w:rPr>
        <w:t>de Kamer hierover informeren</w:t>
      </w:r>
      <w:r w:rsidRPr="000D13B1" w:rsidR="00DF3A78">
        <w:rPr>
          <w:rFonts w:ascii="Verdana" w:hAnsi="Verdana"/>
          <w:color w:val="000000"/>
          <w:sz w:val="20"/>
          <w:szCs w:val="20"/>
        </w:rPr>
        <w:t xml:space="preserve"> in het verslag van de ER. In het kader van financiering van de defensie-industrie</w:t>
      </w:r>
      <w:r w:rsidRPr="000D13B1" w:rsidR="008E1950">
        <w:rPr>
          <w:rFonts w:ascii="Verdana" w:hAnsi="Verdana"/>
          <w:color w:val="000000"/>
          <w:sz w:val="20"/>
          <w:szCs w:val="20"/>
        </w:rPr>
        <w:t xml:space="preserve"> </w:t>
      </w:r>
      <w:r w:rsidRPr="000D13B1" w:rsidR="008E1950">
        <w:rPr>
          <w:rFonts w:ascii="Verdana" w:hAnsi="Verdana"/>
          <w:sz w:val="20"/>
          <w:szCs w:val="20"/>
        </w:rPr>
        <w:t>is</w:t>
      </w:r>
      <w:r w:rsidRPr="00DF3A78" w:rsidR="008E1950">
        <w:rPr>
          <w:rFonts w:ascii="Verdana" w:hAnsi="Verdana"/>
          <w:sz w:val="20"/>
          <w:szCs w:val="20"/>
        </w:rPr>
        <w:t xml:space="preserve"> het voor het kabinet van belang dat allereerst een inventarisatie van de behoeften wordt uitgevoerd, alvorens nieuwe financieringsinstrumenten worden overwogen. Ten tweede pleit het kabinet voor</w:t>
      </w:r>
      <w:r w:rsidR="008E1950">
        <w:rPr>
          <w:rFonts w:ascii="Verdana" w:hAnsi="Verdana"/>
          <w:sz w:val="20"/>
          <w:szCs w:val="20"/>
        </w:rPr>
        <w:t xml:space="preserve"> maatregelen die niet zozeer betrekking hebben op financiering, maar het bevorderen van de interne markt voor defensieproducten, zoals meer grensoverschrijdende industriële samenwerking en eerlijke concurrentie in de toeleveringsketens van de defensie-industrie. Daar waar op basis van de </w:t>
      </w:r>
      <w:proofErr w:type="spellStart"/>
      <w:r w:rsidR="008E1950">
        <w:rPr>
          <w:rFonts w:ascii="Verdana" w:hAnsi="Verdana"/>
          <w:i/>
          <w:iCs/>
          <w:sz w:val="20"/>
          <w:szCs w:val="20"/>
        </w:rPr>
        <w:t>needs</w:t>
      </w:r>
      <w:proofErr w:type="spellEnd"/>
      <w:r w:rsidR="008E1950">
        <w:rPr>
          <w:rFonts w:ascii="Verdana" w:hAnsi="Verdana"/>
          <w:i/>
          <w:iCs/>
          <w:sz w:val="20"/>
          <w:szCs w:val="20"/>
        </w:rPr>
        <w:t xml:space="preserve"> assessment </w:t>
      </w:r>
      <w:r w:rsidR="008E1950">
        <w:rPr>
          <w:rFonts w:ascii="Verdana" w:hAnsi="Verdana"/>
          <w:sz w:val="20"/>
          <w:szCs w:val="20"/>
        </w:rPr>
        <w:t xml:space="preserve">wel financiering nodig blijkt, is het van belang de juiste financieringsvormen te vinden die aansluiten bij de uitdagingen die moeten worden aangepakt. In eerste instantie kijkt het kabinet daarbij naar private financiering. Het kabinet is voorstander van het vergroten van de toegang voor de defensie-industrie tot privaat kapitaal. Vervolgens kan aanvullende publieke financiering worden overwogen. Uitgangspunt hierbij is dat EU-lidstaten minimaal de 2% NAVO-norm behalen. Ook verwelkomt het kabinet de verbreding van het mandaat van de Europese Investeringsbank (EIB) naar </w:t>
      </w:r>
      <w:proofErr w:type="spellStart"/>
      <w:r w:rsidR="008E1950">
        <w:rPr>
          <w:rFonts w:ascii="Verdana" w:hAnsi="Verdana"/>
          <w:i/>
          <w:iCs/>
          <w:sz w:val="20"/>
          <w:szCs w:val="20"/>
        </w:rPr>
        <w:t>dual</w:t>
      </w:r>
      <w:proofErr w:type="spellEnd"/>
      <w:r w:rsidR="008E1950">
        <w:rPr>
          <w:rFonts w:ascii="Verdana" w:hAnsi="Verdana"/>
          <w:i/>
          <w:iCs/>
          <w:sz w:val="20"/>
          <w:szCs w:val="20"/>
        </w:rPr>
        <w:t xml:space="preserve"> </w:t>
      </w:r>
      <w:proofErr w:type="spellStart"/>
      <w:r w:rsidR="008E1950">
        <w:rPr>
          <w:rFonts w:ascii="Verdana" w:hAnsi="Verdana"/>
          <w:i/>
          <w:iCs/>
          <w:sz w:val="20"/>
          <w:szCs w:val="20"/>
        </w:rPr>
        <w:t>use</w:t>
      </w:r>
      <w:proofErr w:type="spellEnd"/>
      <w:r w:rsidR="008E1950">
        <w:rPr>
          <w:rFonts w:ascii="Verdana" w:hAnsi="Verdana"/>
          <w:sz w:val="20"/>
          <w:szCs w:val="20"/>
        </w:rPr>
        <w:t>, waarover hieronder meer</w:t>
      </w:r>
      <w:r w:rsidR="008E1950">
        <w:rPr>
          <w:rFonts w:ascii="Verdana" w:hAnsi="Verdana"/>
          <w:i/>
          <w:iCs/>
          <w:sz w:val="20"/>
          <w:szCs w:val="20"/>
        </w:rPr>
        <w:t xml:space="preserve">. </w:t>
      </w:r>
      <w:r w:rsidR="008E1950">
        <w:rPr>
          <w:rFonts w:ascii="Verdana" w:hAnsi="Verdana"/>
          <w:sz w:val="20"/>
          <w:szCs w:val="20"/>
        </w:rPr>
        <w:t>Het kabinet benadrukt geen voorstander te zijn van het aangaan van nieuwe gemeenschappelijke schulden ten behoeve van de defensie-industrie.</w:t>
      </w:r>
    </w:p>
    <w:p w:rsidR="00252DDC" w:rsidP="00B86B14" w:rsidRDefault="00252DDC" w14:paraId="465EA1A8" w14:textId="572A6450">
      <w:pPr>
        <w:spacing w:line="240" w:lineRule="auto"/>
        <w:rPr>
          <w:rFonts w:ascii="Verdana" w:hAnsi="Verdana"/>
          <w:sz w:val="20"/>
          <w:szCs w:val="20"/>
        </w:rPr>
      </w:pPr>
      <w:r>
        <w:rPr>
          <w:rFonts w:ascii="Verdana" w:hAnsi="Verdana"/>
          <w:sz w:val="20"/>
          <w:szCs w:val="20"/>
        </w:rPr>
        <w:t>Met deze brief komt het kabinet terug op de toezegging gedaan tijdens het debat over de Staat van de Unie van 16 mei jl., inzake de financiering van de defensie-industrie door pensioenfondsen en verzekeraars. Het kabinet</w:t>
      </w:r>
      <w:r w:rsidRPr="00EE1489">
        <w:rPr>
          <w:rFonts w:ascii="Verdana" w:hAnsi="Verdana"/>
          <w:sz w:val="20"/>
          <w:szCs w:val="20"/>
        </w:rPr>
        <w:t xml:space="preserve"> </w:t>
      </w:r>
      <w:r>
        <w:rPr>
          <w:rFonts w:ascii="Verdana" w:hAnsi="Verdana"/>
          <w:sz w:val="20"/>
          <w:szCs w:val="20"/>
        </w:rPr>
        <w:t>is</w:t>
      </w:r>
      <w:r w:rsidRPr="00EE1489">
        <w:rPr>
          <w:rFonts w:ascii="Verdana" w:hAnsi="Verdana"/>
          <w:sz w:val="20"/>
          <w:szCs w:val="20"/>
        </w:rPr>
        <w:t xml:space="preserve"> in gesprek met pensioenfondsen, verzekeraars en banken om te bespreken waar mogelijk knelpunten </w:t>
      </w:r>
      <w:r w:rsidR="008A5A79">
        <w:rPr>
          <w:rFonts w:ascii="Verdana" w:hAnsi="Verdana"/>
          <w:sz w:val="20"/>
          <w:szCs w:val="20"/>
        </w:rPr>
        <w:t>bestaan</w:t>
      </w:r>
      <w:r w:rsidRPr="00EE1489">
        <w:rPr>
          <w:rFonts w:ascii="Verdana" w:hAnsi="Verdana"/>
          <w:sz w:val="20"/>
          <w:szCs w:val="20"/>
        </w:rPr>
        <w:t xml:space="preserve"> t</w:t>
      </w:r>
      <w:r>
        <w:rPr>
          <w:rFonts w:ascii="Verdana" w:hAnsi="Verdana"/>
          <w:sz w:val="20"/>
          <w:szCs w:val="20"/>
        </w:rPr>
        <w:t>en aanzien van</w:t>
      </w:r>
      <w:r w:rsidRPr="00EE1489">
        <w:rPr>
          <w:rFonts w:ascii="Verdana" w:hAnsi="Verdana"/>
          <w:sz w:val="20"/>
          <w:szCs w:val="20"/>
        </w:rPr>
        <w:t xml:space="preserve"> financiering van de defensie-industrie</w:t>
      </w:r>
      <w:r w:rsidRPr="000233E2" w:rsidR="000233E2">
        <w:rPr>
          <w:rFonts w:ascii="Verdana" w:hAnsi="Verdana"/>
          <w:sz w:val="20"/>
          <w:szCs w:val="20"/>
        </w:rPr>
        <w:t xml:space="preserve"> </w:t>
      </w:r>
      <w:r w:rsidRPr="007E7797" w:rsidR="000233E2">
        <w:rPr>
          <w:rFonts w:ascii="Verdana" w:hAnsi="Verdana"/>
          <w:sz w:val="20"/>
          <w:szCs w:val="20"/>
        </w:rPr>
        <w:t>en om met hen te verkennen of meer financiering van defensiebedrijven door Nederlandse financiële instellingen mogelijk is om groei van defensiebedrijven te faciliteren. Naast deze gesprekken voer</w:t>
      </w:r>
      <w:r w:rsidR="000233E2">
        <w:rPr>
          <w:rFonts w:ascii="Verdana" w:hAnsi="Verdana"/>
          <w:sz w:val="20"/>
          <w:szCs w:val="20"/>
        </w:rPr>
        <w:t>t het kabinet</w:t>
      </w:r>
      <w:r w:rsidRPr="007E7797" w:rsidR="000233E2">
        <w:rPr>
          <w:rFonts w:ascii="Verdana" w:hAnsi="Verdana"/>
          <w:sz w:val="20"/>
          <w:szCs w:val="20"/>
        </w:rPr>
        <w:t xml:space="preserve"> ook breder onderzoek uit naar de oorzaken van mogelijke knelpunten</w:t>
      </w:r>
      <w:r>
        <w:rPr>
          <w:rFonts w:ascii="Verdana" w:hAnsi="Verdana"/>
          <w:sz w:val="20"/>
          <w:szCs w:val="20"/>
        </w:rPr>
        <w:t>.</w:t>
      </w:r>
      <w:r w:rsidRPr="00EE1489">
        <w:rPr>
          <w:rFonts w:ascii="Verdana" w:hAnsi="Verdana"/>
          <w:sz w:val="20"/>
          <w:szCs w:val="20"/>
        </w:rPr>
        <w:t xml:space="preserve"> </w:t>
      </w:r>
      <w:r>
        <w:rPr>
          <w:rFonts w:ascii="Verdana" w:hAnsi="Verdana"/>
          <w:sz w:val="20"/>
          <w:szCs w:val="20"/>
        </w:rPr>
        <w:t>Het kabinet zal uw</w:t>
      </w:r>
      <w:r w:rsidRPr="00EE1489">
        <w:rPr>
          <w:rFonts w:ascii="Verdana" w:hAnsi="Verdana"/>
          <w:sz w:val="20"/>
          <w:szCs w:val="20"/>
        </w:rPr>
        <w:t xml:space="preserve"> Kamer in </w:t>
      </w:r>
      <w:r>
        <w:rPr>
          <w:rFonts w:ascii="Verdana" w:hAnsi="Verdana"/>
          <w:sz w:val="20"/>
          <w:szCs w:val="20"/>
        </w:rPr>
        <w:t>het derde kwartaal</w:t>
      </w:r>
      <w:r w:rsidRPr="00EE1489">
        <w:rPr>
          <w:rFonts w:ascii="Verdana" w:hAnsi="Verdana"/>
          <w:sz w:val="20"/>
          <w:szCs w:val="20"/>
        </w:rPr>
        <w:t xml:space="preserve"> </w:t>
      </w:r>
      <w:r>
        <w:rPr>
          <w:rFonts w:ascii="Verdana" w:hAnsi="Verdana"/>
          <w:sz w:val="20"/>
          <w:szCs w:val="20"/>
        </w:rPr>
        <w:t xml:space="preserve">informeren </w:t>
      </w:r>
      <w:r w:rsidRPr="00EE1489">
        <w:rPr>
          <w:rFonts w:ascii="Verdana" w:hAnsi="Verdana"/>
          <w:sz w:val="20"/>
          <w:szCs w:val="20"/>
        </w:rPr>
        <w:t>over de uitkomsten van dit onderzoek en de mogelijkheden om deze knelpunten weg te nemen.</w:t>
      </w:r>
    </w:p>
    <w:p w:rsidRPr="00253CF2" w:rsidR="000233E2" w:rsidP="00B86B14" w:rsidRDefault="000948C3" w14:paraId="50EC5BED" w14:textId="64DC3B1C">
      <w:pPr>
        <w:spacing w:after="0" w:line="240" w:lineRule="auto"/>
        <w:rPr>
          <w:rFonts w:ascii="Verdana" w:hAnsi="Verdana"/>
          <w:sz w:val="20"/>
          <w:szCs w:val="20"/>
        </w:rPr>
      </w:pPr>
      <w:r>
        <w:rPr>
          <w:rFonts w:ascii="Verdana" w:hAnsi="Verdana"/>
          <w:sz w:val="20"/>
          <w:szCs w:val="20"/>
        </w:rPr>
        <w:t xml:space="preserve">Tevens </w:t>
      </w:r>
      <w:r w:rsidRPr="00253CF2" w:rsidR="002E6E0C">
        <w:rPr>
          <w:rFonts w:ascii="Verdana" w:hAnsi="Verdana"/>
          <w:sz w:val="20"/>
          <w:szCs w:val="20"/>
        </w:rPr>
        <w:t xml:space="preserve">komt het kabinet </w:t>
      </w:r>
      <w:r>
        <w:rPr>
          <w:rFonts w:ascii="Verdana" w:hAnsi="Verdana"/>
          <w:sz w:val="20"/>
          <w:szCs w:val="20"/>
        </w:rPr>
        <w:t xml:space="preserve">met deze brief </w:t>
      </w:r>
      <w:r w:rsidRPr="00253CF2" w:rsidR="002E6E0C">
        <w:rPr>
          <w:rFonts w:ascii="Verdana" w:hAnsi="Verdana"/>
          <w:sz w:val="20"/>
          <w:szCs w:val="20"/>
        </w:rPr>
        <w:t>terug op de toezegging gedaan tijdens het debat over de Staat van de Unie van 16 mei jl., inzake de financiering van de defensie-industrie door de E</w:t>
      </w:r>
      <w:r w:rsidR="000A5FF2">
        <w:rPr>
          <w:rFonts w:ascii="Verdana" w:hAnsi="Verdana"/>
          <w:sz w:val="20"/>
          <w:szCs w:val="20"/>
        </w:rPr>
        <w:t>uropese investeringsbank (EIB)</w:t>
      </w:r>
      <w:r w:rsidR="006D2233">
        <w:rPr>
          <w:rFonts w:ascii="Verdana" w:hAnsi="Verdana"/>
          <w:sz w:val="20"/>
          <w:szCs w:val="20"/>
        </w:rPr>
        <w:t xml:space="preserve"> en </w:t>
      </w:r>
      <w:r w:rsidRPr="00253CF2" w:rsidR="006D2233">
        <w:rPr>
          <w:rFonts w:ascii="Verdana" w:hAnsi="Verdana"/>
          <w:sz w:val="20"/>
          <w:szCs w:val="20"/>
        </w:rPr>
        <w:t>conform motie-Heinen/Van Hijum.</w:t>
      </w:r>
      <w:r w:rsidRPr="00253CF2" w:rsidR="006D2233">
        <w:rPr>
          <w:rStyle w:val="FootnoteReference"/>
          <w:rFonts w:ascii="Verdana" w:hAnsi="Verdana"/>
          <w:sz w:val="20"/>
          <w:szCs w:val="20"/>
        </w:rPr>
        <w:footnoteReference w:id="4"/>
      </w:r>
      <w:r w:rsidRPr="00253CF2" w:rsidR="002E6E0C">
        <w:rPr>
          <w:rFonts w:ascii="Verdana" w:hAnsi="Verdana"/>
          <w:sz w:val="20"/>
          <w:szCs w:val="20"/>
        </w:rPr>
        <w:t xml:space="preserve"> Het kabinet</w:t>
      </w:r>
      <w:r w:rsidRPr="00253CF2" w:rsidR="000233E2">
        <w:rPr>
          <w:rFonts w:ascii="Verdana" w:hAnsi="Verdana"/>
          <w:sz w:val="20"/>
          <w:szCs w:val="20"/>
        </w:rPr>
        <w:t xml:space="preserve"> heeft uw Kamer middels de geannoteerde agenda Eurogroep/</w:t>
      </w:r>
      <w:proofErr w:type="spellStart"/>
      <w:r w:rsidRPr="00253CF2" w:rsidR="000233E2">
        <w:rPr>
          <w:rFonts w:ascii="Verdana" w:hAnsi="Verdana"/>
          <w:sz w:val="20"/>
          <w:szCs w:val="20"/>
        </w:rPr>
        <w:t>Ecofin</w:t>
      </w:r>
      <w:proofErr w:type="spellEnd"/>
      <w:r w:rsidRPr="00253CF2" w:rsidR="002E6E0C">
        <w:rPr>
          <w:rFonts w:ascii="Verdana" w:hAnsi="Verdana"/>
          <w:sz w:val="20"/>
          <w:szCs w:val="20"/>
        </w:rPr>
        <w:t xml:space="preserve"> 13-14 mei 2024</w:t>
      </w:r>
      <w:r w:rsidRPr="00253CF2" w:rsidR="000233E2">
        <w:rPr>
          <w:rFonts w:ascii="Verdana" w:hAnsi="Verdana"/>
          <w:sz w:val="20"/>
          <w:szCs w:val="20"/>
        </w:rPr>
        <w:t xml:space="preserve"> geïnformeerd over de nieuwe strategische koers van de EIB – waarin ook veiligheid en defensie is opgenomen – en de kabinetsinzet.</w:t>
      </w:r>
      <w:r w:rsidRPr="00253CF2" w:rsidR="007D4BD3">
        <w:rPr>
          <w:rStyle w:val="FootnoteReference"/>
          <w:rFonts w:ascii="Verdana" w:hAnsi="Verdana"/>
          <w:sz w:val="20"/>
          <w:szCs w:val="20"/>
        </w:rPr>
        <w:footnoteReference w:id="5"/>
      </w:r>
    </w:p>
    <w:p w:rsidR="000233E2" w:rsidP="00B86B14" w:rsidRDefault="000233E2" w14:paraId="70CB0D88" w14:textId="4B36A987">
      <w:pPr>
        <w:spacing w:after="0" w:line="240" w:lineRule="auto"/>
        <w:rPr>
          <w:rFonts w:ascii="Verdana" w:hAnsi="Verdana"/>
          <w:sz w:val="20"/>
          <w:szCs w:val="20"/>
        </w:rPr>
      </w:pPr>
      <w:r w:rsidRPr="00253CF2">
        <w:rPr>
          <w:rFonts w:ascii="Verdana" w:hAnsi="Verdana"/>
          <w:sz w:val="20"/>
          <w:szCs w:val="20"/>
        </w:rPr>
        <w:t xml:space="preserve">Op 7 mei jl. hebben de </w:t>
      </w:r>
      <w:r w:rsidR="000A5FF2">
        <w:rPr>
          <w:rFonts w:ascii="Verdana" w:hAnsi="Verdana"/>
          <w:sz w:val="20"/>
          <w:szCs w:val="20"/>
        </w:rPr>
        <w:t>b</w:t>
      </w:r>
      <w:r w:rsidRPr="00253CF2">
        <w:rPr>
          <w:rFonts w:ascii="Verdana" w:hAnsi="Verdana"/>
          <w:sz w:val="20"/>
          <w:szCs w:val="20"/>
        </w:rPr>
        <w:t xml:space="preserve">ewindvoerders ingestemd met het besluit om de EIB meer te laten doen op het gebied van veiligheid en defensie, zonder de financieringspositie van de EIB in het geding te laten komen. De Bank heeft de </w:t>
      </w:r>
      <w:proofErr w:type="spellStart"/>
      <w:r w:rsidRPr="00253CF2">
        <w:rPr>
          <w:rFonts w:ascii="Verdana" w:hAnsi="Verdana"/>
          <w:i/>
          <w:iCs/>
          <w:sz w:val="20"/>
          <w:szCs w:val="20"/>
        </w:rPr>
        <w:t>dual</w:t>
      </w:r>
      <w:proofErr w:type="spellEnd"/>
      <w:r w:rsidRPr="00253CF2" w:rsidR="001D3843">
        <w:rPr>
          <w:rFonts w:ascii="Verdana" w:hAnsi="Verdana"/>
          <w:i/>
          <w:iCs/>
          <w:sz w:val="20"/>
          <w:szCs w:val="20"/>
        </w:rPr>
        <w:t xml:space="preserve"> </w:t>
      </w:r>
      <w:proofErr w:type="spellStart"/>
      <w:r w:rsidRPr="00253CF2">
        <w:rPr>
          <w:rFonts w:ascii="Verdana" w:hAnsi="Verdana"/>
          <w:i/>
          <w:iCs/>
          <w:sz w:val="20"/>
          <w:szCs w:val="20"/>
        </w:rPr>
        <w:t>use</w:t>
      </w:r>
      <w:proofErr w:type="spellEnd"/>
      <w:r w:rsidRPr="00253CF2" w:rsidR="001D3843">
        <w:rPr>
          <w:rFonts w:ascii="Verdana" w:hAnsi="Verdana"/>
          <w:sz w:val="20"/>
          <w:szCs w:val="20"/>
        </w:rPr>
        <w:t>-</w:t>
      </w:r>
      <w:r w:rsidRPr="00253CF2">
        <w:rPr>
          <w:rFonts w:ascii="Verdana" w:hAnsi="Verdana"/>
          <w:sz w:val="20"/>
          <w:szCs w:val="20"/>
        </w:rPr>
        <w:t>definitie herijkt, waardoor het niet langer nodig is dat een bedrijf 50</w:t>
      </w:r>
      <w:r w:rsidR="000A5FF2">
        <w:rPr>
          <w:rFonts w:ascii="Verdana" w:hAnsi="Verdana"/>
          <w:sz w:val="20"/>
          <w:szCs w:val="20"/>
        </w:rPr>
        <w:t xml:space="preserve"> procent</w:t>
      </w:r>
      <w:r w:rsidRPr="00253CF2">
        <w:rPr>
          <w:rFonts w:ascii="Verdana" w:hAnsi="Verdana"/>
          <w:sz w:val="20"/>
          <w:szCs w:val="20"/>
        </w:rPr>
        <w:t xml:space="preserve"> van </w:t>
      </w:r>
      <w:r w:rsidRPr="00253CF2" w:rsidR="001D3843">
        <w:rPr>
          <w:rFonts w:ascii="Verdana" w:hAnsi="Verdana"/>
          <w:sz w:val="20"/>
          <w:szCs w:val="20"/>
        </w:rPr>
        <w:t>de</w:t>
      </w:r>
      <w:r w:rsidRPr="00253CF2">
        <w:rPr>
          <w:rFonts w:ascii="Verdana" w:hAnsi="Verdana"/>
          <w:sz w:val="20"/>
          <w:szCs w:val="20"/>
        </w:rPr>
        <w:t xml:space="preserve"> omzet haalt uit </w:t>
      </w:r>
      <w:r w:rsidRPr="00253CF2">
        <w:rPr>
          <w:rFonts w:ascii="Verdana" w:hAnsi="Verdana"/>
          <w:sz w:val="20"/>
          <w:szCs w:val="20"/>
        </w:rPr>
        <w:lastRenderedPageBreak/>
        <w:t>civiele toepassingen. Er dienen wel ‘enige civiele elementen’ te zijn</w:t>
      </w:r>
      <w:r w:rsidRPr="00253CF2" w:rsidR="001D3843">
        <w:rPr>
          <w:rFonts w:ascii="Verdana" w:hAnsi="Verdana"/>
          <w:sz w:val="20"/>
          <w:szCs w:val="20"/>
        </w:rPr>
        <w:t xml:space="preserve"> in de activiteiten van het bedrijf</w:t>
      </w:r>
      <w:r w:rsidRPr="00253CF2">
        <w:rPr>
          <w:rFonts w:ascii="Verdana" w:hAnsi="Verdana"/>
          <w:sz w:val="20"/>
          <w:szCs w:val="20"/>
        </w:rPr>
        <w:t xml:space="preserve">. Door de nieuwe </w:t>
      </w:r>
      <w:proofErr w:type="spellStart"/>
      <w:r w:rsidRPr="00253CF2">
        <w:rPr>
          <w:rFonts w:ascii="Verdana" w:hAnsi="Verdana"/>
          <w:i/>
          <w:iCs/>
          <w:sz w:val="20"/>
          <w:szCs w:val="20"/>
        </w:rPr>
        <w:t>dual</w:t>
      </w:r>
      <w:proofErr w:type="spellEnd"/>
      <w:r w:rsidRPr="00253CF2" w:rsidR="001D3843">
        <w:rPr>
          <w:rFonts w:ascii="Verdana" w:hAnsi="Verdana"/>
          <w:i/>
          <w:iCs/>
          <w:sz w:val="20"/>
          <w:szCs w:val="20"/>
        </w:rPr>
        <w:t xml:space="preserve"> </w:t>
      </w:r>
      <w:proofErr w:type="spellStart"/>
      <w:r w:rsidRPr="00253CF2">
        <w:rPr>
          <w:rFonts w:ascii="Verdana" w:hAnsi="Verdana"/>
          <w:i/>
          <w:iCs/>
          <w:sz w:val="20"/>
          <w:szCs w:val="20"/>
        </w:rPr>
        <w:t>use</w:t>
      </w:r>
      <w:proofErr w:type="spellEnd"/>
      <w:r w:rsidRPr="00253CF2" w:rsidR="001D3843">
        <w:rPr>
          <w:rFonts w:ascii="Verdana" w:hAnsi="Verdana"/>
          <w:sz w:val="20"/>
          <w:szCs w:val="20"/>
        </w:rPr>
        <w:t>-</w:t>
      </w:r>
      <w:r w:rsidRPr="00253CF2">
        <w:rPr>
          <w:rFonts w:ascii="Verdana" w:hAnsi="Verdana"/>
          <w:sz w:val="20"/>
          <w:szCs w:val="20"/>
        </w:rPr>
        <w:t xml:space="preserve">definitie kan de EIB veel meer activiteiten ondersteunen. Hiermee wordt het bijvoorbeeld mogelijk om tegen gunstige tarieven defensievastgoed of </w:t>
      </w:r>
      <w:proofErr w:type="spellStart"/>
      <w:r w:rsidRPr="00253CF2" w:rsidR="001D3843">
        <w:rPr>
          <w:rFonts w:ascii="Verdana" w:hAnsi="Verdana"/>
          <w:i/>
          <w:iCs/>
          <w:sz w:val="20"/>
          <w:szCs w:val="20"/>
        </w:rPr>
        <w:t>dual</w:t>
      </w:r>
      <w:proofErr w:type="spellEnd"/>
      <w:r w:rsidRPr="00253CF2" w:rsidR="001D3843">
        <w:rPr>
          <w:rFonts w:ascii="Verdana" w:hAnsi="Verdana"/>
          <w:i/>
          <w:iCs/>
          <w:sz w:val="20"/>
          <w:szCs w:val="20"/>
        </w:rPr>
        <w:t xml:space="preserve"> </w:t>
      </w:r>
      <w:proofErr w:type="spellStart"/>
      <w:r w:rsidRPr="00253CF2" w:rsidR="001D3843">
        <w:rPr>
          <w:rFonts w:ascii="Verdana" w:hAnsi="Verdana"/>
          <w:i/>
          <w:iCs/>
          <w:sz w:val="20"/>
          <w:szCs w:val="20"/>
        </w:rPr>
        <w:t>use</w:t>
      </w:r>
      <w:proofErr w:type="spellEnd"/>
      <w:r w:rsidRPr="00253CF2" w:rsidR="001D3843">
        <w:rPr>
          <w:rFonts w:ascii="Verdana" w:hAnsi="Verdana"/>
          <w:sz w:val="20"/>
          <w:szCs w:val="20"/>
        </w:rPr>
        <w:t>-</w:t>
      </w:r>
      <w:r w:rsidRPr="00253CF2">
        <w:rPr>
          <w:rFonts w:ascii="Verdana" w:hAnsi="Verdana"/>
          <w:sz w:val="20"/>
          <w:szCs w:val="20"/>
        </w:rPr>
        <w:t xml:space="preserve">materieel te financieren, waardoor er nationaal begrotingsruimte vrijgespeeld kan worden voor puur militaire doeleinden. Ook is de </w:t>
      </w:r>
      <w:proofErr w:type="spellStart"/>
      <w:r w:rsidRPr="00253CF2">
        <w:rPr>
          <w:rFonts w:ascii="Verdana" w:hAnsi="Verdana"/>
          <w:i/>
          <w:iCs/>
          <w:sz w:val="20"/>
          <w:szCs w:val="20"/>
        </w:rPr>
        <w:t>dual</w:t>
      </w:r>
      <w:proofErr w:type="spellEnd"/>
      <w:r w:rsidRPr="00253CF2" w:rsidR="001D3843">
        <w:rPr>
          <w:rFonts w:ascii="Verdana" w:hAnsi="Verdana"/>
          <w:i/>
          <w:iCs/>
          <w:sz w:val="20"/>
          <w:szCs w:val="20"/>
        </w:rPr>
        <w:t xml:space="preserve"> </w:t>
      </w:r>
      <w:proofErr w:type="spellStart"/>
      <w:r w:rsidRPr="00253CF2">
        <w:rPr>
          <w:rFonts w:ascii="Verdana" w:hAnsi="Verdana"/>
          <w:i/>
          <w:iCs/>
          <w:sz w:val="20"/>
          <w:szCs w:val="20"/>
        </w:rPr>
        <w:t>use</w:t>
      </w:r>
      <w:proofErr w:type="spellEnd"/>
      <w:r w:rsidRPr="00253CF2" w:rsidR="001D3843">
        <w:rPr>
          <w:rFonts w:ascii="Verdana" w:hAnsi="Verdana"/>
          <w:sz w:val="20"/>
          <w:szCs w:val="20"/>
        </w:rPr>
        <w:t>-</w:t>
      </w:r>
      <w:r w:rsidRPr="00253CF2">
        <w:rPr>
          <w:rFonts w:ascii="Verdana" w:hAnsi="Verdana"/>
          <w:sz w:val="20"/>
          <w:szCs w:val="20"/>
        </w:rPr>
        <w:t>definitie verbreed voor het openen van kredietlijnen voor het mkb in de veiligheids- en defensiesector. Investeringen in wapens, munitie en explosieven blijven momenteel uitgesloten. EIB-investeringen in deze categorieën leveren volgens de EIB een te groot risico op voor de AAA-rating en de financieringskosten van de Bank.</w:t>
      </w:r>
      <w:r w:rsidR="006D2233">
        <w:rPr>
          <w:rFonts w:ascii="Verdana" w:hAnsi="Verdana"/>
          <w:sz w:val="20"/>
          <w:szCs w:val="20"/>
        </w:rPr>
        <w:t xml:space="preserve"> </w:t>
      </w:r>
      <w:r w:rsidRPr="00253CF2">
        <w:rPr>
          <w:rFonts w:ascii="Verdana" w:hAnsi="Verdana"/>
          <w:sz w:val="20"/>
          <w:szCs w:val="20"/>
        </w:rPr>
        <w:t xml:space="preserve">Het kabinet waardeert de belangrijke stappen die de Bank inmiddels heeft gezet om de reikwijdte van activiteiten op dit terrein uit te breiden. </w:t>
      </w:r>
      <w:r w:rsidR="006D2233">
        <w:rPr>
          <w:rFonts w:ascii="Verdana" w:hAnsi="Verdana"/>
          <w:sz w:val="20"/>
          <w:szCs w:val="20"/>
        </w:rPr>
        <w:t>H</w:t>
      </w:r>
      <w:r w:rsidRPr="00253CF2">
        <w:rPr>
          <w:rFonts w:ascii="Verdana" w:hAnsi="Verdana"/>
          <w:sz w:val="20"/>
          <w:szCs w:val="20"/>
        </w:rPr>
        <w:t>et kabinet</w:t>
      </w:r>
      <w:r w:rsidR="006D2233">
        <w:rPr>
          <w:rFonts w:ascii="Verdana" w:hAnsi="Verdana"/>
          <w:sz w:val="20"/>
          <w:szCs w:val="20"/>
        </w:rPr>
        <w:t xml:space="preserve"> blijft</w:t>
      </w:r>
      <w:r w:rsidRPr="00253CF2">
        <w:rPr>
          <w:rFonts w:ascii="Verdana" w:hAnsi="Verdana"/>
          <w:sz w:val="20"/>
          <w:szCs w:val="20"/>
        </w:rPr>
        <w:t xml:space="preserve"> zich inzetten om verdere belemmeringen weg te nemen.</w:t>
      </w:r>
    </w:p>
    <w:p w:rsidRPr="000233E2" w:rsidR="000233E2" w:rsidP="00B86B14" w:rsidRDefault="000233E2" w14:paraId="72F3A046" w14:textId="77777777">
      <w:pPr>
        <w:spacing w:after="0" w:line="240" w:lineRule="auto"/>
        <w:rPr>
          <w:rFonts w:ascii="Verdana" w:hAnsi="Verdana"/>
          <w:sz w:val="20"/>
          <w:szCs w:val="20"/>
        </w:rPr>
      </w:pPr>
    </w:p>
    <w:p w:rsidRPr="00382F80" w:rsidR="00252DDC" w:rsidP="00B86B14" w:rsidRDefault="00252DDC" w14:paraId="0E5E9858" w14:textId="77777777">
      <w:pPr>
        <w:spacing w:after="0" w:line="240" w:lineRule="auto"/>
        <w:rPr>
          <w:rFonts w:ascii="Verdana" w:hAnsi="Verdana" w:eastAsia="Times New Roman"/>
          <w:sz w:val="20"/>
          <w:szCs w:val="20"/>
        </w:rPr>
      </w:pPr>
      <w:r w:rsidRPr="00382F80">
        <w:rPr>
          <w:rFonts w:ascii="Verdana" w:hAnsi="Verdana"/>
          <w:i/>
          <w:iCs/>
          <w:sz w:val="20"/>
          <w:szCs w:val="20"/>
        </w:rPr>
        <w:t>Concurrentievermogen en kapitaalmarktunie</w:t>
      </w:r>
      <w:r>
        <w:rPr>
          <w:rFonts w:ascii="Verdana" w:hAnsi="Verdana"/>
          <w:sz w:val="20"/>
          <w:szCs w:val="20"/>
        </w:rPr>
        <w:t xml:space="preserve"> </w:t>
      </w:r>
    </w:p>
    <w:p w:rsidR="00252DDC" w:rsidP="00B86B14" w:rsidRDefault="00252DDC" w14:paraId="5E0729C1" w14:textId="77777777">
      <w:pPr>
        <w:spacing w:line="240" w:lineRule="auto"/>
        <w:rPr>
          <w:rFonts w:ascii="Verdana" w:hAnsi="Verdana"/>
          <w:sz w:val="20"/>
          <w:szCs w:val="20"/>
        </w:rPr>
      </w:pPr>
      <w:r w:rsidRPr="003C26E4">
        <w:rPr>
          <w:rFonts w:ascii="Verdana" w:hAnsi="Verdana"/>
          <w:sz w:val="20"/>
          <w:szCs w:val="20"/>
        </w:rPr>
        <w:t xml:space="preserve">De ER zal van gedachten wisselen over de voortgang die is gemaakt om het Europese concurrentievermogen te versterken. Naar verwachting zal de ER in het bijzonder aandacht hebben voor de stappen die moeten worden gezet om de kapitaalmarktunie te verdiepen. </w:t>
      </w:r>
    </w:p>
    <w:p w:rsidRPr="00E3513E" w:rsidR="00252DDC" w:rsidP="00B86B14" w:rsidRDefault="00252DDC" w14:paraId="53D9BD62" w14:textId="5878BFA7">
      <w:pPr>
        <w:spacing w:line="240" w:lineRule="auto"/>
        <w:rPr>
          <w:rFonts w:ascii="Verdana" w:hAnsi="Verdana"/>
          <w:sz w:val="20"/>
          <w:szCs w:val="20"/>
        </w:rPr>
      </w:pPr>
      <w:r>
        <w:rPr>
          <w:rFonts w:ascii="Verdana" w:hAnsi="Verdana"/>
          <w:sz w:val="20"/>
          <w:szCs w:val="20"/>
        </w:rPr>
        <w:t xml:space="preserve">Het versterken van het Europese concurrentievermogen is voor het kabinet een belangrijke prioriteit voor de nieuwe Europese Commissie. Het kabinet is daarbij van mening dat dit vraagt om een hoog ambitieniveau, actie op alle beleidsterreinen en politiek commitment, onder andere om opvolging te geven aan het </w:t>
      </w:r>
      <w:r>
        <w:rPr>
          <w:rFonts w:ascii="Verdana" w:hAnsi="Verdana"/>
          <w:i/>
          <w:iCs/>
          <w:sz w:val="20"/>
          <w:szCs w:val="20"/>
        </w:rPr>
        <w:t xml:space="preserve">high-level </w:t>
      </w:r>
      <w:r>
        <w:rPr>
          <w:rFonts w:ascii="Verdana" w:hAnsi="Verdana"/>
          <w:sz w:val="20"/>
          <w:szCs w:val="20"/>
        </w:rPr>
        <w:t xml:space="preserve">rapport van Dhr. </w:t>
      </w:r>
      <w:proofErr w:type="spellStart"/>
      <w:r>
        <w:rPr>
          <w:rFonts w:ascii="Verdana" w:hAnsi="Verdana"/>
          <w:sz w:val="20"/>
          <w:szCs w:val="20"/>
        </w:rPr>
        <w:t>Letta</w:t>
      </w:r>
      <w:proofErr w:type="spellEnd"/>
      <w:r>
        <w:rPr>
          <w:rFonts w:ascii="Verdana" w:hAnsi="Verdana"/>
          <w:sz w:val="20"/>
          <w:szCs w:val="20"/>
        </w:rPr>
        <w:t>.</w:t>
      </w:r>
      <w:r>
        <w:rPr>
          <w:rStyle w:val="FootnoteReference"/>
          <w:rFonts w:ascii="Verdana" w:hAnsi="Verdana"/>
          <w:sz w:val="20"/>
          <w:szCs w:val="20"/>
        </w:rPr>
        <w:footnoteReference w:id="6"/>
      </w:r>
      <w:r>
        <w:rPr>
          <w:rFonts w:ascii="Verdana" w:hAnsi="Verdana"/>
          <w:sz w:val="20"/>
          <w:szCs w:val="20"/>
        </w:rPr>
        <w:t xml:space="preserve"> Het kabinet verwelkomt het </w:t>
      </w:r>
      <w:proofErr w:type="spellStart"/>
      <w:r>
        <w:rPr>
          <w:rFonts w:ascii="Verdana" w:hAnsi="Verdana"/>
          <w:sz w:val="20"/>
          <w:szCs w:val="20"/>
        </w:rPr>
        <w:t>Letta</w:t>
      </w:r>
      <w:proofErr w:type="spellEnd"/>
      <w:r>
        <w:rPr>
          <w:rFonts w:ascii="Verdana" w:hAnsi="Verdana"/>
          <w:sz w:val="20"/>
          <w:szCs w:val="20"/>
        </w:rPr>
        <w:t xml:space="preserve">-rapport en kijkt uit naar concrete acties op basis van de gedane aanbevelingen. Daarnaast kijkt het kabinet uit naar het </w:t>
      </w:r>
      <w:r>
        <w:rPr>
          <w:rFonts w:ascii="Verdana" w:hAnsi="Verdana"/>
          <w:i/>
          <w:iCs/>
          <w:sz w:val="20"/>
          <w:szCs w:val="20"/>
        </w:rPr>
        <w:t xml:space="preserve">high-level </w:t>
      </w:r>
      <w:r>
        <w:rPr>
          <w:rFonts w:ascii="Verdana" w:hAnsi="Verdana"/>
          <w:sz w:val="20"/>
          <w:szCs w:val="20"/>
        </w:rPr>
        <w:t xml:space="preserve">rapport van Dhr. </w:t>
      </w:r>
      <w:proofErr w:type="spellStart"/>
      <w:r>
        <w:rPr>
          <w:rFonts w:ascii="Verdana" w:hAnsi="Verdana"/>
          <w:sz w:val="20"/>
          <w:szCs w:val="20"/>
        </w:rPr>
        <w:t>Draghi</w:t>
      </w:r>
      <w:proofErr w:type="spellEnd"/>
      <w:r>
        <w:rPr>
          <w:rFonts w:ascii="Verdana" w:hAnsi="Verdana"/>
          <w:sz w:val="20"/>
          <w:szCs w:val="20"/>
        </w:rPr>
        <w:t xml:space="preserve">, dat naar verwachting rond de zomer (na de ER) zal worden gepresenteerd. Het kabinet zal de Kamer hier te zijner tijd over informeren. </w:t>
      </w:r>
    </w:p>
    <w:p w:rsidR="00252DDC" w:rsidP="00B86B14" w:rsidRDefault="00252DDC" w14:paraId="6343447F" w14:textId="37B94F2B">
      <w:pPr>
        <w:spacing w:line="240" w:lineRule="auto"/>
        <w:rPr>
          <w:rFonts w:ascii="Verdana" w:hAnsi="Verdana"/>
          <w:sz w:val="20"/>
          <w:szCs w:val="20"/>
        </w:rPr>
      </w:pPr>
      <w:r>
        <w:rPr>
          <w:rFonts w:ascii="Verdana" w:hAnsi="Verdana"/>
          <w:sz w:val="20"/>
          <w:szCs w:val="20"/>
        </w:rPr>
        <w:t xml:space="preserve">De prioriteiten van het kabinet om het EU concurrentievermogen te versterken zien op een sterke en eerlijke interne markt; het verdiepen van de kapitaalmarktunie; het verminderen van administratieve lasten voor bedrijven; het verminderen van grondstoffenafhankelijkheden voor bedrijven en toegang tot voldoende geschoold personeel; het implementeren van de Green Deal, </w:t>
      </w:r>
      <w:bookmarkStart w:name="_Hlk169524150" w:id="2"/>
      <w:r>
        <w:rPr>
          <w:rFonts w:ascii="Verdana" w:hAnsi="Verdana"/>
          <w:sz w:val="20"/>
          <w:szCs w:val="20"/>
        </w:rPr>
        <w:t>inclusief het versnellen van de energietransitie en de maatregelen voor het maken van de omslag naar een circulaire economie</w:t>
      </w:r>
      <w:bookmarkEnd w:id="2"/>
      <w:r>
        <w:rPr>
          <w:rFonts w:ascii="Verdana" w:hAnsi="Verdana"/>
          <w:sz w:val="20"/>
          <w:szCs w:val="20"/>
        </w:rPr>
        <w:t>; een Europese technologiestrategie; en het stimuleren van investeringen in onderzoek en innovatie. Belangrijke randvoorwaarden voor het versterken van het lange termijn concurrentievermogen van de EU zijn het behoud van een open economie en een gelijk speelveld. Het kabinet zet daarom in op minder, maar meer gericht gebruik van staatssteun en het behoud van eerlijk en effectief mededingingstoezicht</w:t>
      </w:r>
      <w:r w:rsidRPr="00380A11">
        <w:rPr>
          <w:rFonts w:ascii="Verdana" w:hAnsi="Verdana"/>
          <w:sz w:val="20"/>
          <w:szCs w:val="20"/>
        </w:rPr>
        <w:t xml:space="preserve">. </w:t>
      </w:r>
      <w:r w:rsidRPr="00380A11" w:rsidR="00F8276B">
        <w:rPr>
          <w:rFonts w:ascii="Verdana" w:hAnsi="Verdana"/>
          <w:sz w:val="20"/>
          <w:szCs w:val="20"/>
        </w:rPr>
        <w:t>De bevordering van het Europese concurrentievermogen gaat in de huidige geopolitieke situatie gepaard met de borging van de economische veiligheid van de EU. Dit is cruciaal voor de weerbaarheid en de veiligheid van de EU. Daarbij</w:t>
      </w:r>
      <w:r w:rsidR="00F8276B">
        <w:rPr>
          <w:rFonts w:ascii="Verdana" w:hAnsi="Verdana"/>
          <w:sz w:val="20"/>
          <w:szCs w:val="20"/>
        </w:rPr>
        <w:t xml:space="preserve"> </w:t>
      </w:r>
      <w:r>
        <w:rPr>
          <w:rFonts w:ascii="Verdana" w:hAnsi="Verdana"/>
          <w:sz w:val="20"/>
          <w:szCs w:val="20"/>
        </w:rPr>
        <w:t xml:space="preserve">is het van belang dat beschermende maatregelen om de economische veiligheid van de EU te versterken proportioneel, gericht en noodzakelijk zijn, en dat waar mogelijk wordt samengewerkt met internationale partners. </w:t>
      </w:r>
    </w:p>
    <w:p w:rsidRPr="0059138C" w:rsidR="00252DDC" w:rsidP="00B86B14" w:rsidRDefault="00252DDC" w14:paraId="096D4440" w14:textId="31BF029B">
      <w:pPr>
        <w:spacing w:line="240" w:lineRule="auto"/>
        <w:rPr>
          <w:rFonts w:ascii="Verdana" w:hAnsi="Verdana"/>
          <w:sz w:val="20"/>
          <w:szCs w:val="20"/>
        </w:rPr>
      </w:pPr>
      <w:r>
        <w:rPr>
          <w:rFonts w:ascii="Verdana" w:hAnsi="Verdana"/>
          <w:sz w:val="20"/>
          <w:szCs w:val="20"/>
        </w:rPr>
        <w:t xml:space="preserve">Voor wat betreft de kapitaalmarktunie zal het kabinet pleiten voor een ambitieus nieuw actieplan onder de nieuwe Europese Commissie ten behoeve van de aanpak van fragmentatie op de kapitaalmarkten. Daarnaast zal het kabinet zich er tijdens de ER voor inzetten dat er voortvarend actie wordt ondernomen. De Nederlandse visie is opgebouwd uit </w:t>
      </w:r>
      <w:r w:rsidRPr="00511EC0">
        <w:rPr>
          <w:rFonts w:ascii="Verdana" w:hAnsi="Verdana"/>
          <w:sz w:val="20"/>
          <w:szCs w:val="20"/>
        </w:rPr>
        <w:t>drie pijlers: (i) diepe kapitaalmarkten (met veel lange-termijn- en risicokapitaal), (ii) geïntegreerde markten (stroomlijning van regelgeving en versterking van toezicht) en (iii) een veerkrachtige kapitaalmarktunie (met proportionele regelgeving voor een stabiele en concurrerende financiële sector en reële economie).</w:t>
      </w:r>
    </w:p>
    <w:p w:rsidR="00380A11" w:rsidP="00E84E97" w:rsidRDefault="00380A11" w14:paraId="4E8ACCBF" w14:textId="77777777">
      <w:pPr>
        <w:spacing w:after="0" w:line="240" w:lineRule="auto"/>
        <w:rPr>
          <w:rFonts w:ascii="Verdana" w:hAnsi="Verdana"/>
          <w:i/>
          <w:iCs/>
          <w:sz w:val="20"/>
          <w:szCs w:val="20"/>
        </w:rPr>
      </w:pPr>
    </w:p>
    <w:p w:rsidRPr="00153310" w:rsidR="00252DDC" w:rsidP="00E84E97" w:rsidRDefault="00252DDC" w14:paraId="3FE000AD" w14:textId="5B1EFADD">
      <w:pPr>
        <w:spacing w:after="0" w:line="240" w:lineRule="auto"/>
        <w:rPr>
          <w:rFonts w:ascii="Verdana" w:hAnsi="Verdana"/>
          <w:sz w:val="20"/>
          <w:szCs w:val="20"/>
        </w:rPr>
      </w:pPr>
      <w:r w:rsidRPr="00153310">
        <w:rPr>
          <w:rFonts w:ascii="Verdana" w:hAnsi="Verdana"/>
          <w:i/>
          <w:iCs/>
          <w:sz w:val="20"/>
          <w:szCs w:val="20"/>
        </w:rPr>
        <w:lastRenderedPageBreak/>
        <w:t>Migratie</w:t>
      </w:r>
      <w:r w:rsidRPr="00153310">
        <w:rPr>
          <w:rFonts w:ascii="Verdana" w:hAnsi="Verdana"/>
          <w:sz w:val="20"/>
          <w:szCs w:val="20"/>
        </w:rPr>
        <w:t xml:space="preserve"> </w:t>
      </w:r>
    </w:p>
    <w:p w:rsidRPr="00AE269E" w:rsidR="00252DDC" w:rsidP="00E23D5B" w:rsidRDefault="00252DDC" w14:paraId="0F86B3E2" w14:textId="0D27F08A">
      <w:pPr>
        <w:spacing w:after="0" w:line="240" w:lineRule="auto"/>
        <w:rPr>
          <w:rFonts w:ascii="Verdana" w:hAnsi="Verdana"/>
          <w:sz w:val="20"/>
          <w:szCs w:val="20"/>
        </w:rPr>
      </w:pPr>
      <w:bookmarkStart w:name="_Hlk169596373" w:id="3"/>
      <w:r w:rsidRPr="00AE269E">
        <w:rPr>
          <w:rFonts w:ascii="Verdana" w:hAnsi="Verdana"/>
          <w:sz w:val="20"/>
          <w:szCs w:val="20"/>
        </w:rPr>
        <w:t xml:space="preserve">De ER zal stilstaan bij de stand van zaken ten aanzien van migratie. Het kabinet zal de Commissie en de lidstaten blijven oproepen om migratie hoog op de agenda te houden en gerichte maatregelen te nemen om de grip op migratie te vergroten. Het kabinet hecht hierbij in het bijzonder aan de naleving van Dublin </w:t>
      </w:r>
      <w:r w:rsidRPr="003D05EC">
        <w:rPr>
          <w:rFonts w:ascii="Verdana" w:hAnsi="Verdana"/>
          <w:sz w:val="20"/>
          <w:szCs w:val="20"/>
        </w:rPr>
        <w:t xml:space="preserve">en </w:t>
      </w:r>
      <w:r w:rsidRPr="003D05EC" w:rsidR="003127DB">
        <w:rPr>
          <w:rFonts w:ascii="Verdana" w:hAnsi="Verdana"/>
          <w:sz w:val="20"/>
          <w:szCs w:val="20"/>
        </w:rPr>
        <w:t xml:space="preserve">de ambitieuze en grondige </w:t>
      </w:r>
      <w:r w:rsidRPr="003D05EC">
        <w:rPr>
          <w:rFonts w:ascii="Verdana" w:hAnsi="Verdana"/>
          <w:sz w:val="20"/>
          <w:szCs w:val="20"/>
        </w:rPr>
        <w:t>implementatie van het Asiel- en Migratiepact</w:t>
      </w:r>
      <w:r w:rsidRPr="003D05EC" w:rsidR="003127DB">
        <w:rPr>
          <w:rFonts w:ascii="Verdana" w:hAnsi="Verdana"/>
          <w:sz w:val="20"/>
          <w:szCs w:val="20"/>
        </w:rPr>
        <w:t xml:space="preserve">. </w:t>
      </w:r>
      <w:r w:rsidRPr="003D05EC" w:rsidR="00CA68CF">
        <w:rPr>
          <w:rFonts w:ascii="Verdana" w:hAnsi="Verdana"/>
          <w:color w:val="000000"/>
          <w:sz w:val="20"/>
          <w:szCs w:val="20"/>
        </w:rPr>
        <w:t>Het kabinet</w:t>
      </w:r>
      <w:r w:rsidRPr="003D05EC" w:rsidR="003127DB">
        <w:rPr>
          <w:rFonts w:ascii="Verdana" w:hAnsi="Verdana"/>
          <w:color w:val="000000"/>
          <w:sz w:val="20"/>
          <w:szCs w:val="20"/>
        </w:rPr>
        <w:t xml:space="preserve"> verwelkomt daarom ten zeerste de mededeling van de Commissie over het gemeenschappelijke implementatieplan, waar mijlpalen en concrete </w:t>
      </w:r>
      <w:r w:rsidRPr="003D05EC" w:rsidR="003127DB">
        <w:rPr>
          <w:rFonts w:ascii="Verdana" w:hAnsi="Verdana"/>
          <w:sz w:val="20"/>
          <w:szCs w:val="20"/>
        </w:rPr>
        <w:t xml:space="preserve">bouwstenen in zijn opgenomen. </w:t>
      </w:r>
      <w:r w:rsidRPr="003D05EC" w:rsidR="00CA68CF">
        <w:rPr>
          <w:rFonts w:ascii="Verdana" w:hAnsi="Verdana"/>
          <w:sz w:val="20"/>
          <w:szCs w:val="20"/>
        </w:rPr>
        <w:t>Aan de hand van deze bouwstenen dienen de lidstaten vóór het eind van dit kalenderjaar hun nationale implementatieplannen op te stellen, en vervolgens elk half jaar over de voortgang te rapporteren. Het kabinet</w:t>
      </w:r>
      <w:r w:rsidRPr="003D05EC" w:rsidR="003127DB">
        <w:rPr>
          <w:rFonts w:ascii="Verdana" w:hAnsi="Verdana"/>
          <w:sz w:val="20"/>
          <w:szCs w:val="20"/>
        </w:rPr>
        <w:t xml:space="preserve"> blijft tegelijkertijd</w:t>
      </w:r>
      <w:r w:rsidR="003127DB">
        <w:rPr>
          <w:rFonts w:ascii="Verdana" w:hAnsi="Verdana"/>
          <w:sz w:val="20"/>
          <w:szCs w:val="20"/>
        </w:rPr>
        <w:t xml:space="preserve"> oproepen tot de</w:t>
      </w:r>
      <w:r w:rsidRPr="00AE269E">
        <w:rPr>
          <w:rFonts w:ascii="Verdana" w:hAnsi="Verdana"/>
          <w:sz w:val="20"/>
          <w:szCs w:val="20"/>
        </w:rPr>
        <w:t xml:space="preserve"> verbetering van registratie en het versterken van buitengrenzen. </w:t>
      </w:r>
      <w:bookmarkEnd w:id="3"/>
      <w:r w:rsidRPr="00AE269E">
        <w:rPr>
          <w:rFonts w:ascii="Verdana" w:hAnsi="Verdana"/>
          <w:sz w:val="20"/>
          <w:szCs w:val="20"/>
        </w:rPr>
        <w:t>Ook roept het kabinet de Commissie op de ambitieuze inzet ten aanzien van gelijkwaardige en duurzame partnerschappen met derde landen voort te zetten, waaronder een verkenning van innovatieve oplossingen, (waartoe Nederland met een groep lidstaten de Commissie per brief heeft opgeroepen in mei 2024) binnen de geldende Europees en Internationaalrechtelijke kaders.</w:t>
      </w:r>
      <w:r w:rsidR="00253CF2">
        <w:rPr>
          <w:rStyle w:val="FootnoteReference"/>
          <w:rFonts w:ascii="Verdana" w:hAnsi="Verdana"/>
          <w:sz w:val="20"/>
          <w:szCs w:val="20"/>
        </w:rPr>
        <w:footnoteReference w:id="7"/>
      </w:r>
      <w:r w:rsidRPr="00AE269E">
        <w:rPr>
          <w:rFonts w:ascii="Verdana" w:hAnsi="Verdana"/>
          <w:sz w:val="20"/>
          <w:szCs w:val="20"/>
        </w:rPr>
        <w:t xml:space="preserve"> </w:t>
      </w:r>
    </w:p>
    <w:p w:rsidRPr="00AE269E" w:rsidR="00E23D5B" w:rsidP="00E84E97" w:rsidRDefault="00E23D5B" w14:paraId="2DE1726C" w14:textId="77777777">
      <w:pPr>
        <w:spacing w:after="0" w:line="240" w:lineRule="auto"/>
        <w:rPr>
          <w:rFonts w:ascii="Verdana" w:hAnsi="Verdana"/>
          <w:sz w:val="20"/>
          <w:szCs w:val="20"/>
        </w:rPr>
      </w:pPr>
    </w:p>
    <w:p w:rsidRPr="00153310" w:rsidR="00252DDC" w:rsidP="00E84E97" w:rsidRDefault="00252DDC" w14:paraId="3DAFA012" w14:textId="77777777">
      <w:pPr>
        <w:spacing w:after="0" w:line="240" w:lineRule="auto"/>
        <w:rPr>
          <w:rFonts w:ascii="Verdana" w:hAnsi="Verdana"/>
          <w:sz w:val="20"/>
          <w:szCs w:val="20"/>
        </w:rPr>
      </w:pPr>
      <w:r w:rsidRPr="00153310">
        <w:rPr>
          <w:rFonts w:ascii="Verdana" w:hAnsi="Verdana"/>
          <w:i/>
          <w:iCs/>
          <w:sz w:val="20"/>
          <w:szCs w:val="20"/>
        </w:rPr>
        <w:t>Georgië</w:t>
      </w:r>
      <w:r w:rsidRPr="00153310">
        <w:rPr>
          <w:rFonts w:ascii="Verdana" w:hAnsi="Verdana"/>
          <w:sz w:val="20"/>
          <w:szCs w:val="20"/>
        </w:rPr>
        <w:t xml:space="preserve"> </w:t>
      </w:r>
    </w:p>
    <w:p w:rsidR="00E23D5B" w:rsidP="00E23D5B" w:rsidRDefault="00252DDC" w14:paraId="6DC0053C" w14:textId="22D0ACC6">
      <w:pPr>
        <w:spacing w:after="0" w:line="240" w:lineRule="auto"/>
        <w:rPr>
          <w:rFonts w:ascii="Verdana" w:hAnsi="Verdana"/>
          <w:sz w:val="20"/>
          <w:szCs w:val="20"/>
        </w:rPr>
      </w:pPr>
      <w:r>
        <w:rPr>
          <w:rFonts w:ascii="Verdana" w:hAnsi="Verdana"/>
          <w:sz w:val="20"/>
          <w:szCs w:val="20"/>
        </w:rPr>
        <w:t>In navolging op de discussie binnen de Raad Buitenlandse Zaken van 24 juni jl. zal de ER stilstaan bij de eerder uiteengezette zorgelijke ontwikkelingen in Georgië.</w:t>
      </w:r>
      <w:r w:rsidR="00CD380D">
        <w:rPr>
          <w:rStyle w:val="FootnoteReference"/>
          <w:rFonts w:ascii="Verdana" w:hAnsi="Verdana"/>
          <w:sz w:val="20"/>
          <w:szCs w:val="20"/>
        </w:rPr>
        <w:footnoteReference w:id="8"/>
      </w:r>
      <w:r>
        <w:rPr>
          <w:rFonts w:ascii="Verdana" w:hAnsi="Verdana"/>
          <w:sz w:val="20"/>
          <w:szCs w:val="20"/>
        </w:rPr>
        <w:t xml:space="preserve"> De Raad zal verder spreken over handelingsopties, waarbij er </w:t>
      </w:r>
      <w:r w:rsidR="00AF0740">
        <w:rPr>
          <w:rFonts w:ascii="Verdana" w:hAnsi="Verdana"/>
          <w:sz w:val="20"/>
          <w:szCs w:val="20"/>
        </w:rPr>
        <w:t xml:space="preserve">naar verwachting </w:t>
      </w:r>
      <w:r>
        <w:rPr>
          <w:rFonts w:ascii="Verdana" w:hAnsi="Verdana"/>
          <w:sz w:val="20"/>
          <w:szCs w:val="20"/>
        </w:rPr>
        <w:t xml:space="preserve">aandacht zal uitgaan naar de invloed van de ontwikkelingen op het Georgische EU-toetredingsproces. </w:t>
      </w:r>
      <w:bookmarkStart w:name="_Hlk169513635" w:id="4"/>
      <w:r w:rsidRPr="00E164BB">
        <w:rPr>
          <w:rFonts w:ascii="Verdana" w:hAnsi="Verdana"/>
          <w:sz w:val="20"/>
          <w:szCs w:val="20"/>
        </w:rPr>
        <w:t xml:space="preserve">Voor het kabinet staat vast dat de Georgische regering met deze politieke koers </w:t>
      </w:r>
      <w:r w:rsidR="00E23D5B">
        <w:rPr>
          <w:rFonts w:ascii="Verdana" w:hAnsi="Verdana"/>
          <w:sz w:val="20"/>
          <w:szCs w:val="20"/>
        </w:rPr>
        <w:t>verder afdrijft van de EU</w:t>
      </w:r>
      <w:r>
        <w:rPr>
          <w:rFonts w:ascii="Verdana" w:hAnsi="Verdana"/>
          <w:sz w:val="20"/>
          <w:szCs w:val="20"/>
        </w:rPr>
        <w:t xml:space="preserve">. </w:t>
      </w:r>
      <w:bookmarkEnd w:id="4"/>
    </w:p>
    <w:p w:rsidRPr="00844288" w:rsidR="00252DDC" w:rsidP="00E84E97" w:rsidRDefault="00252DDC" w14:paraId="159CAA82" w14:textId="548449B5">
      <w:pPr>
        <w:spacing w:after="0" w:line="240" w:lineRule="auto"/>
        <w:rPr>
          <w:rFonts w:ascii="Verdana" w:hAnsi="Verdana"/>
          <w:sz w:val="20"/>
          <w:szCs w:val="20"/>
        </w:rPr>
      </w:pPr>
      <w:r>
        <w:rPr>
          <w:rFonts w:ascii="Verdana" w:hAnsi="Verdana"/>
          <w:sz w:val="20"/>
          <w:szCs w:val="20"/>
        </w:rPr>
        <w:t xml:space="preserve"> </w:t>
      </w:r>
    </w:p>
    <w:p w:rsidR="00252DDC" w:rsidP="00B86B14" w:rsidRDefault="00252DDC" w14:paraId="359A2AC5" w14:textId="40B67ED1">
      <w:pPr>
        <w:spacing w:after="0" w:line="240" w:lineRule="auto"/>
        <w:rPr>
          <w:rFonts w:ascii="Verdana" w:hAnsi="Verdana"/>
          <w:sz w:val="20"/>
          <w:szCs w:val="20"/>
        </w:rPr>
      </w:pPr>
      <w:r w:rsidRPr="00844288">
        <w:rPr>
          <w:rFonts w:ascii="Verdana" w:hAnsi="Verdana"/>
          <w:i/>
          <w:sz w:val="20"/>
          <w:szCs w:val="20"/>
        </w:rPr>
        <w:t>Zwarte zee</w:t>
      </w:r>
      <w:r>
        <w:rPr>
          <w:rFonts w:ascii="Verdana" w:hAnsi="Verdana"/>
          <w:sz w:val="20"/>
          <w:szCs w:val="20"/>
        </w:rPr>
        <w:t xml:space="preserve"> </w:t>
      </w:r>
    </w:p>
    <w:p w:rsidRPr="00D864ED" w:rsidR="00252DDC" w:rsidP="00B86B14" w:rsidRDefault="00252DDC" w14:paraId="76678C6C" w14:textId="0C159538">
      <w:pPr>
        <w:spacing w:after="0" w:line="240" w:lineRule="auto"/>
        <w:rPr>
          <w:rFonts w:ascii="Verdana" w:hAnsi="Verdana"/>
          <w:sz w:val="20"/>
          <w:szCs w:val="20"/>
        </w:rPr>
      </w:pPr>
      <w:r>
        <w:rPr>
          <w:rFonts w:ascii="Verdana" w:hAnsi="Verdana"/>
          <w:sz w:val="20"/>
          <w:szCs w:val="20"/>
        </w:rPr>
        <w:t xml:space="preserve">De ER zal naar verwachting kort stilstaan bij het strategische belang van de Zwarte Zee-regio en de EU-benadering hiervan. </w:t>
      </w:r>
      <w:r w:rsidR="003E158E">
        <w:rPr>
          <w:rFonts w:ascii="Verdana" w:hAnsi="Verdana"/>
          <w:sz w:val="20"/>
          <w:szCs w:val="20"/>
        </w:rPr>
        <w:t>Nederland is voorstander van het verkennen van een meer strategische benadering van de Zwarte Zee</w:t>
      </w:r>
      <w:r w:rsidR="007956DE">
        <w:rPr>
          <w:rFonts w:ascii="Verdana" w:hAnsi="Verdana"/>
          <w:sz w:val="20"/>
          <w:szCs w:val="20"/>
        </w:rPr>
        <w:t>-</w:t>
      </w:r>
      <w:r w:rsidR="003E158E">
        <w:rPr>
          <w:rFonts w:ascii="Verdana" w:hAnsi="Verdana"/>
          <w:sz w:val="20"/>
          <w:szCs w:val="20"/>
        </w:rPr>
        <w:t xml:space="preserve">regio. </w:t>
      </w:r>
    </w:p>
    <w:p w:rsidRPr="00D864ED" w:rsidR="00252DDC" w:rsidP="00B86B14" w:rsidRDefault="00252DDC" w14:paraId="7D8308A9" w14:textId="77777777">
      <w:pPr>
        <w:spacing w:after="0" w:line="240" w:lineRule="auto"/>
        <w:rPr>
          <w:rFonts w:ascii="Verdana" w:hAnsi="Verdana"/>
          <w:sz w:val="20"/>
          <w:szCs w:val="20"/>
        </w:rPr>
      </w:pPr>
    </w:p>
    <w:p w:rsidRPr="00382F80" w:rsidR="00252DDC" w:rsidP="00E84E97" w:rsidRDefault="00252DDC" w14:paraId="26F03E4C" w14:textId="77777777">
      <w:pPr>
        <w:spacing w:after="0" w:line="240" w:lineRule="auto"/>
        <w:rPr>
          <w:rFonts w:ascii="Verdana" w:hAnsi="Verdana"/>
          <w:sz w:val="20"/>
          <w:szCs w:val="20"/>
        </w:rPr>
      </w:pPr>
      <w:r>
        <w:rPr>
          <w:rFonts w:ascii="Verdana" w:hAnsi="Verdana"/>
          <w:i/>
          <w:iCs/>
          <w:sz w:val="20"/>
          <w:szCs w:val="20"/>
        </w:rPr>
        <w:t xml:space="preserve">Volgende institutionele cyclus: </w:t>
      </w:r>
      <w:r w:rsidRPr="00382F80">
        <w:rPr>
          <w:rFonts w:ascii="Verdana" w:hAnsi="Verdana"/>
          <w:i/>
          <w:iCs/>
          <w:sz w:val="20"/>
          <w:szCs w:val="20"/>
        </w:rPr>
        <w:t>Strategische agenda en toekomst van de EU</w:t>
      </w:r>
      <w:r w:rsidRPr="00382F80">
        <w:rPr>
          <w:rFonts w:ascii="Verdana" w:hAnsi="Verdana"/>
          <w:sz w:val="20"/>
          <w:szCs w:val="20"/>
        </w:rPr>
        <w:t xml:space="preserve"> </w:t>
      </w:r>
    </w:p>
    <w:p w:rsidR="00252DDC" w:rsidP="00E23D5B" w:rsidRDefault="00252DDC" w14:paraId="6992A9AC" w14:textId="30ED94FE">
      <w:pPr>
        <w:spacing w:after="0" w:line="240" w:lineRule="auto"/>
        <w:rPr>
          <w:rFonts w:ascii="Verdana" w:hAnsi="Verdana"/>
          <w:sz w:val="20"/>
          <w:szCs w:val="20"/>
        </w:rPr>
      </w:pPr>
      <w:r w:rsidRPr="00AE269E">
        <w:rPr>
          <w:rFonts w:ascii="Verdana" w:hAnsi="Verdana"/>
          <w:sz w:val="20"/>
          <w:szCs w:val="20"/>
        </w:rPr>
        <w:t xml:space="preserve">Naar verwachting zal de ER de Strategische Agenda voor 2024-2029 vaststellen. </w:t>
      </w:r>
      <w:r>
        <w:rPr>
          <w:rFonts w:ascii="Verdana" w:hAnsi="Verdana"/>
          <w:sz w:val="20"/>
          <w:szCs w:val="20"/>
        </w:rPr>
        <w:t xml:space="preserve">De Strategische Agenda is een richtinggevend document van de </w:t>
      </w:r>
      <w:r w:rsidR="005D15DD">
        <w:rPr>
          <w:rFonts w:ascii="Verdana" w:hAnsi="Verdana"/>
          <w:sz w:val="20"/>
          <w:szCs w:val="20"/>
        </w:rPr>
        <w:t>E</w:t>
      </w:r>
      <w:r w:rsidR="00556485">
        <w:rPr>
          <w:rFonts w:ascii="Verdana" w:hAnsi="Verdana"/>
          <w:sz w:val="20"/>
          <w:szCs w:val="20"/>
        </w:rPr>
        <w:t>R</w:t>
      </w:r>
      <w:r>
        <w:rPr>
          <w:rFonts w:ascii="Verdana" w:hAnsi="Verdana"/>
          <w:sz w:val="20"/>
          <w:szCs w:val="20"/>
        </w:rPr>
        <w:t xml:space="preserve"> dat sturing geeft aan de nieuwe Commissie. Het is vervolgens aan de Commissie om de Strategische Agenda te wegen bij het vaststellen van haar politieke prioriteiten en daaraan jaarlijks invulling te geven in haar werkprogramma.</w:t>
      </w:r>
    </w:p>
    <w:p w:rsidR="00556485" w:rsidP="00E84E97" w:rsidRDefault="00556485" w14:paraId="42CB79E6" w14:textId="77777777">
      <w:pPr>
        <w:spacing w:after="0" w:line="240" w:lineRule="auto"/>
        <w:rPr>
          <w:rFonts w:ascii="Verdana" w:hAnsi="Verdana"/>
          <w:sz w:val="20"/>
          <w:szCs w:val="20"/>
        </w:rPr>
      </w:pPr>
    </w:p>
    <w:p w:rsidR="00252DDC" w:rsidP="00B86B14" w:rsidRDefault="00252DDC" w14:paraId="3A8410F0" w14:textId="3F3CC3BE">
      <w:pPr>
        <w:spacing w:line="240" w:lineRule="auto"/>
        <w:rPr>
          <w:rFonts w:ascii="Verdana" w:hAnsi="Verdana"/>
          <w:sz w:val="20"/>
          <w:szCs w:val="20"/>
        </w:rPr>
      </w:pPr>
      <w:r w:rsidRPr="00FD1B0D">
        <w:rPr>
          <w:rFonts w:ascii="Verdana" w:hAnsi="Verdana"/>
          <w:sz w:val="20"/>
          <w:szCs w:val="20"/>
        </w:rPr>
        <w:t>Een conceptversie is vertrouwelijk met uw Kamer gedeeld</w:t>
      </w:r>
      <w:r w:rsidRPr="00AE269E">
        <w:rPr>
          <w:rFonts w:ascii="Verdana" w:hAnsi="Verdana"/>
          <w:sz w:val="20"/>
          <w:szCs w:val="20"/>
        </w:rPr>
        <w:t xml:space="preserve">. </w:t>
      </w:r>
      <w:r w:rsidRPr="00FD1B0D">
        <w:rPr>
          <w:rFonts w:ascii="Verdana" w:hAnsi="Verdana"/>
          <w:sz w:val="20"/>
          <w:szCs w:val="20"/>
        </w:rPr>
        <w:t xml:space="preserve">Naar oordeel van het kabinet zijn </w:t>
      </w:r>
      <w:r w:rsidRPr="00FD1B0D" w:rsidR="007B2089">
        <w:rPr>
          <w:rFonts w:ascii="Verdana" w:hAnsi="Verdana"/>
          <w:sz w:val="20"/>
          <w:szCs w:val="20"/>
        </w:rPr>
        <w:t xml:space="preserve">de Nederlandse </w:t>
      </w:r>
      <w:r w:rsidRPr="00FD1B0D">
        <w:rPr>
          <w:rFonts w:ascii="Verdana" w:hAnsi="Verdana"/>
          <w:sz w:val="20"/>
          <w:szCs w:val="20"/>
        </w:rPr>
        <w:t>prioriteiten</w:t>
      </w:r>
      <w:r w:rsidRPr="003D05EC" w:rsidR="007B2089">
        <w:rPr>
          <w:rStyle w:val="FootnoteReference"/>
          <w:rFonts w:ascii="Verdana" w:hAnsi="Verdana"/>
          <w:sz w:val="20"/>
          <w:szCs w:val="20"/>
        </w:rPr>
        <w:footnoteReference w:id="9"/>
      </w:r>
      <w:r w:rsidRPr="00FD1B0D">
        <w:rPr>
          <w:rFonts w:ascii="Verdana" w:hAnsi="Verdana"/>
          <w:sz w:val="20"/>
          <w:szCs w:val="20"/>
        </w:rPr>
        <w:t xml:space="preserve"> goed gereflecteerd in de conceptversie, en </w:t>
      </w:r>
      <w:r w:rsidRPr="00FD1B0D" w:rsidR="007B2089">
        <w:rPr>
          <w:rFonts w:ascii="Verdana" w:hAnsi="Verdana"/>
          <w:sz w:val="20"/>
          <w:szCs w:val="20"/>
        </w:rPr>
        <w:t>het kabinet</w:t>
      </w:r>
      <w:r w:rsidRPr="00FD1B0D">
        <w:rPr>
          <w:rFonts w:ascii="Verdana" w:hAnsi="Verdana"/>
          <w:sz w:val="20"/>
          <w:szCs w:val="20"/>
        </w:rPr>
        <w:t xml:space="preserve"> ziet erop toe dat deze voldoende sterk gereflecteerd blijven in de definitieve Strategische Agenda.</w:t>
      </w:r>
      <w:r w:rsidRPr="00566C8A">
        <w:rPr>
          <w:rFonts w:ascii="Verdana" w:hAnsi="Verdana"/>
          <w:sz w:val="20"/>
          <w:szCs w:val="20"/>
        </w:rPr>
        <w:t xml:space="preserve"> </w:t>
      </w:r>
    </w:p>
    <w:p w:rsidR="007B2089" w:rsidP="00B86B14" w:rsidRDefault="007B2089" w14:paraId="5792C247" w14:textId="4486991A">
      <w:pPr>
        <w:spacing w:line="240" w:lineRule="auto"/>
        <w:rPr>
          <w:rFonts w:ascii="Verdana" w:hAnsi="Verdana"/>
          <w:sz w:val="20"/>
          <w:szCs w:val="20"/>
        </w:rPr>
      </w:pPr>
      <w:r>
        <w:rPr>
          <w:rFonts w:ascii="Verdana" w:hAnsi="Verdana"/>
          <w:sz w:val="20"/>
          <w:szCs w:val="20"/>
        </w:rPr>
        <w:t xml:space="preserve">Tevens zal de ER naar verwachting besluiten over de voordracht voor een nieuwe voorzitter van de Commissie en een nieuwe </w:t>
      </w:r>
      <w:r w:rsidRPr="007B2089">
        <w:rPr>
          <w:rFonts w:ascii="Verdana" w:hAnsi="Verdana"/>
          <w:sz w:val="20"/>
          <w:szCs w:val="20"/>
        </w:rPr>
        <w:t>Hoge Vertegenwoordiger voor buitenlandse zaken en veiligheidsbeleid.</w:t>
      </w:r>
      <w:r>
        <w:rPr>
          <w:rFonts w:ascii="Verdana" w:hAnsi="Verdana"/>
          <w:sz w:val="20"/>
          <w:szCs w:val="20"/>
        </w:rPr>
        <w:t xml:space="preserve"> Ook zal de ER naar verwachting zijn nieuwe voorzitter kiezen.</w:t>
      </w:r>
      <w:r>
        <w:rPr>
          <w:rStyle w:val="FootnoteReference"/>
          <w:rFonts w:ascii="Verdana" w:hAnsi="Verdana"/>
          <w:sz w:val="20"/>
          <w:szCs w:val="20"/>
        </w:rPr>
        <w:footnoteReference w:id="10"/>
      </w:r>
    </w:p>
    <w:p w:rsidR="00252DDC" w:rsidP="00B86B14" w:rsidRDefault="00252DDC" w14:paraId="778A9EC7" w14:textId="788AE6E8">
      <w:pPr>
        <w:spacing w:line="240" w:lineRule="auto"/>
        <w:rPr>
          <w:rFonts w:ascii="Verdana" w:hAnsi="Verdana"/>
          <w:sz w:val="20"/>
          <w:szCs w:val="20"/>
        </w:rPr>
      </w:pPr>
      <w:r>
        <w:rPr>
          <w:rFonts w:ascii="Verdana" w:hAnsi="Verdana"/>
          <w:sz w:val="20"/>
          <w:szCs w:val="20"/>
        </w:rPr>
        <w:t>Tijdens de ER</w:t>
      </w:r>
      <w:r w:rsidRPr="00075FF0">
        <w:rPr>
          <w:rFonts w:ascii="Verdana" w:hAnsi="Verdana"/>
          <w:sz w:val="20"/>
          <w:szCs w:val="20"/>
        </w:rPr>
        <w:t xml:space="preserve"> zal</w:t>
      </w:r>
      <w:r>
        <w:rPr>
          <w:rFonts w:ascii="Verdana" w:hAnsi="Verdana"/>
          <w:sz w:val="20"/>
          <w:szCs w:val="20"/>
        </w:rPr>
        <w:t xml:space="preserve"> daarnaast</w:t>
      </w:r>
      <w:r w:rsidRPr="00075FF0">
        <w:rPr>
          <w:rFonts w:ascii="Verdana" w:hAnsi="Verdana"/>
          <w:sz w:val="20"/>
          <w:szCs w:val="20"/>
        </w:rPr>
        <w:t xml:space="preserve"> naar verwachting door lidstaten een routekaart worden aangenomen om het voorbereidende werk aan EU-zijde voor toekomstige uitbreiding te structureren</w:t>
      </w:r>
      <w:r>
        <w:rPr>
          <w:rFonts w:ascii="Verdana" w:hAnsi="Verdana"/>
          <w:sz w:val="20"/>
          <w:szCs w:val="20"/>
        </w:rPr>
        <w:t xml:space="preserve">. </w:t>
      </w:r>
      <w:r w:rsidRPr="00655F7E">
        <w:rPr>
          <w:rFonts w:ascii="Verdana" w:hAnsi="Verdana"/>
          <w:sz w:val="20"/>
          <w:szCs w:val="20"/>
        </w:rPr>
        <w:t>Voorzien is dat het verdere verloop van de discussie de komende jaren zal voortduren.</w:t>
      </w:r>
    </w:p>
    <w:p w:rsidRPr="00B66520" w:rsidR="00252DDC" w:rsidP="00B86B14" w:rsidRDefault="00252DDC" w14:paraId="1BFA1F19" w14:textId="490FA5AF">
      <w:pPr>
        <w:spacing w:line="240" w:lineRule="auto"/>
        <w:rPr>
          <w:rFonts w:ascii="Verdana" w:hAnsi="Verdana"/>
          <w:sz w:val="20"/>
          <w:szCs w:val="20"/>
        </w:rPr>
      </w:pPr>
      <w:r w:rsidRPr="0056742E">
        <w:rPr>
          <w:rFonts w:ascii="Verdana" w:hAnsi="Verdana"/>
          <w:sz w:val="20"/>
          <w:szCs w:val="20"/>
        </w:rPr>
        <w:lastRenderedPageBreak/>
        <w:t xml:space="preserve">Voor het kabinet staat het behoud van handelingsvermogen voor de EU centraal: een Unie die slagvaardig is, kan ook ambities waarmaken. De EU moet een sterke en legitieme actor blijven, met goed functionerende instellingen op EU- en nationaal niveau. Dat is alleen mogelijk wanneer de rechtsstaat en grondrechten zijn gewaarborgd en worden beschermd. Daarbij is het ook van belang om oog te gehouden voor voldoende draagvlak onder EU-burgers, bedrijfsleven en maatschappelijk middenveld voor uitbreiding. </w:t>
      </w:r>
      <w:r w:rsidRPr="0056742E" w:rsidR="009D341B">
        <w:rPr>
          <w:rFonts w:ascii="Verdana" w:hAnsi="Verdana"/>
          <w:sz w:val="20"/>
          <w:szCs w:val="20"/>
        </w:rPr>
        <w:t xml:space="preserve">Het kabinet is van mening dat het voorbereidende werk van de EU zich moet richten op de volgende zes met elkaar samenhangende aspecten: (1) rechtsstaat, democratie en grondrechten; (2) geopolitiek en veiligheid; (3) financiën; (4) interne markt; (5) migratie en; (6) institutionele architectuur. </w:t>
      </w:r>
      <w:r w:rsidR="009D341B">
        <w:rPr>
          <w:rFonts w:ascii="Verdana" w:hAnsi="Verdana"/>
          <w:sz w:val="20"/>
          <w:szCs w:val="20"/>
        </w:rPr>
        <w:t>De inzet van het kabinet in deze discussie is uw Kamer toegekomen bij de GA van de informele RAZ van 29-30 april jl.</w:t>
      </w:r>
      <w:r w:rsidR="009D341B">
        <w:rPr>
          <w:rStyle w:val="FootnoteReference"/>
          <w:rFonts w:ascii="Verdana" w:hAnsi="Verdana"/>
          <w:sz w:val="20"/>
          <w:szCs w:val="20"/>
        </w:rPr>
        <w:footnoteReference w:id="11"/>
      </w:r>
      <w:r w:rsidR="009D341B">
        <w:rPr>
          <w:rFonts w:ascii="Verdana" w:hAnsi="Verdana"/>
          <w:sz w:val="20"/>
          <w:szCs w:val="20"/>
        </w:rPr>
        <w:t xml:space="preserve">  </w:t>
      </w:r>
    </w:p>
    <w:p w:rsidR="002039B1" w:rsidP="00B86B14" w:rsidRDefault="002039B1" w14:paraId="5B56A612" w14:textId="0897865D">
      <w:pPr>
        <w:spacing w:line="240" w:lineRule="auto"/>
      </w:pPr>
    </w:p>
    <w:p w:rsidRPr="00C66FEA" w:rsidR="00C66FEA" w:rsidP="00C66FEA" w:rsidRDefault="00C66FEA" w14:paraId="5FFA98C6" w14:textId="77777777"/>
    <w:p w:rsidRPr="00C66FEA" w:rsidR="00C66FEA" w:rsidP="00C66FEA" w:rsidRDefault="00C66FEA" w14:paraId="1344F2D9" w14:textId="77777777"/>
    <w:p w:rsidRPr="00C66FEA" w:rsidR="00C66FEA" w:rsidP="00C66FEA" w:rsidRDefault="00C66FEA" w14:paraId="4842CF9E" w14:textId="77777777"/>
    <w:p w:rsidRPr="00C66FEA" w:rsidR="00C66FEA" w:rsidP="00C66FEA" w:rsidRDefault="00C66FEA" w14:paraId="660B0C8B" w14:textId="77777777"/>
    <w:p w:rsidRPr="00C66FEA" w:rsidR="00C66FEA" w:rsidP="00C66FEA" w:rsidRDefault="00C66FEA" w14:paraId="328CA194" w14:textId="77777777"/>
    <w:p w:rsidRPr="00C66FEA" w:rsidR="00C66FEA" w:rsidP="00C66FEA" w:rsidRDefault="00C66FEA" w14:paraId="47F350BC" w14:textId="77777777"/>
    <w:p w:rsidR="00C66FEA" w:rsidP="00C66FEA" w:rsidRDefault="00C66FEA" w14:paraId="62C2CE2F" w14:textId="77777777"/>
    <w:p w:rsidRPr="00C66FEA" w:rsidR="00C66FEA" w:rsidP="00C66FEA" w:rsidRDefault="00C66FEA" w14:paraId="75AD04C5" w14:textId="099CF128">
      <w:pPr>
        <w:tabs>
          <w:tab w:val="left" w:pos="6209"/>
        </w:tabs>
      </w:pPr>
      <w:r>
        <w:tab/>
      </w:r>
    </w:p>
    <w:sectPr w:rsidRPr="00C66FEA" w:rsidR="00C66FEA" w:rsidSect="00967C2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93DB9" w14:textId="77777777" w:rsidR="00624BC1" w:rsidRDefault="00624BC1" w:rsidP="00624BC1">
      <w:pPr>
        <w:spacing w:after="0" w:line="240" w:lineRule="auto"/>
      </w:pPr>
      <w:r>
        <w:separator/>
      </w:r>
    </w:p>
  </w:endnote>
  <w:endnote w:type="continuationSeparator" w:id="0">
    <w:p w14:paraId="63B3D117" w14:textId="77777777" w:rsidR="00624BC1" w:rsidRDefault="00624BC1" w:rsidP="00624BC1">
      <w:pPr>
        <w:spacing w:after="0" w:line="240" w:lineRule="auto"/>
      </w:pPr>
      <w:r>
        <w:continuationSeparator/>
      </w:r>
    </w:p>
  </w:endnote>
  <w:endnote w:type="continuationNotice" w:id="1">
    <w:p w14:paraId="53EF22E5" w14:textId="77777777" w:rsidR="00624BC1" w:rsidRDefault="00624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5461" w14:textId="77777777" w:rsidR="001C6339" w:rsidRDefault="001C6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44943"/>
      <w:docPartObj>
        <w:docPartGallery w:val="Page Numbers (Bottom of Page)"/>
        <w:docPartUnique/>
      </w:docPartObj>
    </w:sdtPr>
    <w:sdtEndPr/>
    <w:sdtContent>
      <w:p w14:paraId="62E84E3C" w14:textId="3D04D266" w:rsidR="006C21F7" w:rsidRDefault="006C21F7">
        <w:pPr>
          <w:pStyle w:val="Footer"/>
          <w:jc w:val="center"/>
        </w:pPr>
        <w:r>
          <w:fldChar w:fldCharType="begin"/>
        </w:r>
        <w:r>
          <w:instrText>PAGE   \* MERGEFORMAT</w:instrText>
        </w:r>
        <w:r>
          <w:fldChar w:fldCharType="separate"/>
        </w:r>
        <w:r>
          <w:t>2</w:t>
        </w:r>
        <w:r>
          <w:fldChar w:fldCharType="end"/>
        </w:r>
      </w:p>
    </w:sdtContent>
  </w:sdt>
  <w:p w14:paraId="0FF819D9" w14:textId="77777777" w:rsidR="001A1A73" w:rsidRDefault="001A1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8504" w14:textId="77777777" w:rsidR="001C6339" w:rsidRDefault="001C6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18E87" w14:textId="77777777" w:rsidR="00624BC1" w:rsidRDefault="00624BC1" w:rsidP="00624BC1">
      <w:pPr>
        <w:spacing w:after="0" w:line="240" w:lineRule="auto"/>
      </w:pPr>
      <w:r>
        <w:separator/>
      </w:r>
    </w:p>
  </w:footnote>
  <w:footnote w:type="continuationSeparator" w:id="0">
    <w:p w14:paraId="16DAC18E" w14:textId="77777777" w:rsidR="00624BC1" w:rsidRDefault="00624BC1" w:rsidP="00624BC1">
      <w:pPr>
        <w:spacing w:after="0" w:line="240" w:lineRule="auto"/>
      </w:pPr>
      <w:r>
        <w:continuationSeparator/>
      </w:r>
    </w:p>
  </w:footnote>
  <w:footnote w:type="continuationNotice" w:id="1">
    <w:p w14:paraId="7371E946" w14:textId="77777777" w:rsidR="00624BC1" w:rsidRDefault="00624BC1">
      <w:pPr>
        <w:spacing w:after="0" w:line="240" w:lineRule="auto"/>
      </w:pPr>
    </w:p>
  </w:footnote>
  <w:footnote w:id="2">
    <w:p w14:paraId="0F98F07F" w14:textId="7C9E451C" w:rsidR="003D05EC" w:rsidRPr="001C6339" w:rsidRDefault="003D05EC" w:rsidP="001C6339">
      <w:pPr>
        <w:pStyle w:val="NoSpacing"/>
        <w:rPr>
          <w:sz w:val="14"/>
          <w:szCs w:val="14"/>
        </w:rPr>
      </w:pPr>
      <w:r w:rsidRPr="001C6339">
        <w:rPr>
          <w:rStyle w:val="FootnoteReference"/>
          <w:rFonts w:ascii="Verdana" w:hAnsi="Verdana"/>
          <w:sz w:val="14"/>
          <w:szCs w:val="14"/>
        </w:rPr>
        <w:footnoteRef/>
      </w:r>
      <w:r w:rsidRPr="001C6339">
        <w:rPr>
          <w:sz w:val="14"/>
          <w:szCs w:val="14"/>
        </w:rPr>
        <w:t xml:space="preserve"> </w:t>
      </w:r>
      <w:r w:rsidR="00DF3051" w:rsidRPr="001C6339">
        <w:rPr>
          <w:sz w:val="14"/>
          <w:szCs w:val="14"/>
        </w:rPr>
        <w:t>Zie de geannoteerde agenda van de Raad Buitenlandse Zaken van 24 jun</w:t>
      </w:r>
      <w:r w:rsidR="00FB1E85" w:rsidRPr="001C6339">
        <w:rPr>
          <w:sz w:val="14"/>
          <w:szCs w:val="14"/>
        </w:rPr>
        <w:t xml:space="preserve">i d.d. 14 juni 2024, </w:t>
      </w:r>
      <w:r w:rsidR="00581EB1" w:rsidRPr="001C6339">
        <w:rPr>
          <w:sz w:val="14"/>
          <w:szCs w:val="14"/>
        </w:rPr>
        <w:t>Kamerstuk 21501-02 nr. 2914</w:t>
      </w:r>
      <w:r w:rsidR="003771CF" w:rsidRPr="001C6339">
        <w:rPr>
          <w:sz w:val="14"/>
          <w:szCs w:val="14"/>
        </w:rPr>
        <w:t>.</w:t>
      </w:r>
    </w:p>
  </w:footnote>
  <w:footnote w:id="3">
    <w:p w14:paraId="32D11902" w14:textId="5ECE482B" w:rsidR="00DF3051" w:rsidRPr="001C6339" w:rsidRDefault="00DF3051" w:rsidP="001C6339">
      <w:pPr>
        <w:pStyle w:val="NoSpacing"/>
        <w:rPr>
          <w:sz w:val="14"/>
          <w:szCs w:val="14"/>
        </w:rPr>
      </w:pPr>
      <w:r w:rsidRPr="001C6339">
        <w:rPr>
          <w:rStyle w:val="FootnoteReference"/>
          <w:sz w:val="14"/>
          <w:szCs w:val="14"/>
        </w:rPr>
        <w:footnoteRef/>
      </w:r>
      <w:r w:rsidRPr="001C6339">
        <w:rPr>
          <w:sz w:val="14"/>
          <w:szCs w:val="14"/>
        </w:rPr>
        <w:t xml:space="preserve"> </w:t>
      </w:r>
      <w:r w:rsidR="00FB1E85" w:rsidRPr="001C6339">
        <w:rPr>
          <w:sz w:val="14"/>
          <w:szCs w:val="14"/>
        </w:rPr>
        <w:t xml:space="preserve">Zie de geannoteerde agenda van de Raad Buitenlandse Zaken van 24 juni d.d. 14 juni 2024, </w:t>
      </w:r>
      <w:r w:rsidR="00581EB1" w:rsidRPr="001C6339">
        <w:rPr>
          <w:sz w:val="14"/>
          <w:szCs w:val="14"/>
        </w:rPr>
        <w:t>Kamerstuk 21501-02 nr. 2914</w:t>
      </w:r>
      <w:r w:rsidR="003771CF" w:rsidRPr="001C6339">
        <w:rPr>
          <w:sz w:val="14"/>
          <w:szCs w:val="14"/>
        </w:rPr>
        <w:t>.</w:t>
      </w:r>
    </w:p>
  </w:footnote>
  <w:footnote w:id="4">
    <w:p w14:paraId="24E52CC0" w14:textId="4F2A52BA" w:rsidR="006D2233" w:rsidRPr="001C6339" w:rsidRDefault="006D2233" w:rsidP="001C6339">
      <w:pPr>
        <w:pStyle w:val="NoSpacing"/>
        <w:rPr>
          <w:sz w:val="14"/>
          <w:szCs w:val="14"/>
        </w:rPr>
      </w:pPr>
      <w:r w:rsidRPr="001C6339">
        <w:rPr>
          <w:rStyle w:val="FootnoteReference"/>
          <w:rFonts w:ascii="Verdana" w:hAnsi="Verdana"/>
          <w:sz w:val="14"/>
          <w:szCs w:val="14"/>
        </w:rPr>
        <w:footnoteRef/>
      </w:r>
      <w:r w:rsidRPr="001C6339">
        <w:rPr>
          <w:sz w:val="14"/>
          <w:szCs w:val="14"/>
        </w:rPr>
        <w:t xml:space="preserve"> Kamerstuk 21501-07</w:t>
      </w:r>
      <w:r w:rsidR="001A1A73" w:rsidRPr="001C6339">
        <w:rPr>
          <w:sz w:val="14"/>
          <w:szCs w:val="14"/>
        </w:rPr>
        <w:t xml:space="preserve"> </w:t>
      </w:r>
      <w:r w:rsidRPr="001C6339">
        <w:rPr>
          <w:sz w:val="14"/>
          <w:szCs w:val="14"/>
        </w:rPr>
        <w:t>nr. 2015</w:t>
      </w:r>
      <w:r w:rsidR="00FB1E85" w:rsidRPr="001C6339">
        <w:rPr>
          <w:sz w:val="14"/>
          <w:szCs w:val="14"/>
        </w:rPr>
        <w:t>.</w:t>
      </w:r>
    </w:p>
  </w:footnote>
  <w:footnote w:id="5">
    <w:p w14:paraId="6D43142B" w14:textId="1BF6843B" w:rsidR="007D4BD3" w:rsidRPr="001C6339" w:rsidRDefault="007D4BD3" w:rsidP="001C6339">
      <w:pPr>
        <w:pStyle w:val="NoSpacing"/>
        <w:rPr>
          <w:sz w:val="14"/>
          <w:szCs w:val="14"/>
        </w:rPr>
      </w:pPr>
      <w:r w:rsidRPr="001C6339">
        <w:rPr>
          <w:rStyle w:val="FootnoteReference"/>
          <w:rFonts w:ascii="Verdana" w:hAnsi="Verdana"/>
          <w:sz w:val="14"/>
          <w:szCs w:val="14"/>
        </w:rPr>
        <w:footnoteRef/>
      </w:r>
      <w:r w:rsidRPr="001C6339">
        <w:rPr>
          <w:sz w:val="14"/>
          <w:szCs w:val="14"/>
        </w:rPr>
        <w:t xml:space="preserve"> Kamerstuk</w:t>
      </w:r>
      <w:r w:rsidR="00581EB1" w:rsidRPr="001C6339">
        <w:rPr>
          <w:sz w:val="14"/>
          <w:szCs w:val="14"/>
        </w:rPr>
        <w:t xml:space="preserve"> </w:t>
      </w:r>
      <w:r w:rsidRPr="001C6339">
        <w:rPr>
          <w:sz w:val="14"/>
          <w:szCs w:val="14"/>
        </w:rPr>
        <w:t>21501-07</w:t>
      </w:r>
      <w:r w:rsidR="001A1A73" w:rsidRPr="001C6339">
        <w:rPr>
          <w:sz w:val="14"/>
          <w:szCs w:val="14"/>
        </w:rPr>
        <w:t xml:space="preserve"> </w:t>
      </w:r>
      <w:r w:rsidRPr="001C6339">
        <w:rPr>
          <w:sz w:val="14"/>
          <w:szCs w:val="14"/>
        </w:rPr>
        <w:t>nr. 2035</w:t>
      </w:r>
      <w:r w:rsidR="00FB1E85" w:rsidRPr="001C6339">
        <w:rPr>
          <w:sz w:val="14"/>
          <w:szCs w:val="14"/>
        </w:rPr>
        <w:t>.</w:t>
      </w:r>
    </w:p>
  </w:footnote>
  <w:footnote w:id="6">
    <w:p w14:paraId="632C1C33" w14:textId="27A4E97E" w:rsidR="00252DDC" w:rsidRPr="001C6339" w:rsidRDefault="00252DDC" w:rsidP="001C6339">
      <w:pPr>
        <w:pStyle w:val="NoSpacing"/>
        <w:rPr>
          <w:rFonts w:ascii="Verdana" w:hAnsi="Verdana"/>
          <w:sz w:val="14"/>
          <w:szCs w:val="14"/>
        </w:rPr>
      </w:pPr>
      <w:r w:rsidRPr="001C6339">
        <w:rPr>
          <w:rStyle w:val="FootnoteReference"/>
          <w:rFonts w:ascii="Verdana" w:hAnsi="Verdana"/>
          <w:sz w:val="14"/>
          <w:szCs w:val="14"/>
        </w:rPr>
        <w:footnoteRef/>
      </w:r>
      <w:r w:rsidRPr="001C6339">
        <w:rPr>
          <w:rFonts w:ascii="Verdana" w:hAnsi="Verdana"/>
          <w:sz w:val="14"/>
          <w:szCs w:val="14"/>
        </w:rPr>
        <w:t xml:space="preserve"> </w:t>
      </w:r>
      <w:r w:rsidR="00FB1E85" w:rsidRPr="001C6339">
        <w:rPr>
          <w:rFonts w:ascii="Verdana" w:hAnsi="Verdana"/>
          <w:sz w:val="14"/>
          <w:szCs w:val="14"/>
        </w:rPr>
        <w:t xml:space="preserve">Zie kabinetsappreciatie </w:t>
      </w:r>
      <w:proofErr w:type="spellStart"/>
      <w:r w:rsidR="00FB1E85" w:rsidRPr="001C6339">
        <w:rPr>
          <w:rFonts w:ascii="Verdana" w:hAnsi="Verdana"/>
          <w:sz w:val="14"/>
          <w:szCs w:val="14"/>
        </w:rPr>
        <w:t>Letta</w:t>
      </w:r>
      <w:proofErr w:type="spellEnd"/>
      <w:r w:rsidR="00FB1E85" w:rsidRPr="001C6339">
        <w:rPr>
          <w:rFonts w:ascii="Verdana" w:hAnsi="Verdana"/>
          <w:sz w:val="14"/>
          <w:szCs w:val="14"/>
        </w:rPr>
        <w:t xml:space="preserve"> Rapport “</w:t>
      </w:r>
      <w:proofErr w:type="spellStart"/>
      <w:r w:rsidR="00FB1E85" w:rsidRPr="001C6339">
        <w:rPr>
          <w:rFonts w:ascii="Verdana" w:hAnsi="Verdana"/>
          <w:sz w:val="14"/>
          <w:szCs w:val="14"/>
        </w:rPr>
        <w:t>Much</w:t>
      </w:r>
      <w:proofErr w:type="spellEnd"/>
      <w:r w:rsidR="00FB1E85" w:rsidRPr="001C6339">
        <w:rPr>
          <w:rFonts w:ascii="Verdana" w:hAnsi="Verdana"/>
          <w:sz w:val="14"/>
          <w:szCs w:val="14"/>
        </w:rPr>
        <w:t xml:space="preserve"> more </w:t>
      </w:r>
      <w:proofErr w:type="spellStart"/>
      <w:r w:rsidR="00FB1E85" w:rsidRPr="001C6339">
        <w:rPr>
          <w:rFonts w:ascii="Verdana" w:hAnsi="Verdana"/>
          <w:sz w:val="14"/>
          <w:szCs w:val="14"/>
        </w:rPr>
        <w:t>than</w:t>
      </w:r>
      <w:proofErr w:type="spellEnd"/>
      <w:r w:rsidR="00FB1E85" w:rsidRPr="001C6339">
        <w:rPr>
          <w:rFonts w:ascii="Verdana" w:hAnsi="Verdana"/>
          <w:sz w:val="14"/>
          <w:szCs w:val="14"/>
        </w:rPr>
        <w:t xml:space="preserve"> a Market”, </w:t>
      </w:r>
      <w:r w:rsidR="00581EB1" w:rsidRPr="001C6339">
        <w:rPr>
          <w:rFonts w:ascii="Verdana" w:hAnsi="Verdana"/>
          <w:sz w:val="14"/>
          <w:szCs w:val="14"/>
        </w:rPr>
        <w:t>bijlage bij Kamerstuk 21501-30-603</w:t>
      </w:r>
      <w:r w:rsidR="003771CF" w:rsidRPr="001C6339">
        <w:rPr>
          <w:rFonts w:ascii="Verdana" w:hAnsi="Verdana"/>
          <w:sz w:val="14"/>
          <w:szCs w:val="14"/>
        </w:rPr>
        <w:t>.</w:t>
      </w:r>
    </w:p>
  </w:footnote>
  <w:footnote w:id="7">
    <w:p w14:paraId="0C98FED4" w14:textId="0F3A94A5" w:rsidR="00253CF2" w:rsidRPr="001C6339" w:rsidRDefault="00253CF2" w:rsidP="001C6339">
      <w:pPr>
        <w:pStyle w:val="NoSpacing"/>
        <w:rPr>
          <w:rFonts w:ascii="Verdana" w:hAnsi="Verdana"/>
          <w:sz w:val="14"/>
          <w:szCs w:val="14"/>
        </w:rPr>
      </w:pPr>
      <w:r w:rsidRPr="001C6339">
        <w:rPr>
          <w:rStyle w:val="FootnoteReference"/>
          <w:rFonts w:ascii="Verdana" w:hAnsi="Verdana"/>
          <w:sz w:val="14"/>
          <w:szCs w:val="14"/>
        </w:rPr>
        <w:footnoteRef/>
      </w:r>
      <w:r w:rsidRPr="001C6339">
        <w:rPr>
          <w:rFonts w:ascii="Verdana" w:hAnsi="Verdana"/>
          <w:sz w:val="14"/>
          <w:szCs w:val="14"/>
        </w:rPr>
        <w:t xml:space="preserve"> </w:t>
      </w:r>
      <w:r w:rsidR="003D05EC" w:rsidRPr="001C6339">
        <w:rPr>
          <w:rFonts w:ascii="Verdana" w:hAnsi="Verdana"/>
          <w:sz w:val="14"/>
          <w:szCs w:val="14"/>
        </w:rPr>
        <w:t xml:space="preserve">Zie ook verwijzing naar brief in </w:t>
      </w:r>
      <w:r w:rsidR="00581EB1" w:rsidRPr="001C6339">
        <w:rPr>
          <w:rFonts w:ascii="Verdana" w:hAnsi="Verdana"/>
          <w:sz w:val="14"/>
          <w:szCs w:val="14"/>
        </w:rPr>
        <w:t xml:space="preserve">Kamerstuk </w:t>
      </w:r>
      <w:r w:rsidRPr="001C6339">
        <w:rPr>
          <w:rFonts w:ascii="Verdana" w:hAnsi="Verdana"/>
          <w:sz w:val="14"/>
          <w:szCs w:val="14"/>
        </w:rPr>
        <w:t xml:space="preserve">32317 </w:t>
      </w:r>
      <w:r w:rsidR="001A1A73" w:rsidRPr="001C6339">
        <w:rPr>
          <w:rFonts w:ascii="Verdana" w:hAnsi="Verdana"/>
          <w:sz w:val="14"/>
          <w:szCs w:val="14"/>
        </w:rPr>
        <w:t>nr.</w:t>
      </w:r>
      <w:r w:rsidRPr="001C6339">
        <w:rPr>
          <w:rFonts w:ascii="Verdana" w:hAnsi="Verdana"/>
          <w:sz w:val="14"/>
          <w:szCs w:val="14"/>
        </w:rPr>
        <w:t xml:space="preserve"> 878. </w:t>
      </w:r>
    </w:p>
  </w:footnote>
  <w:footnote w:id="8">
    <w:p w14:paraId="6CD5E80D" w14:textId="2FDC80EF" w:rsidR="00CD380D" w:rsidRPr="001C6339" w:rsidRDefault="00CD380D" w:rsidP="001C6339">
      <w:pPr>
        <w:pStyle w:val="NoSpacing"/>
        <w:rPr>
          <w:rFonts w:ascii="Verdana" w:hAnsi="Verdana"/>
          <w:b/>
          <w:bCs/>
          <w:sz w:val="14"/>
          <w:szCs w:val="14"/>
        </w:rPr>
      </w:pPr>
      <w:r w:rsidRPr="001C6339">
        <w:rPr>
          <w:rStyle w:val="FootnoteReference"/>
          <w:sz w:val="14"/>
          <w:szCs w:val="14"/>
        </w:rPr>
        <w:footnoteRef/>
      </w:r>
      <w:r w:rsidRPr="001C6339">
        <w:rPr>
          <w:sz w:val="14"/>
          <w:szCs w:val="14"/>
        </w:rPr>
        <w:t xml:space="preserve"> </w:t>
      </w:r>
      <w:r w:rsidR="00FB1E85" w:rsidRPr="001C6339">
        <w:rPr>
          <w:rFonts w:ascii="Verdana" w:hAnsi="Verdana"/>
          <w:sz w:val="14"/>
          <w:szCs w:val="14"/>
        </w:rPr>
        <w:t>Zie de geannoteerde agenda van de Raad Buitenlandse Zaken van 24 juni d.d. 14 juni 2024</w:t>
      </w:r>
      <w:r w:rsidR="00581EB1" w:rsidRPr="001C6339">
        <w:rPr>
          <w:rFonts w:ascii="Verdana" w:hAnsi="Verdana"/>
          <w:sz w:val="14"/>
          <w:szCs w:val="14"/>
        </w:rPr>
        <w:t>, Kamerstuk 21501-02 nr. 2914</w:t>
      </w:r>
      <w:r w:rsidR="003771CF" w:rsidRPr="001C6339">
        <w:rPr>
          <w:rFonts w:ascii="Verdana" w:hAnsi="Verdana"/>
          <w:sz w:val="14"/>
          <w:szCs w:val="14"/>
        </w:rPr>
        <w:t>.</w:t>
      </w:r>
    </w:p>
  </w:footnote>
  <w:footnote w:id="9">
    <w:p w14:paraId="6F52064A" w14:textId="4F73FDCD" w:rsidR="007B2089" w:rsidRPr="001C6339" w:rsidRDefault="007B2089" w:rsidP="001C6339">
      <w:pPr>
        <w:pStyle w:val="NoSpacing"/>
        <w:rPr>
          <w:rFonts w:ascii="Verdana" w:hAnsi="Verdana"/>
          <w:sz w:val="14"/>
          <w:szCs w:val="14"/>
        </w:rPr>
      </w:pPr>
      <w:r w:rsidRPr="001C6339">
        <w:rPr>
          <w:rStyle w:val="FootnoteReference"/>
          <w:rFonts w:ascii="Verdana" w:hAnsi="Verdana"/>
          <w:sz w:val="14"/>
          <w:szCs w:val="14"/>
        </w:rPr>
        <w:footnoteRef/>
      </w:r>
      <w:r w:rsidRPr="001C6339">
        <w:rPr>
          <w:rFonts w:ascii="Verdana" w:hAnsi="Verdana"/>
          <w:sz w:val="14"/>
          <w:szCs w:val="14"/>
        </w:rPr>
        <w:t xml:space="preserve"> Zie voor de Nederlandse inzet de</w:t>
      </w:r>
      <w:r w:rsidRPr="001C6339">
        <w:rPr>
          <w:rFonts w:ascii="Verdana" w:hAnsi="Verdana"/>
          <w:sz w:val="14"/>
          <w:szCs w:val="14"/>
          <w:u w:val="single"/>
        </w:rPr>
        <w:t xml:space="preserve"> </w:t>
      </w:r>
      <w:r w:rsidR="00581EB1" w:rsidRPr="001C6339">
        <w:rPr>
          <w:sz w:val="14"/>
          <w:szCs w:val="14"/>
        </w:rPr>
        <w:t>Geannoteerde Agenda Europese Raad van 21 en 22 maart 2024</w:t>
      </w:r>
      <w:r w:rsidR="00581EB1" w:rsidRPr="001C6339">
        <w:rPr>
          <w:rFonts w:ascii="Verdana" w:hAnsi="Verdana"/>
          <w:sz w:val="14"/>
          <w:szCs w:val="14"/>
        </w:rPr>
        <w:t>, Kamerstuk 21501-20 nr. 2041</w:t>
      </w:r>
      <w:r w:rsidR="003771CF" w:rsidRPr="001C6339">
        <w:rPr>
          <w:rFonts w:ascii="Verdana" w:hAnsi="Verdana"/>
          <w:sz w:val="14"/>
          <w:szCs w:val="14"/>
        </w:rPr>
        <w:t>.</w:t>
      </w:r>
    </w:p>
  </w:footnote>
  <w:footnote w:id="10">
    <w:p w14:paraId="2B5BA20E" w14:textId="541BF432" w:rsidR="007B2089" w:rsidRPr="001C6339" w:rsidRDefault="007B2089" w:rsidP="001C6339">
      <w:pPr>
        <w:pStyle w:val="NoSpacing"/>
        <w:rPr>
          <w:rFonts w:ascii="Verdana" w:hAnsi="Verdana"/>
          <w:sz w:val="14"/>
          <w:szCs w:val="14"/>
        </w:rPr>
      </w:pPr>
      <w:r w:rsidRPr="001C6339">
        <w:rPr>
          <w:rStyle w:val="FootnoteReference"/>
          <w:rFonts w:ascii="Verdana" w:hAnsi="Verdana"/>
          <w:sz w:val="14"/>
          <w:szCs w:val="14"/>
        </w:rPr>
        <w:footnoteRef/>
      </w:r>
      <w:r w:rsidRPr="001C6339">
        <w:rPr>
          <w:rFonts w:ascii="Verdana" w:hAnsi="Verdana"/>
          <w:sz w:val="14"/>
          <w:szCs w:val="14"/>
        </w:rPr>
        <w:t xml:space="preserve"> Zie voor de procedures hiertoe </w:t>
      </w:r>
      <w:r w:rsidR="001A1A73" w:rsidRPr="001C6339">
        <w:rPr>
          <w:rFonts w:ascii="Verdana" w:hAnsi="Verdana"/>
          <w:sz w:val="14"/>
          <w:szCs w:val="14"/>
        </w:rPr>
        <w:t>Geannoteerde agenda voor de informele Europese Raad van 17 juni 2024, Kamerstuk 21501-20 nr. 2088</w:t>
      </w:r>
      <w:r w:rsidR="003771CF" w:rsidRPr="001C6339">
        <w:rPr>
          <w:rFonts w:ascii="Verdana" w:hAnsi="Verdana"/>
          <w:sz w:val="14"/>
          <w:szCs w:val="14"/>
        </w:rPr>
        <w:t>.</w:t>
      </w:r>
    </w:p>
  </w:footnote>
  <w:footnote w:id="11">
    <w:p w14:paraId="78541319" w14:textId="498C54FA" w:rsidR="009D341B" w:rsidRPr="00167698" w:rsidRDefault="009D341B" w:rsidP="001C6339">
      <w:pPr>
        <w:pStyle w:val="NoSpacing"/>
        <w:rPr>
          <w:rFonts w:ascii="Verdana" w:hAnsi="Verdana"/>
        </w:rPr>
      </w:pPr>
      <w:r w:rsidRPr="001C6339">
        <w:rPr>
          <w:rStyle w:val="FootnoteReference"/>
          <w:rFonts w:ascii="Verdana" w:hAnsi="Verdana"/>
          <w:sz w:val="14"/>
          <w:szCs w:val="14"/>
        </w:rPr>
        <w:footnoteRef/>
      </w:r>
      <w:r w:rsidRPr="001C6339">
        <w:rPr>
          <w:rFonts w:ascii="Verdana" w:hAnsi="Verdana"/>
          <w:sz w:val="14"/>
          <w:szCs w:val="14"/>
        </w:rPr>
        <w:t xml:space="preserve"> Kamerstuk 21501-02 nr.2887</w:t>
      </w:r>
      <w:r w:rsidR="003771CF" w:rsidRPr="001C6339">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FFD0" w14:textId="77777777" w:rsidR="001C6339" w:rsidRDefault="001C6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7BF4" w14:textId="77777777" w:rsidR="001C6339" w:rsidRDefault="001C6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B6B5" w14:textId="77777777" w:rsidR="001C6339" w:rsidRDefault="001C6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161"/>
    <w:multiLevelType w:val="hybridMultilevel"/>
    <w:tmpl w:val="A242555A"/>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EC0FAC"/>
    <w:multiLevelType w:val="hybridMultilevel"/>
    <w:tmpl w:val="C9C2C5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386752"/>
    <w:multiLevelType w:val="hybridMultilevel"/>
    <w:tmpl w:val="F31AB91C"/>
    <w:lvl w:ilvl="0" w:tplc="18FAB5A4">
      <w:start w:val="1"/>
      <w:numFmt w:val="bullet"/>
      <w:lvlText w:val=""/>
      <w:lvlJc w:val="left"/>
      <w:pPr>
        <w:ind w:left="720" w:hanging="360"/>
      </w:pPr>
      <w:rPr>
        <w:rFonts w:ascii="Symbol" w:hAnsi="Symbol" w:hint="default"/>
      </w:rPr>
    </w:lvl>
    <w:lvl w:ilvl="1" w:tplc="E1EA5408">
      <w:start w:val="1"/>
      <w:numFmt w:val="bullet"/>
      <w:lvlText w:val="o"/>
      <w:lvlJc w:val="left"/>
      <w:pPr>
        <w:ind w:left="1440" w:hanging="360"/>
      </w:pPr>
      <w:rPr>
        <w:rFonts w:ascii="Courier New" w:hAnsi="Courier New" w:hint="default"/>
      </w:rPr>
    </w:lvl>
    <w:lvl w:ilvl="2" w:tplc="2E50030A">
      <w:start w:val="1"/>
      <w:numFmt w:val="bullet"/>
      <w:lvlText w:val=""/>
      <w:lvlJc w:val="left"/>
      <w:pPr>
        <w:ind w:left="2160" w:hanging="360"/>
      </w:pPr>
      <w:rPr>
        <w:rFonts w:ascii="Wingdings" w:hAnsi="Wingdings" w:hint="default"/>
      </w:rPr>
    </w:lvl>
    <w:lvl w:ilvl="3" w:tplc="EE2C8FF6">
      <w:start w:val="1"/>
      <w:numFmt w:val="bullet"/>
      <w:lvlText w:val=""/>
      <w:lvlJc w:val="left"/>
      <w:pPr>
        <w:ind w:left="2880" w:hanging="360"/>
      </w:pPr>
      <w:rPr>
        <w:rFonts w:ascii="Symbol" w:hAnsi="Symbol" w:hint="default"/>
      </w:rPr>
    </w:lvl>
    <w:lvl w:ilvl="4" w:tplc="71901182">
      <w:start w:val="1"/>
      <w:numFmt w:val="bullet"/>
      <w:lvlText w:val="o"/>
      <w:lvlJc w:val="left"/>
      <w:pPr>
        <w:ind w:left="3600" w:hanging="360"/>
      </w:pPr>
      <w:rPr>
        <w:rFonts w:ascii="Courier New" w:hAnsi="Courier New" w:hint="default"/>
      </w:rPr>
    </w:lvl>
    <w:lvl w:ilvl="5" w:tplc="0D4A4D58">
      <w:start w:val="1"/>
      <w:numFmt w:val="bullet"/>
      <w:lvlText w:val=""/>
      <w:lvlJc w:val="left"/>
      <w:pPr>
        <w:ind w:left="4320" w:hanging="360"/>
      </w:pPr>
      <w:rPr>
        <w:rFonts w:ascii="Wingdings" w:hAnsi="Wingdings" w:hint="default"/>
      </w:rPr>
    </w:lvl>
    <w:lvl w:ilvl="6" w:tplc="AF98EB3C">
      <w:start w:val="1"/>
      <w:numFmt w:val="bullet"/>
      <w:lvlText w:val=""/>
      <w:lvlJc w:val="left"/>
      <w:pPr>
        <w:ind w:left="5040" w:hanging="360"/>
      </w:pPr>
      <w:rPr>
        <w:rFonts w:ascii="Symbol" w:hAnsi="Symbol" w:hint="default"/>
      </w:rPr>
    </w:lvl>
    <w:lvl w:ilvl="7" w:tplc="04BE249C">
      <w:start w:val="1"/>
      <w:numFmt w:val="bullet"/>
      <w:lvlText w:val="o"/>
      <w:lvlJc w:val="left"/>
      <w:pPr>
        <w:ind w:left="5760" w:hanging="360"/>
      </w:pPr>
      <w:rPr>
        <w:rFonts w:ascii="Courier New" w:hAnsi="Courier New" w:hint="default"/>
      </w:rPr>
    </w:lvl>
    <w:lvl w:ilvl="8" w:tplc="EDF8D258">
      <w:start w:val="1"/>
      <w:numFmt w:val="bullet"/>
      <w:lvlText w:val=""/>
      <w:lvlJc w:val="left"/>
      <w:pPr>
        <w:ind w:left="6480" w:hanging="360"/>
      </w:pPr>
      <w:rPr>
        <w:rFonts w:ascii="Wingdings" w:hAnsi="Wingdings" w:hint="default"/>
      </w:rPr>
    </w:lvl>
  </w:abstractNum>
  <w:abstractNum w:abstractNumId="3" w15:restartNumberingAfterBreak="0">
    <w:nsid w:val="7E6968B9"/>
    <w:multiLevelType w:val="hybridMultilevel"/>
    <w:tmpl w:val="59AEC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261901">
    <w:abstractNumId w:val="2"/>
  </w:num>
  <w:num w:numId="2" w16cid:durableId="1646547456">
    <w:abstractNumId w:val="1"/>
  </w:num>
  <w:num w:numId="3" w16cid:durableId="816217063">
    <w:abstractNumId w:val="3"/>
  </w:num>
  <w:num w:numId="4" w16cid:durableId="54822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F3"/>
    <w:rsid w:val="0000212B"/>
    <w:rsid w:val="00002853"/>
    <w:rsid w:val="00002F63"/>
    <w:rsid w:val="00004438"/>
    <w:rsid w:val="00014969"/>
    <w:rsid w:val="00014AA9"/>
    <w:rsid w:val="000155D1"/>
    <w:rsid w:val="000233E2"/>
    <w:rsid w:val="000259D1"/>
    <w:rsid w:val="00027AF4"/>
    <w:rsid w:val="00033D63"/>
    <w:rsid w:val="000350CC"/>
    <w:rsid w:val="00035957"/>
    <w:rsid w:val="000361DB"/>
    <w:rsid w:val="000440E0"/>
    <w:rsid w:val="00047F6F"/>
    <w:rsid w:val="000534B9"/>
    <w:rsid w:val="000567C7"/>
    <w:rsid w:val="000646A3"/>
    <w:rsid w:val="0006615A"/>
    <w:rsid w:val="000717E3"/>
    <w:rsid w:val="00075FF0"/>
    <w:rsid w:val="000764D5"/>
    <w:rsid w:val="00084A36"/>
    <w:rsid w:val="000867D7"/>
    <w:rsid w:val="00086FEB"/>
    <w:rsid w:val="000900A7"/>
    <w:rsid w:val="000948C3"/>
    <w:rsid w:val="00096009"/>
    <w:rsid w:val="00097518"/>
    <w:rsid w:val="000A02A4"/>
    <w:rsid w:val="000A17A3"/>
    <w:rsid w:val="000A1860"/>
    <w:rsid w:val="000A18BE"/>
    <w:rsid w:val="000A2CBC"/>
    <w:rsid w:val="000A5DE0"/>
    <w:rsid w:val="000A5FF2"/>
    <w:rsid w:val="000B0B88"/>
    <w:rsid w:val="000B25C6"/>
    <w:rsid w:val="000B633C"/>
    <w:rsid w:val="000C5F77"/>
    <w:rsid w:val="000D13B1"/>
    <w:rsid w:val="000E1ACE"/>
    <w:rsid w:val="000E61AA"/>
    <w:rsid w:val="00100E8E"/>
    <w:rsid w:val="001074D0"/>
    <w:rsid w:val="00110888"/>
    <w:rsid w:val="00113080"/>
    <w:rsid w:val="001160DE"/>
    <w:rsid w:val="0012018D"/>
    <w:rsid w:val="00123518"/>
    <w:rsid w:val="00126604"/>
    <w:rsid w:val="00141E9F"/>
    <w:rsid w:val="0015024F"/>
    <w:rsid w:val="00150F8F"/>
    <w:rsid w:val="00153310"/>
    <w:rsid w:val="00160870"/>
    <w:rsid w:val="00165A6F"/>
    <w:rsid w:val="001665A0"/>
    <w:rsid w:val="00167698"/>
    <w:rsid w:val="00167C96"/>
    <w:rsid w:val="001700CE"/>
    <w:rsid w:val="00171740"/>
    <w:rsid w:val="00172DFC"/>
    <w:rsid w:val="001773A2"/>
    <w:rsid w:val="00181AC9"/>
    <w:rsid w:val="0018258C"/>
    <w:rsid w:val="00193A15"/>
    <w:rsid w:val="00197202"/>
    <w:rsid w:val="001A1A73"/>
    <w:rsid w:val="001A7900"/>
    <w:rsid w:val="001B2F44"/>
    <w:rsid w:val="001B42F0"/>
    <w:rsid w:val="001B4A08"/>
    <w:rsid w:val="001B6562"/>
    <w:rsid w:val="001C3144"/>
    <w:rsid w:val="001C4B46"/>
    <w:rsid w:val="001C6339"/>
    <w:rsid w:val="001D3843"/>
    <w:rsid w:val="001D6B33"/>
    <w:rsid w:val="001E1F45"/>
    <w:rsid w:val="001E29C3"/>
    <w:rsid w:val="001E728C"/>
    <w:rsid w:val="001F04DA"/>
    <w:rsid w:val="001F2CA5"/>
    <w:rsid w:val="001F3B89"/>
    <w:rsid w:val="0020064F"/>
    <w:rsid w:val="002039B1"/>
    <w:rsid w:val="00220899"/>
    <w:rsid w:val="00220961"/>
    <w:rsid w:val="00225C4C"/>
    <w:rsid w:val="00226AA7"/>
    <w:rsid w:val="0023039F"/>
    <w:rsid w:val="002359E7"/>
    <w:rsid w:val="00245E1A"/>
    <w:rsid w:val="00247EF8"/>
    <w:rsid w:val="00252DDC"/>
    <w:rsid w:val="002537E7"/>
    <w:rsid w:val="00253CF2"/>
    <w:rsid w:val="00260AA9"/>
    <w:rsid w:val="00263156"/>
    <w:rsid w:val="00265BBD"/>
    <w:rsid w:val="00274E8E"/>
    <w:rsid w:val="0027510C"/>
    <w:rsid w:val="00275703"/>
    <w:rsid w:val="0028212C"/>
    <w:rsid w:val="002853B5"/>
    <w:rsid w:val="00286C8E"/>
    <w:rsid w:val="00286F29"/>
    <w:rsid w:val="0029324E"/>
    <w:rsid w:val="002979BA"/>
    <w:rsid w:val="002B6C6D"/>
    <w:rsid w:val="002C62F1"/>
    <w:rsid w:val="002D6F52"/>
    <w:rsid w:val="002E1049"/>
    <w:rsid w:val="002E4EDB"/>
    <w:rsid w:val="002E6849"/>
    <w:rsid w:val="002E6E0C"/>
    <w:rsid w:val="002E7CB7"/>
    <w:rsid w:val="0030018B"/>
    <w:rsid w:val="00301377"/>
    <w:rsid w:val="00303AB8"/>
    <w:rsid w:val="00305200"/>
    <w:rsid w:val="003127DB"/>
    <w:rsid w:val="00313616"/>
    <w:rsid w:val="00314B4F"/>
    <w:rsid w:val="00321C9F"/>
    <w:rsid w:val="0032205A"/>
    <w:rsid w:val="00324689"/>
    <w:rsid w:val="003304D7"/>
    <w:rsid w:val="0033511B"/>
    <w:rsid w:val="00337090"/>
    <w:rsid w:val="003408A2"/>
    <w:rsid w:val="00342DA4"/>
    <w:rsid w:val="003437D2"/>
    <w:rsid w:val="00343D78"/>
    <w:rsid w:val="00346F81"/>
    <w:rsid w:val="00353380"/>
    <w:rsid w:val="003538F6"/>
    <w:rsid w:val="00353D91"/>
    <w:rsid w:val="00353DBD"/>
    <w:rsid w:val="00355F91"/>
    <w:rsid w:val="003568D4"/>
    <w:rsid w:val="003673B0"/>
    <w:rsid w:val="003771CF"/>
    <w:rsid w:val="00380A11"/>
    <w:rsid w:val="00382F80"/>
    <w:rsid w:val="00385098"/>
    <w:rsid w:val="003868D3"/>
    <w:rsid w:val="00386905"/>
    <w:rsid w:val="003976AA"/>
    <w:rsid w:val="003A26E4"/>
    <w:rsid w:val="003A2937"/>
    <w:rsid w:val="003B0D4C"/>
    <w:rsid w:val="003B3F51"/>
    <w:rsid w:val="003C05B3"/>
    <w:rsid w:val="003C119D"/>
    <w:rsid w:val="003C190C"/>
    <w:rsid w:val="003C26E4"/>
    <w:rsid w:val="003C333C"/>
    <w:rsid w:val="003C359C"/>
    <w:rsid w:val="003D05EC"/>
    <w:rsid w:val="003D3623"/>
    <w:rsid w:val="003D732D"/>
    <w:rsid w:val="003E158E"/>
    <w:rsid w:val="003E1815"/>
    <w:rsid w:val="003E3B43"/>
    <w:rsid w:val="003F14F7"/>
    <w:rsid w:val="003F25E2"/>
    <w:rsid w:val="003F3AE8"/>
    <w:rsid w:val="003F56D5"/>
    <w:rsid w:val="004007E8"/>
    <w:rsid w:val="00400834"/>
    <w:rsid w:val="004009FE"/>
    <w:rsid w:val="00402D4D"/>
    <w:rsid w:val="00410329"/>
    <w:rsid w:val="00410748"/>
    <w:rsid w:val="004121D6"/>
    <w:rsid w:val="00416589"/>
    <w:rsid w:val="004169EA"/>
    <w:rsid w:val="00420F1A"/>
    <w:rsid w:val="00437A16"/>
    <w:rsid w:val="00440D47"/>
    <w:rsid w:val="00441720"/>
    <w:rsid w:val="00451B71"/>
    <w:rsid w:val="0045360F"/>
    <w:rsid w:val="00461762"/>
    <w:rsid w:val="00465D06"/>
    <w:rsid w:val="004668E7"/>
    <w:rsid w:val="004679E9"/>
    <w:rsid w:val="0047474E"/>
    <w:rsid w:val="00476EE8"/>
    <w:rsid w:val="00480349"/>
    <w:rsid w:val="00482560"/>
    <w:rsid w:val="004958C6"/>
    <w:rsid w:val="00495B3A"/>
    <w:rsid w:val="00497682"/>
    <w:rsid w:val="004B222C"/>
    <w:rsid w:val="004B78B0"/>
    <w:rsid w:val="004D4CA6"/>
    <w:rsid w:val="004D7E3E"/>
    <w:rsid w:val="004E0ADF"/>
    <w:rsid w:val="004E13FE"/>
    <w:rsid w:val="004F099C"/>
    <w:rsid w:val="0050478F"/>
    <w:rsid w:val="00511EC0"/>
    <w:rsid w:val="0051568B"/>
    <w:rsid w:val="00523098"/>
    <w:rsid w:val="005230BD"/>
    <w:rsid w:val="00523326"/>
    <w:rsid w:val="00534920"/>
    <w:rsid w:val="005352FC"/>
    <w:rsid w:val="00545478"/>
    <w:rsid w:val="0054701C"/>
    <w:rsid w:val="00552E72"/>
    <w:rsid w:val="00556485"/>
    <w:rsid w:val="005564CD"/>
    <w:rsid w:val="0056377E"/>
    <w:rsid w:val="00566C8A"/>
    <w:rsid w:val="0056742E"/>
    <w:rsid w:val="0057265A"/>
    <w:rsid w:val="00575C40"/>
    <w:rsid w:val="00576A9D"/>
    <w:rsid w:val="00577B14"/>
    <w:rsid w:val="00581EB1"/>
    <w:rsid w:val="00586983"/>
    <w:rsid w:val="005876E6"/>
    <w:rsid w:val="0059138C"/>
    <w:rsid w:val="00593843"/>
    <w:rsid w:val="00594B61"/>
    <w:rsid w:val="005A7C92"/>
    <w:rsid w:val="005C3396"/>
    <w:rsid w:val="005C3D00"/>
    <w:rsid w:val="005D15DD"/>
    <w:rsid w:val="005D2C5C"/>
    <w:rsid w:val="005D3523"/>
    <w:rsid w:val="005F14AD"/>
    <w:rsid w:val="005F2614"/>
    <w:rsid w:val="005F2B3A"/>
    <w:rsid w:val="005F301D"/>
    <w:rsid w:val="006030CB"/>
    <w:rsid w:val="006050CC"/>
    <w:rsid w:val="00607CB5"/>
    <w:rsid w:val="0061076C"/>
    <w:rsid w:val="006151F8"/>
    <w:rsid w:val="00615F99"/>
    <w:rsid w:val="006170CE"/>
    <w:rsid w:val="00622060"/>
    <w:rsid w:val="00624BC1"/>
    <w:rsid w:val="0063326C"/>
    <w:rsid w:val="0063472F"/>
    <w:rsid w:val="0063667B"/>
    <w:rsid w:val="006368EB"/>
    <w:rsid w:val="00640197"/>
    <w:rsid w:val="00641776"/>
    <w:rsid w:val="00642233"/>
    <w:rsid w:val="006431DE"/>
    <w:rsid w:val="00650D57"/>
    <w:rsid w:val="00651A0E"/>
    <w:rsid w:val="00651AF6"/>
    <w:rsid w:val="00655F7E"/>
    <w:rsid w:val="00663F2E"/>
    <w:rsid w:val="00664625"/>
    <w:rsid w:val="00664C5D"/>
    <w:rsid w:val="006715C3"/>
    <w:rsid w:val="00676A0F"/>
    <w:rsid w:val="00677611"/>
    <w:rsid w:val="00677BEE"/>
    <w:rsid w:val="00682335"/>
    <w:rsid w:val="00682BB6"/>
    <w:rsid w:val="00692B2A"/>
    <w:rsid w:val="00694115"/>
    <w:rsid w:val="00695FFA"/>
    <w:rsid w:val="0069707B"/>
    <w:rsid w:val="00697403"/>
    <w:rsid w:val="00697D20"/>
    <w:rsid w:val="006B6018"/>
    <w:rsid w:val="006C13BD"/>
    <w:rsid w:val="006C21F7"/>
    <w:rsid w:val="006C4E81"/>
    <w:rsid w:val="006D2233"/>
    <w:rsid w:val="006D5D37"/>
    <w:rsid w:val="006E1F7A"/>
    <w:rsid w:val="006E46E6"/>
    <w:rsid w:val="006E5FCA"/>
    <w:rsid w:val="006F48CE"/>
    <w:rsid w:val="006F4E2D"/>
    <w:rsid w:val="006F6045"/>
    <w:rsid w:val="006F7A70"/>
    <w:rsid w:val="00705617"/>
    <w:rsid w:val="007117EC"/>
    <w:rsid w:val="00714F79"/>
    <w:rsid w:val="007218ED"/>
    <w:rsid w:val="007234CE"/>
    <w:rsid w:val="00723BD8"/>
    <w:rsid w:val="007242EC"/>
    <w:rsid w:val="007255B5"/>
    <w:rsid w:val="00752595"/>
    <w:rsid w:val="007530FE"/>
    <w:rsid w:val="007556D6"/>
    <w:rsid w:val="00760DD7"/>
    <w:rsid w:val="00765E9C"/>
    <w:rsid w:val="00772F6F"/>
    <w:rsid w:val="00776BCE"/>
    <w:rsid w:val="0077727A"/>
    <w:rsid w:val="0078271E"/>
    <w:rsid w:val="00785BB2"/>
    <w:rsid w:val="00785E78"/>
    <w:rsid w:val="00792D5C"/>
    <w:rsid w:val="007956DE"/>
    <w:rsid w:val="007A6C58"/>
    <w:rsid w:val="007B0C02"/>
    <w:rsid w:val="007B0E62"/>
    <w:rsid w:val="007B2089"/>
    <w:rsid w:val="007B2B4D"/>
    <w:rsid w:val="007B2DBD"/>
    <w:rsid w:val="007B65CE"/>
    <w:rsid w:val="007C1C77"/>
    <w:rsid w:val="007C2B57"/>
    <w:rsid w:val="007C4835"/>
    <w:rsid w:val="007C580F"/>
    <w:rsid w:val="007C7AE9"/>
    <w:rsid w:val="007D4BD3"/>
    <w:rsid w:val="007E0AE0"/>
    <w:rsid w:val="007E2C49"/>
    <w:rsid w:val="007E313C"/>
    <w:rsid w:val="007E361E"/>
    <w:rsid w:val="007E4A52"/>
    <w:rsid w:val="007E6D0F"/>
    <w:rsid w:val="007E7797"/>
    <w:rsid w:val="007F09C2"/>
    <w:rsid w:val="007F2DE4"/>
    <w:rsid w:val="007F4136"/>
    <w:rsid w:val="00802F18"/>
    <w:rsid w:val="00804900"/>
    <w:rsid w:val="008058E8"/>
    <w:rsid w:val="008345B8"/>
    <w:rsid w:val="00834F6D"/>
    <w:rsid w:val="008359A4"/>
    <w:rsid w:val="00842B30"/>
    <w:rsid w:val="00844288"/>
    <w:rsid w:val="0085717B"/>
    <w:rsid w:val="008662C4"/>
    <w:rsid w:val="00867AD4"/>
    <w:rsid w:val="00872B1C"/>
    <w:rsid w:val="00876E4A"/>
    <w:rsid w:val="008909DE"/>
    <w:rsid w:val="008A5A79"/>
    <w:rsid w:val="008B0EE0"/>
    <w:rsid w:val="008B1215"/>
    <w:rsid w:val="008B626B"/>
    <w:rsid w:val="008B7339"/>
    <w:rsid w:val="008B757D"/>
    <w:rsid w:val="008C047B"/>
    <w:rsid w:val="008C58F1"/>
    <w:rsid w:val="008C67A1"/>
    <w:rsid w:val="008D17B1"/>
    <w:rsid w:val="008D2ED5"/>
    <w:rsid w:val="008D570C"/>
    <w:rsid w:val="008D62C4"/>
    <w:rsid w:val="008E1950"/>
    <w:rsid w:val="008E33AB"/>
    <w:rsid w:val="00901946"/>
    <w:rsid w:val="00901CC5"/>
    <w:rsid w:val="00904438"/>
    <w:rsid w:val="00914394"/>
    <w:rsid w:val="009338CD"/>
    <w:rsid w:val="00937AD5"/>
    <w:rsid w:val="00940DA3"/>
    <w:rsid w:val="00942A58"/>
    <w:rsid w:val="00960340"/>
    <w:rsid w:val="00967C23"/>
    <w:rsid w:val="00967F31"/>
    <w:rsid w:val="00973333"/>
    <w:rsid w:val="009738FF"/>
    <w:rsid w:val="00985D4D"/>
    <w:rsid w:val="009877DE"/>
    <w:rsid w:val="009901B4"/>
    <w:rsid w:val="0099451B"/>
    <w:rsid w:val="00997980"/>
    <w:rsid w:val="009B0F22"/>
    <w:rsid w:val="009B4F8A"/>
    <w:rsid w:val="009C239F"/>
    <w:rsid w:val="009D2075"/>
    <w:rsid w:val="009D341B"/>
    <w:rsid w:val="009D49F3"/>
    <w:rsid w:val="009D55AB"/>
    <w:rsid w:val="009F30F3"/>
    <w:rsid w:val="00A00E85"/>
    <w:rsid w:val="00A024DA"/>
    <w:rsid w:val="00A07A50"/>
    <w:rsid w:val="00A11B9B"/>
    <w:rsid w:val="00A16224"/>
    <w:rsid w:val="00A17358"/>
    <w:rsid w:val="00A215F7"/>
    <w:rsid w:val="00A23DDC"/>
    <w:rsid w:val="00A31126"/>
    <w:rsid w:val="00A314B6"/>
    <w:rsid w:val="00A33E12"/>
    <w:rsid w:val="00A3758F"/>
    <w:rsid w:val="00A45191"/>
    <w:rsid w:val="00A569AD"/>
    <w:rsid w:val="00A65AEA"/>
    <w:rsid w:val="00A66414"/>
    <w:rsid w:val="00A711D6"/>
    <w:rsid w:val="00A7133D"/>
    <w:rsid w:val="00A73405"/>
    <w:rsid w:val="00A75E15"/>
    <w:rsid w:val="00A76C31"/>
    <w:rsid w:val="00A778AB"/>
    <w:rsid w:val="00A81D05"/>
    <w:rsid w:val="00A93E63"/>
    <w:rsid w:val="00A94235"/>
    <w:rsid w:val="00A962E8"/>
    <w:rsid w:val="00AA012D"/>
    <w:rsid w:val="00AA40AE"/>
    <w:rsid w:val="00AA71EB"/>
    <w:rsid w:val="00AB0709"/>
    <w:rsid w:val="00AC3F3B"/>
    <w:rsid w:val="00AC4AB1"/>
    <w:rsid w:val="00AC5599"/>
    <w:rsid w:val="00AC589E"/>
    <w:rsid w:val="00AD1ED4"/>
    <w:rsid w:val="00AD30B9"/>
    <w:rsid w:val="00AE1482"/>
    <w:rsid w:val="00AE2275"/>
    <w:rsid w:val="00AE269E"/>
    <w:rsid w:val="00AE362B"/>
    <w:rsid w:val="00AE367D"/>
    <w:rsid w:val="00AE4915"/>
    <w:rsid w:val="00AE5AFE"/>
    <w:rsid w:val="00AF0740"/>
    <w:rsid w:val="00AF29FE"/>
    <w:rsid w:val="00AF3A1E"/>
    <w:rsid w:val="00B00C81"/>
    <w:rsid w:val="00B10C9B"/>
    <w:rsid w:val="00B11543"/>
    <w:rsid w:val="00B129F0"/>
    <w:rsid w:val="00B148C2"/>
    <w:rsid w:val="00B20BA4"/>
    <w:rsid w:val="00B243B6"/>
    <w:rsid w:val="00B24CBF"/>
    <w:rsid w:val="00B31075"/>
    <w:rsid w:val="00B355E5"/>
    <w:rsid w:val="00B561D0"/>
    <w:rsid w:val="00B56DA2"/>
    <w:rsid w:val="00B57560"/>
    <w:rsid w:val="00B65897"/>
    <w:rsid w:val="00B66520"/>
    <w:rsid w:val="00B66AB0"/>
    <w:rsid w:val="00B70729"/>
    <w:rsid w:val="00B70941"/>
    <w:rsid w:val="00B81579"/>
    <w:rsid w:val="00B85850"/>
    <w:rsid w:val="00B85FF7"/>
    <w:rsid w:val="00B86036"/>
    <w:rsid w:val="00B86B14"/>
    <w:rsid w:val="00B86EDC"/>
    <w:rsid w:val="00B91872"/>
    <w:rsid w:val="00B95A5B"/>
    <w:rsid w:val="00BA2E1B"/>
    <w:rsid w:val="00BA6BA1"/>
    <w:rsid w:val="00BB1640"/>
    <w:rsid w:val="00BB2ACA"/>
    <w:rsid w:val="00BB2CA5"/>
    <w:rsid w:val="00BC35D6"/>
    <w:rsid w:val="00BC48DA"/>
    <w:rsid w:val="00BC72A4"/>
    <w:rsid w:val="00BC76B1"/>
    <w:rsid w:val="00BD189D"/>
    <w:rsid w:val="00BF4E0E"/>
    <w:rsid w:val="00C03FD6"/>
    <w:rsid w:val="00C124DB"/>
    <w:rsid w:val="00C16570"/>
    <w:rsid w:val="00C17C48"/>
    <w:rsid w:val="00C20706"/>
    <w:rsid w:val="00C212AD"/>
    <w:rsid w:val="00C2753F"/>
    <w:rsid w:val="00C307D5"/>
    <w:rsid w:val="00C36B1A"/>
    <w:rsid w:val="00C54E76"/>
    <w:rsid w:val="00C55BAA"/>
    <w:rsid w:val="00C623D5"/>
    <w:rsid w:val="00C66FEA"/>
    <w:rsid w:val="00C734F1"/>
    <w:rsid w:val="00C739ED"/>
    <w:rsid w:val="00C7406F"/>
    <w:rsid w:val="00C760AF"/>
    <w:rsid w:val="00C805ED"/>
    <w:rsid w:val="00C82835"/>
    <w:rsid w:val="00C95E98"/>
    <w:rsid w:val="00C96540"/>
    <w:rsid w:val="00CA3224"/>
    <w:rsid w:val="00CA3BA7"/>
    <w:rsid w:val="00CA68CF"/>
    <w:rsid w:val="00CA6EE3"/>
    <w:rsid w:val="00CB7C46"/>
    <w:rsid w:val="00CC207D"/>
    <w:rsid w:val="00CD00F3"/>
    <w:rsid w:val="00CD380D"/>
    <w:rsid w:val="00CD3B98"/>
    <w:rsid w:val="00CD5F30"/>
    <w:rsid w:val="00CD748F"/>
    <w:rsid w:val="00CE0C30"/>
    <w:rsid w:val="00CE12D9"/>
    <w:rsid w:val="00CE1648"/>
    <w:rsid w:val="00CE1CD4"/>
    <w:rsid w:val="00CE53DC"/>
    <w:rsid w:val="00CF7EB3"/>
    <w:rsid w:val="00D04E1E"/>
    <w:rsid w:val="00D04F52"/>
    <w:rsid w:val="00D07FD0"/>
    <w:rsid w:val="00D13F83"/>
    <w:rsid w:val="00D1546E"/>
    <w:rsid w:val="00D1662D"/>
    <w:rsid w:val="00D377C7"/>
    <w:rsid w:val="00D41487"/>
    <w:rsid w:val="00D41CB7"/>
    <w:rsid w:val="00D4541D"/>
    <w:rsid w:val="00D504B4"/>
    <w:rsid w:val="00D536E1"/>
    <w:rsid w:val="00D53CAA"/>
    <w:rsid w:val="00D55E28"/>
    <w:rsid w:val="00D578AE"/>
    <w:rsid w:val="00D6068E"/>
    <w:rsid w:val="00D61E6D"/>
    <w:rsid w:val="00D62BE5"/>
    <w:rsid w:val="00D655AC"/>
    <w:rsid w:val="00D65B6B"/>
    <w:rsid w:val="00D743E1"/>
    <w:rsid w:val="00D764BC"/>
    <w:rsid w:val="00D82A8B"/>
    <w:rsid w:val="00D864ED"/>
    <w:rsid w:val="00D87290"/>
    <w:rsid w:val="00D923B5"/>
    <w:rsid w:val="00D93D85"/>
    <w:rsid w:val="00D940D2"/>
    <w:rsid w:val="00D94E14"/>
    <w:rsid w:val="00D953B5"/>
    <w:rsid w:val="00DA02AF"/>
    <w:rsid w:val="00DB2BE3"/>
    <w:rsid w:val="00DB3947"/>
    <w:rsid w:val="00DB4942"/>
    <w:rsid w:val="00DB66E5"/>
    <w:rsid w:val="00DB68FE"/>
    <w:rsid w:val="00DC2C73"/>
    <w:rsid w:val="00DC304A"/>
    <w:rsid w:val="00DC4D75"/>
    <w:rsid w:val="00DC4FE4"/>
    <w:rsid w:val="00DC5B75"/>
    <w:rsid w:val="00DD0F22"/>
    <w:rsid w:val="00DD4633"/>
    <w:rsid w:val="00DD6224"/>
    <w:rsid w:val="00DE1058"/>
    <w:rsid w:val="00DE3194"/>
    <w:rsid w:val="00DE7E56"/>
    <w:rsid w:val="00DF08A8"/>
    <w:rsid w:val="00DF24C7"/>
    <w:rsid w:val="00DF2580"/>
    <w:rsid w:val="00DF3051"/>
    <w:rsid w:val="00DF3A78"/>
    <w:rsid w:val="00E0628C"/>
    <w:rsid w:val="00E07C49"/>
    <w:rsid w:val="00E10076"/>
    <w:rsid w:val="00E111A4"/>
    <w:rsid w:val="00E164BB"/>
    <w:rsid w:val="00E16DAC"/>
    <w:rsid w:val="00E20FE6"/>
    <w:rsid w:val="00E22860"/>
    <w:rsid w:val="00E23D5B"/>
    <w:rsid w:val="00E2529D"/>
    <w:rsid w:val="00E27F1C"/>
    <w:rsid w:val="00E313B8"/>
    <w:rsid w:val="00E3513E"/>
    <w:rsid w:val="00E41CFA"/>
    <w:rsid w:val="00E44404"/>
    <w:rsid w:val="00E5329F"/>
    <w:rsid w:val="00E64BB7"/>
    <w:rsid w:val="00E65D50"/>
    <w:rsid w:val="00E737DF"/>
    <w:rsid w:val="00E822B0"/>
    <w:rsid w:val="00E840D4"/>
    <w:rsid w:val="00E84E97"/>
    <w:rsid w:val="00E914BC"/>
    <w:rsid w:val="00E9424C"/>
    <w:rsid w:val="00E97C53"/>
    <w:rsid w:val="00EA50D0"/>
    <w:rsid w:val="00EA6BE5"/>
    <w:rsid w:val="00EB0073"/>
    <w:rsid w:val="00EB0344"/>
    <w:rsid w:val="00EB6E22"/>
    <w:rsid w:val="00EB732E"/>
    <w:rsid w:val="00EC07EA"/>
    <w:rsid w:val="00EC6541"/>
    <w:rsid w:val="00ED353A"/>
    <w:rsid w:val="00EE1489"/>
    <w:rsid w:val="00EE1A7A"/>
    <w:rsid w:val="00F045A1"/>
    <w:rsid w:val="00F128B2"/>
    <w:rsid w:val="00F12AC3"/>
    <w:rsid w:val="00F22AE9"/>
    <w:rsid w:val="00F2659D"/>
    <w:rsid w:val="00F36C73"/>
    <w:rsid w:val="00F3740F"/>
    <w:rsid w:val="00F46EDD"/>
    <w:rsid w:val="00F5628D"/>
    <w:rsid w:val="00F601DE"/>
    <w:rsid w:val="00F8276B"/>
    <w:rsid w:val="00F91766"/>
    <w:rsid w:val="00F91A03"/>
    <w:rsid w:val="00F95937"/>
    <w:rsid w:val="00F96936"/>
    <w:rsid w:val="00FA2F36"/>
    <w:rsid w:val="00FA4FE0"/>
    <w:rsid w:val="00FA6351"/>
    <w:rsid w:val="00FB1E85"/>
    <w:rsid w:val="00FB57E8"/>
    <w:rsid w:val="00FC046A"/>
    <w:rsid w:val="00FC2557"/>
    <w:rsid w:val="00FC3330"/>
    <w:rsid w:val="00FC5E20"/>
    <w:rsid w:val="00FD1B0D"/>
    <w:rsid w:val="00FD39A6"/>
    <w:rsid w:val="00FD4FEE"/>
    <w:rsid w:val="00FD7450"/>
    <w:rsid w:val="00FD7B49"/>
    <w:rsid w:val="00FE3BBF"/>
    <w:rsid w:val="00FE620D"/>
    <w:rsid w:val="00FF2154"/>
    <w:rsid w:val="00FF38DB"/>
    <w:rsid w:val="00FF3A48"/>
    <w:rsid w:val="011378E0"/>
    <w:rsid w:val="03C17B54"/>
    <w:rsid w:val="089F6DB7"/>
    <w:rsid w:val="0FE159DC"/>
    <w:rsid w:val="154DD6C0"/>
    <w:rsid w:val="1CBC0300"/>
    <w:rsid w:val="3618A985"/>
    <w:rsid w:val="39B1CD2F"/>
    <w:rsid w:val="4F8D5EA7"/>
    <w:rsid w:val="59D2D6B6"/>
    <w:rsid w:val="5B244AD6"/>
    <w:rsid w:val="5C7864BE"/>
    <w:rsid w:val="66C166A0"/>
    <w:rsid w:val="6E9EE38B"/>
    <w:rsid w:val="7DEB7F5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3826"/>
  <w15:chartTrackingRefBased/>
  <w15:docId w15:val="{6DCADB75-BB5E-4A09-BB51-F634C104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A215F7"/>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15F7"/>
  </w:style>
  <w:style w:type="character" w:styleId="CommentReference">
    <w:name w:val="annotation reference"/>
    <w:basedOn w:val="DefaultParagraphFont"/>
    <w:uiPriority w:val="99"/>
    <w:semiHidden/>
    <w:unhideWhenUsed/>
    <w:rsid w:val="00692B2A"/>
    <w:rPr>
      <w:sz w:val="16"/>
      <w:szCs w:val="16"/>
    </w:rPr>
  </w:style>
  <w:style w:type="paragraph" w:styleId="CommentText">
    <w:name w:val="annotation text"/>
    <w:basedOn w:val="Normal"/>
    <w:link w:val="CommentTextChar"/>
    <w:uiPriority w:val="99"/>
    <w:unhideWhenUsed/>
    <w:rsid w:val="00692B2A"/>
    <w:pPr>
      <w:spacing w:line="240" w:lineRule="auto"/>
    </w:pPr>
    <w:rPr>
      <w:sz w:val="20"/>
      <w:szCs w:val="20"/>
    </w:rPr>
  </w:style>
  <w:style w:type="character" w:customStyle="1" w:styleId="CommentTextChar">
    <w:name w:val="Comment Text Char"/>
    <w:basedOn w:val="DefaultParagraphFont"/>
    <w:link w:val="CommentText"/>
    <w:uiPriority w:val="99"/>
    <w:rsid w:val="00692B2A"/>
    <w:rPr>
      <w:sz w:val="20"/>
      <w:szCs w:val="20"/>
    </w:rPr>
  </w:style>
  <w:style w:type="paragraph" w:styleId="CommentSubject">
    <w:name w:val="annotation subject"/>
    <w:basedOn w:val="CommentText"/>
    <w:next w:val="CommentText"/>
    <w:link w:val="CommentSubjectChar"/>
    <w:uiPriority w:val="99"/>
    <w:semiHidden/>
    <w:unhideWhenUsed/>
    <w:rsid w:val="00692B2A"/>
    <w:rPr>
      <w:b/>
      <w:bCs/>
    </w:rPr>
  </w:style>
  <w:style w:type="character" w:customStyle="1" w:styleId="CommentSubjectChar">
    <w:name w:val="Comment Subject Char"/>
    <w:basedOn w:val="CommentTextChar"/>
    <w:link w:val="CommentSubject"/>
    <w:uiPriority w:val="99"/>
    <w:semiHidden/>
    <w:rsid w:val="00692B2A"/>
    <w:rPr>
      <w:b/>
      <w:bCs/>
      <w:sz w:val="20"/>
      <w:szCs w:val="20"/>
    </w:rPr>
  </w:style>
  <w:style w:type="paragraph" w:styleId="Revision">
    <w:name w:val="Revision"/>
    <w:hidden/>
    <w:uiPriority w:val="99"/>
    <w:semiHidden/>
    <w:rsid w:val="00353380"/>
    <w:pPr>
      <w:spacing w:after="0" w:line="240" w:lineRule="auto"/>
    </w:pPr>
  </w:style>
  <w:style w:type="paragraph" w:styleId="Header">
    <w:name w:val="header"/>
    <w:basedOn w:val="Normal"/>
    <w:link w:val="HeaderChar"/>
    <w:uiPriority w:val="99"/>
    <w:unhideWhenUsed/>
    <w:rsid w:val="00624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BC1"/>
  </w:style>
  <w:style w:type="paragraph" w:styleId="Footer">
    <w:name w:val="footer"/>
    <w:basedOn w:val="Normal"/>
    <w:link w:val="FooterChar"/>
    <w:uiPriority w:val="99"/>
    <w:unhideWhenUsed/>
    <w:rsid w:val="00624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BC1"/>
  </w:style>
  <w:style w:type="paragraph" w:styleId="FootnoteText">
    <w:name w:val="footnote text"/>
    <w:basedOn w:val="Normal"/>
    <w:link w:val="FootnoteTextChar"/>
    <w:uiPriority w:val="99"/>
    <w:semiHidden/>
    <w:unhideWhenUsed/>
    <w:rsid w:val="00624B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BC1"/>
    <w:rPr>
      <w:sz w:val="20"/>
      <w:szCs w:val="20"/>
    </w:rPr>
  </w:style>
  <w:style w:type="character" w:styleId="FootnoteReference">
    <w:name w:val="footnote reference"/>
    <w:basedOn w:val="DefaultParagraphFont"/>
    <w:uiPriority w:val="99"/>
    <w:semiHidden/>
    <w:unhideWhenUsed/>
    <w:rsid w:val="00624BC1"/>
    <w:rPr>
      <w:vertAlign w:val="superscript"/>
    </w:rPr>
  </w:style>
  <w:style w:type="character" w:styleId="Hyperlink">
    <w:name w:val="Hyperlink"/>
    <w:basedOn w:val="DefaultParagraphFont"/>
    <w:uiPriority w:val="99"/>
    <w:unhideWhenUsed/>
    <w:rsid w:val="00A778AB"/>
    <w:rPr>
      <w:color w:val="0563C1" w:themeColor="hyperlink"/>
      <w:u w:val="single"/>
    </w:rPr>
  </w:style>
  <w:style w:type="character" w:styleId="UnresolvedMention">
    <w:name w:val="Unresolved Mention"/>
    <w:basedOn w:val="DefaultParagraphFont"/>
    <w:uiPriority w:val="99"/>
    <w:semiHidden/>
    <w:unhideWhenUsed/>
    <w:rsid w:val="00A778AB"/>
    <w:rPr>
      <w:color w:val="605E5C"/>
      <w:shd w:val="clear" w:color="auto" w:fill="E1DFDD"/>
    </w:rPr>
  </w:style>
  <w:style w:type="character" w:styleId="FollowedHyperlink">
    <w:name w:val="FollowedHyperlink"/>
    <w:basedOn w:val="DefaultParagraphFont"/>
    <w:uiPriority w:val="99"/>
    <w:semiHidden/>
    <w:unhideWhenUsed/>
    <w:rsid w:val="00581EB1"/>
    <w:rPr>
      <w:color w:val="954F72" w:themeColor="followedHyperlink"/>
      <w:u w:val="single"/>
    </w:rPr>
  </w:style>
  <w:style w:type="paragraph" w:styleId="NoSpacing">
    <w:name w:val="No Spacing"/>
    <w:uiPriority w:val="1"/>
    <w:qFormat/>
    <w:rsid w:val="001C6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3393">
      <w:bodyDiv w:val="1"/>
      <w:marLeft w:val="0"/>
      <w:marRight w:val="0"/>
      <w:marTop w:val="0"/>
      <w:marBottom w:val="0"/>
      <w:divBdr>
        <w:top w:val="none" w:sz="0" w:space="0" w:color="auto"/>
        <w:left w:val="none" w:sz="0" w:space="0" w:color="auto"/>
        <w:bottom w:val="none" w:sz="0" w:space="0" w:color="auto"/>
        <w:right w:val="none" w:sz="0" w:space="0" w:color="auto"/>
      </w:divBdr>
    </w:div>
    <w:div w:id="242446873">
      <w:bodyDiv w:val="1"/>
      <w:marLeft w:val="0"/>
      <w:marRight w:val="0"/>
      <w:marTop w:val="0"/>
      <w:marBottom w:val="0"/>
      <w:divBdr>
        <w:top w:val="none" w:sz="0" w:space="0" w:color="auto"/>
        <w:left w:val="none" w:sz="0" w:space="0" w:color="auto"/>
        <w:bottom w:val="none" w:sz="0" w:space="0" w:color="auto"/>
        <w:right w:val="none" w:sz="0" w:space="0" w:color="auto"/>
      </w:divBdr>
      <w:divsChild>
        <w:div w:id="228419918">
          <w:marLeft w:val="0"/>
          <w:marRight w:val="0"/>
          <w:marTop w:val="0"/>
          <w:marBottom w:val="0"/>
          <w:divBdr>
            <w:top w:val="none" w:sz="0" w:space="0" w:color="auto"/>
            <w:left w:val="none" w:sz="0" w:space="0" w:color="auto"/>
            <w:bottom w:val="none" w:sz="0" w:space="0" w:color="auto"/>
            <w:right w:val="none" w:sz="0" w:space="0" w:color="auto"/>
          </w:divBdr>
        </w:div>
      </w:divsChild>
    </w:div>
    <w:div w:id="268245518">
      <w:bodyDiv w:val="1"/>
      <w:marLeft w:val="0"/>
      <w:marRight w:val="0"/>
      <w:marTop w:val="0"/>
      <w:marBottom w:val="0"/>
      <w:divBdr>
        <w:top w:val="none" w:sz="0" w:space="0" w:color="auto"/>
        <w:left w:val="none" w:sz="0" w:space="0" w:color="auto"/>
        <w:bottom w:val="none" w:sz="0" w:space="0" w:color="auto"/>
        <w:right w:val="none" w:sz="0" w:space="0" w:color="auto"/>
      </w:divBdr>
    </w:div>
    <w:div w:id="503667213">
      <w:bodyDiv w:val="1"/>
      <w:marLeft w:val="0"/>
      <w:marRight w:val="0"/>
      <w:marTop w:val="0"/>
      <w:marBottom w:val="0"/>
      <w:divBdr>
        <w:top w:val="none" w:sz="0" w:space="0" w:color="auto"/>
        <w:left w:val="none" w:sz="0" w:space="0" w:color="auto"/>
        <w:bottom w:val="none" w:sz="0" w:space="0" w:color="auto"/>
        <w:right w:val="none" w:sz="0" w:space="0" w:color="auto"/>
      </w:divBdr>
    </w:div>
    <w:div w:id="600993117">
      <w:bodyDiv w:val="1"/>
      <w:marLeft w:val="0"/>
      <w:marRight w:val="0"/>
      <w:marTop w:val="0"/>
      <w:marBottom w:val="0"/>
      <w:divBdr>
        <w:top w:val="none" w:sz="0" w:space="0" w:color="auto"/>
        <w:left w:val="none" w:sz="0" w:space="0" w:color="auto"/>
        <w:bottom w:val="none" w:sz="0" w:space="0" w:color="auto"/>
        <w:right w:val="none" w:sz="0" w:space="0" w:color="auto"/>
      </w:divBdr>
      <w:divsChild>
        <w:div w:id="1760174467">
          <w:marLeft w:val="0"/>
          <w:marRight w:val="0"/>
          <w:marTop w:val="0"/>
          <w:marBottom w:val="0"/>
          <w:divBdr>
            <w:top w:val="none" w:sz="0" w:space="0" w:color="auto"/>
            <w:left w:val="none" w:sz="0" w:space="0" w:color="auto"/>
            <w:bottom w:val="none" w:sz="0" w:space="0" w:color="auto"/>
            <w:right w:val="none" w:sz="0" w:space="0" w:color="auto"/>
          </w:divBdr>
        </w:div>
      </w:divsChild>
    </w:div>
    <w:div w:id="794058063">
      <w:bodyDiv w:val="1"/>
      <w:marLeft w:val="0"/>
      <w:marRight w:val="0"/>
      <w:marTop w:val="0"/>
      <w:marBottom w:val="0"/>
      <w:divBdr>
        <w:top w:val="none" w:sz="0" w:space="0" w:color="auto"/>
        <w:left w:val="none" w:sz="0" w:space="0" w:color="auto"/>
        <w:bottom w:val="none" w:sz="0" w:space="0" w:color="auto"/>
        <w:right w:val="none" w:sz="0" w:space="0" w:color="auto"/>
      </w:divBdr>
    </w:div>
    <w:div w:id="888229822">
      <w:bodyDiv w:val="1"/>
      <w:marLeft w:val="0"/>
      <w:marRight w:val="0"/>
      <w:marTop w:val="0"/>
      <w:marBottom w:val="0"/>
      <w:divBdr>
        <w:top w:val="none" w:sz="0" w:space="0" w:color="auto"/>
        <w:left w:val="none" w:sz="0" w:space="0" w:color="auto"/>
        <w:bottom w:val="none" w:sz="0" w:space="0" w:color="auto"/>
        <w:right w:val="none" w:sz="0" w:space="0" w:color="auto"/>
      </w:divBdr>
    </w:div>
    <w:div w:id="1291864653">
      <w:bodyDiv w:val="1"/>
      <w:marLeft w:val="0"/>
      <w:marRight w:val="0"/>
      <w:marTop w:val="0"/>
      <w:marBottom w:val="0"/>
      <w:divBdr>
        <w:top w:val="none" w:sz="0" w:space="0" w:color="auto"/>
        <w:left w:val="none" w:sz="0" w:space="0" w:color="auto"/>
        <w:bottom w:val="none" w:sz="0" w:space="0" w:color="auto"/>
        <w:right w:val="none" w:sz="0" w:space="0" w:color="auto"/>
      </w:divBdr>
    </w:div>
    <w:div w:id="1359118330">
      <w:bodyDiv w:val="1"/>
      <w:marLeft w:val="0"/>
      <w:marRight w:val="0"/>
      <w:marTop w:val="0"/>
      <w:marBottom w:val="0"/>
      <w:divBdr>
        <w:top w:val="none" w:sz="0" w:space="0" w:color="auto"/>
        <w:left w:val="none" w:sz="0" w:space="0" w:color="auto"/>
        <w:bottom w:val="none" w:sz="0" w:space="0" w:color="auto"/>
        <w:right w:val="none" w:sz="0" w:space="0" w:color="auto"/>
      </w:divBdr>
    </w:div>
    <w:div w:id="1419869236">
      <w:bodyDiv w:val="1"/>
      <w:marLeft w:val="0"/>
      <w:marRight w:val="0"/>
      <w:marTop w:val="0"/>
      <w:marBottom w:val="0"/>
      <w:divBdr>
        <w:top w:val="none" w:sz="0" w:space="0" w:color="auto"/>
        <w:left w:val="none" w:sz="0" w:space="0" w:color="auto"/>
        <w:bottom w:val="none" w:sz="0" w:space="0" w:color="auto"/>
        <w:right w:val="none" w:sz="0" w:space="0" w:color="auto"/>
      </w:divBdr>
    </w:div>
    <w:div w:id="1429426819">
      <w:bodyDiv w:val="1"/>
      <w:marLeft w:val="0"/>
      <w:marRight w:val="0"/>
      <w:marTop w:val="0"/>
      <w:marBottom w:val="0"/>
      <w:divBdr>
        <w:top w:val="none" w:sz="0" w:space="0" w:color="auto"/>
        <w:left w:val="none" w:sz="0" w:space="0" w:color="auto"/>
        <w:bottom w:val="none" w:sz="0" w:space="0" w:color="auto"/>
        <w:right w:val="none" w:sz="0" w:space="0" w:color="auto"/>
      </w:divBdr>
      <w:divsChild>
        <w:div w:id="1841039046">
          <w:marLeft w:val="0"/>
          <w:marRight w:val="0"/>
          <w:marTop w:val="0"/>
          <w:marBottom w:val="0"/>
          <w:divBdr>
            <w:top w:val="none" w:sz="0" w:space="0" w:color="auto"/>
            <w:left w:val="none" w:sz="0" w:space="0" w:color="auto"/>
            <w:bottom w:val="none" w:sz="0" w:space="0" w:color="auto"/>
            <w:right w:val="none" w:sz="0" w:space="0" w:color="auto"/>
          </w:divBdr>
        </w:div>
      </w:divsChild>
    </w:div>
    <w:div w:id="1825396097">
      <w:bodyDiv w:val="1"/>
      <w:marLeft w:val="0"/>
      <w:marRight w:val="0"/>
      <w:marTop w:val="0"/>
      <w:marBottom w:val="0"/>
      <w:divBdr>
        <w:top w:val="none" w:sz="0" w:space="0" w:color="auto"/>
        <w:left w:val="none" w:sz="0" w:space="0" w:color="auto"/>
        <w:bottom w:val="none" w:sz="0" w:space="0" w:color="auto"/>
        <w:right w:val="none" w:sz="0" w:space="0" w:color="auto"/>
      </w:divBdr>
    </w:div>
    <w:div w:id="198773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2434</ap:Words>
  <ap:Characters>13392</ap:Characters>
  <ap:DocSecurity>0</ap:DocSecurity>
  <ap:Lines>111</ap:Lines>
  <ap:Paragraphs>31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2024-06-21T12:06:00.0000000Z</lastPrinted>
  <dcterms:created xsi:type="dcterms:W3CDTF">2024-06-21T15:25:00.0000000Z</dcterms:created>
  <dcterms:modified xsi:type="dcterms:W3CDTF">2024-06-21T15:25:00.0000000Z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0x0101009C7CE436063D44E9BE7DC0259EF7C32F006EB9F9836A634AE58B6169785FD3936F006712C1AEAE031D4084A205B91261093E</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7b3ee26b-a92f-4d72-9f1a-1f8d3897f904</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