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A5991" w:rsidR="00736C9D" w:rsidP="00B40312" w:rsidRDefault="00736C9D" w14:paraId="0C912A5A" w14:textId="77777777">
      <w:pPr>
        <w:rPr>
          <w:rFonts w:ascii="Verdana" w:hAnsi="Verdana"/>
          <w:sz w:val="20"/>
          <w:lang w:val="en-US"/>
        </w:rPr>
      </w:pPr>
    </w:p>
    <w:p w:rsidRPr="009A5991" w:rsidR="00566249" w:rsidP="00566249" w:rsidRDefault="00032882" w14:paraId="213E1C7D" w14:textId="697997D6">
      <w:pPr>
        <w:pStyle w:val="Kop2"/>
        <w:rPr>
          <w:rFonts w:ascii="Verdana" w:hAnsi="Verdana"/>
          <w:b/>
          <w:bCs/>
          <w:color w:val="auto"/>
          <w:sz w:val="22"/>
          <w:szCs w:val="28"/>
        </w:rPr>
      </w:pPr>
      <w:r w:rsidRPr="009A5991">
        <w:rPr>
          <w:rFonts w:ascii="Verdana" w:hAnsi="Verdana"/>
          <w:b/>
          <w:bCs/>
          <w:color w:val="auto"/>
          <w:sz w:val="22"/>
          <w:szCs w:val="28"/>
        </w:rPr>
        <w:t xml:space="preserve">Position paper: </w:t>
      </w:r>
      <w:r w:rsidRPr="009A5991" w:rsidR="002D1983">
        <w:rPr>
          <w:rFonts w:ascii="Verdana" w:hAnsi="Verdana"/>
          <w:b/>
          <w:bCs/>
          <w:color w:val="auto"/>
          <w:sz w:val="22"/>
          <w:szCs w:val="28"/>
        </w:rPr>
        <w:t>R</w:t>
      </w:r>
      <w:r w:rsidRPr="009A5991" w:rsidR="00A71C38">
        <w:rPr>
          <w:rFonts w:ascii="Verdana" w:hAnsi="Verdana"/>
          <w:b/>
          <w:bCs/>
          <w:color w:val="auto"/>
          <w:sz w:val="22"/>
          <w:szCs w:val="28"/>
        </w:rPr>
        <w:t xml:space="preserve">ecreatief </w:t>
      </w:r>
      <w:r w:rsidRPr="009A5991" w:rsidR="00566249">
        <w:rPr>
          <w:rFonts w:ascii="Verdana" w:hAnsi="Verdana"/>
          <w:b/>
          <w:bCs/>
          <w:color w:val="auto"/>
          <w:sz w:val="22"/>
          <w:szCs w:val="28"/>
        </w:rPr>
        <w:t>gebruik van lachgas</w:t>
      </w:r>
      <w:r w:rsidRPr="009A5991">
        <w:rPr>
          <w:rFonts w:ascii="Verdana" w:hAnsi="Verdana"/>
          <w:b/>
          <w:bCs/>
          <w:color w:val="auto"/>
          <w:sz w:val="22"/>
          <w:szCs w:val="28"/>
        </w:rPr>
        <w:t xml:space="preserve">, preventie en </w:t>
      </w:r>
      <w:r w:rsidRPr="009A5991" w:rsidR="00566249">
        <w:rPr>
          <w:rFonts w:ascii="Verdana" w:hAnsi="Verdana"/>
          <w:b/>
          <w:bCs/>
          <w:color w:val="auto"/>
          <w:sz w:val="22"/>
          <w:szCs w:val="28"/>
        </w:rPr>
        <w:t>lachgasafval</w:t>
      </w:r>
    </w:p>
    <w:p w:rsidRPr="009A5991" w:rsidR="00C56BB1" w:rsidP="00C56BB1" w:rsidRDefault="006507BD" w14:paraId="0E2B9156" w14:textId="15EA0F6D">
      <w:pPr>
        <w:rPr>
          <w:rFonts w:ascii="Verdana" w:hAnsi="Verdana"/>
          <w:b/>
          <w:bCs/>
          <w:sz w:val="20"/>
        </w:rPr>
      </w:pPr>
      <w:r>
        <w:rPr>
          <w:rFonts w:ascii="Verdana" w:hAnsi="Verdana"/>
          <w:sz w:val="20"/>
        </w:rPr>
        <w:br/>
      </w:r>
      <w:r w:rsidRPr="009A5991" w:rsidR="00032882">
        <w:rPr>
          <w:rFonts w:ascii="Verdana" w:hAnsi="Verdana"/>
          <w:b/>
          <w:bCs/>
          <w:sz w:val="20"/>
        </w:rPr>
        <w:t>Aan:</w:t>
      </w:r>
      <w:r w:rsidRPr="009A5991">
        <w:rPr>
          <w:rFonts w:ascii="Verdana" w:hAnsi="Verdana"/>
          <w:b/>
          <w:bCs/>
          <w:sz w:val="20"/>
        </w:rPr>
        <w:t xml:space="preserve"> V</w:t>
      </w:r>
      <w:r w:rsidRPr="009A5991" w:rsidR="00032882">
        <w:rPr>
          <w:rFonts w:ascii="Verdana" w:hAnsi="Verdana"/>
          <w:b/>
          <w:bCs/>
          <w:sz w:val="20"/>
        </w:rPr>
        <w:t>aste commissie voor Infrastructuur en Waterstaa</w:t>
      </w:r>
      <w:r w:rsidRPr="009A5991" w:rsidR="00032882">
        <w:rPr>
          <w:rFonts w:ascii="Verdana" w:hAnsi="Verdana"/>
          <w:b/>
          <w:bCs/>
          <w:sz w:val="20"/>
        </w:rPr>
        <w:t>t</w:t>
      </w:r>
      <w:r w:rsidRPr="009A5991" w:rsidR="00032882">
        <w:rPr>
          <w:rFonts w:ascii="Verdana" w:hAnsi="Verdana"/>
          <w:b/>
          <w:bCs/>
          <w:sz w:val="20"/>
        </w:rPr>
        <w:br/>
        <w:t>Van: Trimbos-instituut</w:t>
      </w:r>
      <w:r w:rsidRPr="009A5991" w:rsidR="00032882">
        <w:rPr>
          <w:rFonts w:ascii="Verdana" w:hAnsi="Verdana"/>
          <w:b/>
          <w:bCs/>
          <w:sz w:val="20"/>
        </w:rPr>
        <w:br/>
        <w:t>Datum: 13 juni 2024</w:t>
      </w:r>
      <w:r w:rsidRPr="009A5991" w:rsidR="00032882">
        <w:rPr>
          <w:rFonts w:ascii="Verdana" w:hAnsi="Verdana"/>
          <w:b/>
          <w:bCs/>
          <w:sz w:val="20"/>
        </w:rPr>
        <w:br/>
        <w:t xml:space="preserve">Betreft: Position paper t.b.v. rondetafelgesprek over Lachgasproblematiek en de afvalketen op </w:t>
      </w:r>
      <w:r w:rsidRPr="009A5991" w:rsidR="00032882">
        <w:rPr>
          <w:rFonts w:ascii="Verdana" w:hAnsi="Verdana"/>
          <w:b/>
          <w:bCs/>
          <w:sz w:val="20"/>
        </w:rPr>
        <w:t>donderdag 20 juni 2024</w:t>
      </w:r>
      <w:r w:rsidRPr="009A5991" w:rsidR="00032882">
        <w:rPr>
          <w:rFonts w:ascii="Verdana" w:hAnsi="Verdana"/>
          <w:b/>
          <w:bCs/>
          <w:sz w:val="20"/>
        </w:rPr>
        <w:t>.</w:t>
      </w:r>
    </w:p>
    <w:p w:rsidR="00566249" w:rsidP="00566249" w:rsidRDefault="002076B8" w14:paraId="23083FB6" w14:textId="7068512F">
      <w:pPr>
        <w:rPr>
          <w:rFonts w:ascii="Verdana" w:hAnsi="Verdana"/>
          <w:sz w:val="20"/>
        </w:rPr>
      </w:pPr>
      <w:r w:rsidRPr="00E60840">
        <w:rPr>
          <w:rFonts w:ascii="Verdana" w:hAnsi="Verdana"/>
          <w:sz w:val="20"/>
        </w:rPr>
        <w:t xml:space="preserve">Het Trimbos-instituut houdt zich </w:t>
      </w:r>
      <w:r w:rsidR="001C35BE">
        <w:rPr>
          <w:rFonts w:ascii="Verdana" w:hAnsi="Verdana"/>
          <w:sz w:val="20"/>
        </w:rPr>
        <w:t xml:space="preserve">ongeveer tien </w:t>
      </w:r>
      <w:r w:rsidRPr="00E60840">
        <w:rPr>
          <w:rFonts w:ascii="Verdana" w:hAnsi="Verdana"/>
          <w:sz w:val="20"/>
        </w:rPr>
        <w:t>jaar op verschillende manieren bezig met de problematiek rondom het recreatief gebruik lachgas</w:t>
      </w:r>
      <w:r w:rsidR="00034869">
        <w:rPr>
          <w:rFonts w:ascii="Verdana" w:hAnsi="Verdana"/>
          <w:sz w:val="20"/>
        </w:rPr>
        <w:t xml:space="preserve">. </w:t>
      </w:r>
      <w:r w:rsidRPr="00E60840" w:rsidR="00566249">
        <w:rPr>
          <w:rFonts w:ascii="Verdana" w:hAnsi="Verdana"/>
          <w:sz w:val="20"/>
        </w:rPr>
        <w:t>Dit doen we door</w:t>
      </w:r>
      <w:r w:rsidR="00034869">
        <w:rPr>
          <w:rFonts w:ascii="Verdana" w:hAnsi="Verdana"/>
          <w:sz w:val="20"/>
        </w:rPr>
        <w:t xml:space="preserve">: </w:t>
      </w:r>
      <w:r w:rsidRPr="00E60840" w:rsidR="00566249">
        <w:rPr>
          <w:rFonts w:ascii="Verdana" w:hAnsi="Verdana"/>
          <w:sz w:val="20"/>
        </w:rPr>
        <w:t xml:space="preserve">het </w:t>
      </w:r>
      <w:hyperlink w:history="1" r:id="rId8">
        <w:r w:rsidRPr="00E60840" w:rsidR="00566249">
          <w:rPr>
            <w:rStyle w:val="Hyperlink"/>
            <w:rFonts w:ascii="Verdana" w:hAnsi="Verdana"/>
            <w:sz w:val="20"/>
          </w:rPr>
          <w:t>monitoren van cijfers</w:t>
        </w:r>
      </w:hyperlink>
      <w:r w:rsidRPr="00E60840" w:rsidR="00566249">
        <w:rPr>
          <w:rFonts w:ascii="Verdana" w:hAnsi="Verdana"/>
          <w:sz w:val="20"/>
        </w:rPr>
        <w:t xml:space="preserve"> van hoe vaak het gebruik en gerelateerde </w:t>
      </w:r>
      <w:hyperlink w:history="1" r:id="rId9">
        <w:r w:rsidRPr="00E60840" w:rsidR="00566249">
          <w:rPr>
            <w:rStyle w:val="Hyperlink"/>
            <w:rFonts w:ascii="Verdana" w:hAnsi="Verdana"/>
            <w:sz w:val="20"/>
          </w:rPr>
          <w:t>incidenten</w:t>
        </w:r>
      </w:hyperlink>
      <w:r w:rsidRPr="00E60840" w:rsidR="00566249">
        <w:rPr>
          <w:rFonts w:ascii="Verdana" w:hAnsi="Verdana"/>
          <w:sz w:val="20"/>
        </w:rPr>
        <w:t xml:space="preserve"> voorkomen</w:t>
      </w:r>
      <w:r w:rsidR="00034869">
        <w:rPr>
          <w:rFonts w:ascii="Verdana" w:hAnsi="Verdana"/>
          <w:sz w:val="20"/>
        </w:rPr>
        <w:t xml:space="preserve">, </w:t>
      </w:r>
      <w:hyperlink w:history="1" r:id="rId10">
        <w:r w:rsidRPr="00E60840" w:rsidR="00566249">
          <w:rPr>
            <w:rStyle w:val="Hyperlink"/>
            <w:rFonts w:ascii="Verdana" w:hAnsi="Verdana"/>
            <w:sz w:val="20"/>
          </w:rPr>
          <w:t>onderzoek</w:t>
        </w:r>
      </w:hyperlink>
      <w:r w:rsidRPr="00E60840" w:rsidR="00566249">
        <w:rPr>
          <w:rFonts w:ascii="Verdana" w:hAnsi="Verdana"/>
          <w:sz w:val="20"/>
        </w:rPr>
        <w:t xml:space="preserve"> </w:t>
      </w:r>
      <w:r w:rsidR="00034869">
        <w:rPr>
          <w:rFonts w:ascii="Verdana" w:hAnsi="Verdana"/>
          <w:sz w:val="20"/>
        </w:rPr>
        <w:t xml:space="preserve">te doen </w:t>
      </w:r>
      <w:r w:rsidRPr="00E60840" w:rsidR="00566249">
        <w:rPr>
          <w:rFonts w:ascii="Verdana" w:hAnsi="Verdana"/>
          <w:sz w:val="20"/>
        </w:rPr>
        <w:t xml:space="preserve">onder </w:t>
      </w:r>
      <w:r w:rsidR="00657893">
        <w:rPr>
          <w:rFonts w:ascii="Verdana" w:hAnsi="Verdana"/>
          <w:sz w:val="20"/>
        </w:rPr>
        <w:t xml:space="preserve">verschillende </w:t>
      </w:r>
      <w:r w:rsidRPr="00E60840" w:rsidR="00566249">
        <w:rPr>
          <w:rFonts w:ascii="Verdana" w:hAnsi="Verdana"/>
          <w:sz w:val="20"/>
        </w:rPr>
        <w:t xml:space="preserve">doelgroepen en hoe deze </w:t>
      </w:r>
      <w:hyperlink w:history="1" r:id="rId11">
        <w:r w:rsidRPr="00E60840" w:rsidR="00566249">
          <w:rPr>
            <w:rStyle w:val="Hyperlink"/>
            <w:rFonts w:ascii="Verdana" w:hAnsi="Verdana"/>
            <w:sz w:val="20"/>
          </w:rPr>
          <w:t>beter bereikt</w:t>
        </w:r>
      </w:hyperlink>
      <w:r w:rsidRPr="00E60840" w:rsidR="00566249">
        <w:rPr>
          <w:rFonts w:ascii="Verdana" w:hAnsi="Verdana"/>
          <w:sz w:val="20"/>
        </w:rPr>
        <w:t xml:space="preserve"> kunnen worden en</w:t>
      </w:r>
      <w:r w:rsidR="00653BE5">
        <w:rPr>
          <w:rFonts w:ascii="Verdana" w:hAnsi="Verdana"/>
          <w:sz w:val="20"/>
        </w:rPr>
        <w:t xml:space="preserve"> er zijn </w:t>
      </w:r>
      <w:r w:rsidRPr="00E60840" w:rsidR="00566249">
        <w:rPr>
          <w:rFonts w:ascii="Verdana" w:hAnsi="Verdana"/>
          <w:sz w:val="20"/>
        </w:rPr>
        <w:t>aanbevelingen</w:t>
      </w:r>
      <w:r w:rsidR="00657893">
        <w:rPr>
          <w:rFonts w:ascii="Verdana" w:hAnsi="Verdana"/>
          <w:sz w:val="20"/>
        </w:rPr>
        <w:t xml:space="preserve"> ontwikkeld</w:t>
      </w:r>
      <w:r w:rsidRPr="00E60840" w:rsidR="00566249">
        <w:rPr>
          <w:rFonts w:ascii="Verdana" w:hAnsi="Verdana"/>
          <w:sz w:val="20"/>
        </w:rPr>
        <w:t xml:space="preserve"> voor preventie. Dit heeft geleid tot voorlichtingsmaterialen voor </w:t>
      </w:r>
      <w:hyperlink w:history="1" r:id="rId12">
        <w:r w:rsidRPr="00E60840" w:rsidR="00566249">
          <w:rPr>
            <w:rStyle w:val="Hyperlink"/>
            <w:rFonts w:ascii="Verdana" w:hAnsi="Verdana"/>
            <w:sz w:val="20"/>
          </w:rPr>
          <w:t>mensen die lachgas gebruiken</w:t>
        </w:r>
      </w:hyperlink>
      <w:r w:rsidRPr="00E60840" w:rsidR="00566249">
        <w:rPr>
          <w:rFonts w:ascii="Verdana" w:hAnsi="Verdana"/>
          <w:sz w:val="20"/>
        </w:rPr>
        <w:t xml:space="preserve"> en mensen in hun omgeving zoals bijvoorbeeld </w:t>
      </w:r>
      <w:hyperlink w:history="1" r:id="rId13">
        <w:r w:rsidRPr="00E60840" w:rsidR="00566249">
          <w:rPr>
            <w:rStyle w:val="Hyperlink"/>
            <w:rFonts w:ascii="Verdana" w:hAnsi="Verdana"/>
            <w:sz w:val="20"/>
          </w:rPr>
          <w:t>ouders</w:t>
        </w:r>
      </w:hyperlink>
      <w:r w:rsidRPr="00E60840" w:rsidR="00566249">
        <w:rPr>
          <w:rFonts w:ascii="Verdana" w:hAnsi="Verdana"/>
          <w:sz w:val="20"/>
        </w:rPr>
        <w:t xml:space="preserve">. Daarnaast heeft het geleid tot advies hoe preventie vorm te geven voor </w:t>
      </w:r>
      <w:hyperlink w:history="1" r:id="rId14">
        <w:r w:rsidRPr="00E60840" w:rsidR="00566249">
          <w:rPr>
            <w:rStyle w:val="Hyperlink"/>
            <w:rFonts w:ascii="Verdana" w:hAnsi="Verdana"/>
            <w:sz w:val="20"/>
          </w:rPr>
          <w:t>gemeenten</w:t>
        </w:r>
      </w:hyperlink>
      <w:r w:rsidRPr="00E60840" w:rsidR="00566249">
        <w:rPr>
          <w:rFonts w:ascii="Verdana" w:hAnsi="Verdana"/>
          <w:sz w:val="20"/>
        </w:rPr>
        <w:t xml:space="preserve"> en andere partijen</w:t>
      </w:r>
      <w:r w:rsidR="001B59F0">
        <w:rPr>
          <w:rFonts w:ascii="Verdana" w:hAnsi="Verdana"/>
          <w:sz w:val="20"/>
        </w:rPr>
        <w:t xml:space="preserve"> die met lachgasgebruik te maken hebben</w:t>
      </w:r>
      <w:r w:rsidRPr="00E60840" w:rsidR="00566249">
        <w:rPr>
          <w:rFonts w:ascii="Verdana" w:hAnsi="Verdana"/>
          <w:sz w:val="20"/>
        </w:rPr>
        <w:t xml:space="preserve">. </w:t>
      </w:r>
    </w:p>
    <w:p w:rsidRPr="00E60840" w:rsidR="00566249" w:rsidP="00566249" w:rsidRDefault="00566249" w14:paraId="0E80F33A" w14:textId="4354E543">
      <w:pPr>
        <w:rPr>
          <w:rFonts w:ascii="Verdana" w:hAnsi="Verdana"/>
          <w:sz w:val="20"/>
        </w:rPr>
      </w:pPr>
      <w:r w:rsidRPr="00E60840">
        <w:rPr>
          <w:rFonts w:ascii="Verdana" w:hAnsi="Verdana"/>
          <w:sz w:val="20"/>
        </w:rPr>
        <w:t>De laatste jaren is de prevalentie van gebruik flink gedaald (</w:t>
      </w:r>
      <w:hyperlink w:history="1" r:id="rId15">
        <w:r w:rsidRPr="00E60840">
          <w:rPr>
            <w:rStyle w:val="Hyperlink"/>
            <w:rFonts w:ascii="Verdana" w:hAnsi="Verdana"/>
            <w:sz w:val="20"/>
          </w:rPr>
          <w:t>NDM</w:t>
        </w:r>
      </w:hyperlink>
      <w:r w:rsidRPr="00E60840">
        <w:rPr>
          <w:rFonts w:ascii="Verdana" w:hAnsi="Verdana"/>
          <w:sz w:val="20"/>
        </w:rPr>
        <w:t xml:space="preserve">). Op het hoogtepunt in het jaar 2019 was de laatste-jaar prevalentie (percentage mensen dat tenminste 1 x in het afgelopen jaar lachgas gebruikte) 3,2% voor volwassenen en in 2023 daalde dit naar 0,9%. Onder scholieren (12-16 jaar) daalde het percentage ooit-gebruik van 9,9% in 2019 naar 4,7% in 2021. Deze </w:t>
      </w:r>
      <w:r w:rsidRPr="00E60840" w:rsidR="00FD707D">
        <w:rPr>
          <w:rFonts w:ascii="Verdana" w:hAnsi="Verdana"/>
          <w:sz w:val="20"/>
        </w:rPr>
        <w:t>ontwikkelingen zijn</w:t>
      </w:r>
      <w:r w:rsidRPr="00E60840">
        <w:rPr>
          <w:rFonts w:ascii="Verdana" w:hAnsi="Verdana"/>
          <w:sz w:val="20"/>
        </w:rPr>
        <w:t xml:space="preserve"> gunstig want hierdoor neemt ook de gezondheidsschade door gebruik van lachgas af. Desalniettemin zijn er groepen die (blijven) gebruiken en die relatief veel en vaak gebruiken.</w:t>
      </w:r>
      <w:r w:rsidR="00177233">
        <w:rPr>
          <w:rFonts w:ascii="Verdana" w:hAnsi="Verdana"/>
          <w:sz w:val="20"/>
        </w:rPr>
        <w:t xml:space="preserve"> </w:t>
      </w:r>
      <w:r w:rsidRPr="00E60840">
        <w:rPr>
          <w:rFonts w:ascii="Verdana" w:hAnsi="Verdana"/>
          <w:sz w:val="20"/>
        </w:rPr>
        <w:t xml:space="preserve">Zij lopen </w:t>
      </w:r>
      <w:r w:rsidRPr="00E60840" w:rsidR="00A71C38">
        <w:rPr>
          <w:rFonts w:ascii="Verdana" w:hAnsi="Verdana"/>
          <w:sz w:val="20"/>
        </w:rPr>
        <w:t xml:space="preserve">een </w:t>
      </w:r>
      <w:r w:rsidRPr="00E60840">
        <w:rPr>
          <w:rFonts w:ascii="Verdana" w:hAnsi="Verdana"/>
          <w:sz w:val="20"/>
        </w:rPr>
        <w:t>risico op gezondheidsschade</w:t>
      </w:r>
      <w:r w:rsidRPr="00E60840" w:rsidR="0011409F">
        <w:rPr>
          <w:rFonts w:ascii="Verdana" w:hAnsi="Verdana"/>
          <w:sz w:val="20"/>
        </w:rPr>
        <w:t xml:space="preserve">, </w:t>
      </w:r>
      <w:r w:rsidRPr="00E60840" w:rsidR="00411D6F">
        <w:rPr>
          <w:rFonts w:ascii="Verdana" w:hAnsi="Verdana"/>
          <w:sz w:val="20"/>
        </w:rPr>
        <w:t>dat hoger ligt bij een patroon</w:t>
      </w:r>
      <w:r w:rsidRPr="00E60840" w:rsidR="0011409F">
        <w:rPr>
          <w:rFonts w:ascii="Verdana" w:hAnsi="Verdana"/>
          <w:sz w:val="20"/>
        </w:rPr>
        <w:t xml:space="preserve"> van veelvuldig en frequent gebruik</w:t>
      </w:r>
      <w:r w:rsidRPr="00E60840" w:rsidR="00977B9E">
        <w:rPr>
          <w:rFonts w:ascii="Verdana" w:hAnsi="Verdana"/>
          <w:sz w:val="20"/>
        </w:rPr>
        <w:t xml:space="preserve">. Deze risico’s </w:t>
      </w:r>
      <w:r w:rsidRPr="00E60840" w:rsidR="00411D6F">
        <w:rPr>
          <w:rFonts w:ascii="Verdana" w:hAnsi="Verdana"/>
          <w:sz w:val="20"/>
        </w:rPr>
        <w:t>variëren</w:t>
      </w:r>
      <w:r w:rsidRPr="00E60840">
        <w:rPr>
          <w:rFonts w:ascii="Verdana" w:hAnsi="Verdana"/>
          <w:sz w:val="20"/>
        </w:rPr>
        <w:t xml:space="preserve"> van mild (hoofdpijn, duizeligheid) tot ernstig (neurologische klachten zoals </w:t>
      </w:r>
      <w:r w:rsidRPr="00E60840" w:rsidR="00A71C38">
        <w:rPr>
          <w:rFonts w:ascii="Verdana" w:hAnsi="Verdana"/>
          <w:sz w:val="20"/>
        </w:rPr>
        <w:t>een</w:t>
      </w:r>
      <w:r w:rsidRPr="00E60840">
        <w:rPr>
          <w:rFonts w:ascii="Verdana" w:hAnsi="Verdana"/>
          <w:sz w:val="20"/>
        </w:rPr>
        <w:t xml:space="preserve"> dwarslaesie, verslaving en verkeersongelukken).</w:t>
      </w:r>
    </w:p>
    <w:p w:rsidRPr="00E60840" w:rsidR="00566249" w:rsidP="00566249" w:rsidRDefault="00566249" w14:paraId="0AC50CE3" w14:textId="0917A5B6">
      <w:pPr>
        <w:rPr>
          <w:rFonts w:ascii="Verdana" w:hAnsi="Verdana"/>
          <w:sz w:val="20"/>
        </w:rPr>
      </w:pPr>
      <w:r w:rsidRPr="00E60840">
        <w:rPr>
          <w:rFonts w:ascii="Verdana" w:hAnsi="Verdana"/>
          <w:sz w:val="20"/>
        </w:rPr>
        <w:t xml:space="preserve">Gelijktijdig met het ingaan van het lachgasverbod op 1 januari 2023 veranderde de markt. Het verschoof van lachgascilinders die met statiegeld weer teruggebracht konden worden, naar cilinders die </w:t>
      </w:r>
      <w:r w:rsidRPr="00E60840">
        <w:rPr>
          <w:rFonts w:ascii="Verdana" w:hAnsi="Verdana"/>
          <w:i/>
          <w:iCs/>
          <w:sz w:val="20"/>
        </w:rPr>
        <w:t>niet</w:t>
      </w:r>
      <w:r w:rsidRPr="00E60840">
        <w:rPr>
          <w:rFonts w:ascii="Verdana" w:hAnsi="Verdana"/>
          <w:sz w:val="20"/>
        </w:rPr>
        <w:t xml:space="preserve"> terug gebracht konden worden. Doordat deze cilinders in de reguliere afvalverwerkingsketen terecht kwamen, ontstond hierdoor een nieuw probleem. De vraag aan ons </w:t>
      </w:r>
      <w:r w:rsidRPr="00E60840" w:rsidR="00E045B8">
        <w:rPr>
          <w:rFonts w:ascii="Verdana" w:hAnsi="Verdana"/>
          <w:sz w:val="20"/>
        </w:rPr>
        <w:t>door</w:t>
      </w:r>
      <w:r w:rsidRPr="00E60840">
        <w:rPr>
          <w:rFonts w:ascii="Verdana" w:hAnsi="Verdana"/>
          <w:sz w:val="20"/>
        </w:rPr>
        <w:t xml:space="preserve"> het ministerie van VWS was: hoe kunnen wij gebruikers aanspreken zodat de wegwerpcilinders niet bij het reguliere afval komen? </w:t>
      </w:r>
    </w:p>
    <w:p w:rsidRPr="00E60840" w:rsidR="00566249" w:rsidP="00566249" w:rsidRDefault="00566249" w14:paraId="03FF9DD7" w14:textId="53414A1D">
      <w:pPr>
        <w:rPr>
          <w:rFonts w:ascii="Verdana" w:hAnsi="Verdana"/>
          <w:sz w:val="20"/>
        </w:rPr>
      </w:pPr>
      <w:r w:rsidRPr="00E60840">
        <w:rPr>
          <w:rFonts w:ascii="Verdana" w:hAnsi="Verdana"/>
          <w:sz w:val="20"/>
        </w:rPr>
        <w:t>Wij formuleerden hierover de volgende standpunten:</w:t>
      </w:r>
    </w:p>
    <w:p w:rsidRPr="00E60840" w:rsidR="00566249" w:rsidP="00566249" w:rsidRDefault="00566249" w14:paraId="0056E334" w14:textId="77777777">
      <w:pPr>
        <w:pStyle w:val="Lijstalinea"/>
        <w:numPr>
          <w:ilvl w:val="0"/>
          <w:numId w:val="2"/>
        </w:numPr>
        <w:contextualSpacing/>
        <w:rPr>
          <w:rFonts w:ascii="Verdana" w:hAnsi="Verdana"/>
          <w:b/>
          <w:bCs/>
          <w:sz w:val="20"/>
        </w:rPr>
      </w:pPr>
      <w:r w:rsidRPr="00E60840">
        <w:rPr>
          <w:rFonts w:ascii="Verdana" w:hAnsi="Verdana"/>
          <w:b/>
          <w:bCs/>
          <w:sz w:val="20"/>
        </w:rPr>
        <w:t>Wees terughoudend met het (publiekelijk) aanspreken van mensen die lachgas gebruiken en zorg voor een realistisch handelingsperspectief</w:t>
      </w:r>
    </w:p>
    <w:p w:rsidRPr="00E60840" w:rsidR="00566249" w:rsidP="00566249" w:rsidRDefault="00566249" w14:paraId="2056E7CE" w14:textId="77777777">
      <w:pPr>
        <w:rPr>
          <w:rFonts w:ascii="Verdana" w:hAnsi="Verdana"/>
          <w:sz w:val="20"/>
        </w:rPr>
      </w:pPr>
      <w:r w:rsidRPr="00E60840">
        <w:rPr>
          <w:rFonts w:ascii="Verdana" w:hAnsi="Verdana"/>
          <w:sz w:val="20"/>
        </w:rPr>
        <w:t xml:space="preserve">Het publiekelijk aanspreken van mensen die gebruiken en hen verantwoordelijk houden voor gevolgen van drugsgebruik is controversieel. Er ligt een risico op stigmatisering en dit brengt schade toe zoals een afname in hulpzoekgedrag. Bovendien is het verwachte effect op gedrag beperkt, want kennis is nog geen gedragsverandering. Momenteel beperkt het handelingsperspectief zich tot het brengen van de cilinders naar de milieustraat. De ervaring leert dat lachgasgebruikers dit niet of nauwelijks doen. Zolang er geen reëel handelingsperspectief is, is het niet te verwachten dat gebruikers van lachgas </w:t>
      </w:r>
      <w:r w:rsidRPr="00E60840">
        <w:rPr>
          <w:rFonts w:ascii="Verdana" w:hAnsi="Verdana"/>
          <w:i/>
          <w:iCs/>
          <w:sz w:val="20"/>
        </w:rPr>
        <w:t>zelf</w:t>
      </w:r>
      <w:r w:rsidRPr="00E60840">
        <w:rPr>
          <w:rFonts w:ascii="Verdana" w:hAnsi="Verdana"/>
          <w:sz w:val="20"/>
        </w:rPr>
        <w:t xml:space="preserve"> iets kunnen en zullen doen aan het lachgasafvalprobleem. Wij zien aanpassingen in de sociale en fysieke omgeving als kansrijker. Denkrichtingen zijn bijvoorbeeld laagdrempelige inleverpunten of statiegeld.</w:t>
      </w:r>
    </w:p>
    <w:p w:rsidRPr="00177233" w:rsidR="00566249" w:rsidP="00566249" w:rsidRDefault="00566249" w14:paraId="4107A03B" w14:textId="77777777">
      <w:pPr>
        <w:pStyle w:val="Lijstalinea"/>
        <w:numPr>
          <w:ilvl w:val="0"/>
          <w:numId w:val="2"/>
        </w:numPr>
        <w:contextualSpacing/>
        <w:rPr>
          <w:rFonts w:ascii="Verdana" w:hAnsi="Verdana"/>
          <w:b/>
          <w:bCs/>
          <w:sz w:val="20"/>
        </w:rPr>
      </w:pPr>
      <w:r w:rsidRPr="00177233">
        <w:rPr>
          <w:rFonts w:ascii="Verdana" w:hAnsi="Verdana"/>
          <w:b/>
          <w:bCs/>
          <w:sz w:val="20"/>
        </w:rPr>
        <w:t>Versterken van gezondheidspreventie leidt ook tot minder afval</w:t>
      </w:r>
    </w:p>
    <w:p w:rsidRPr="00E60840" w:rsidR="002076B8" w:rsidP="002076B8" w:rsidRDefault="002076B8" w14:paraId="115878BF" w14:textId="69BA88D8">
      <w:pPr>
        <w:rPr>
          <w:rFonts w:ascii="Verdana" w:hAnsi="Verdana"/>
          <w:sz w:val="20"/>
        </w:rPr>
      </w:pPr>
      <w:r w:rsidRPr="00E60840">
        <w:rPr>
          <w:rFonts w:ascii="Verdana" w:hAnsi="Verdana"/>
          <w:sz w:val="20"/>
        </w:rPr>
        <w:lastRenderedPageBreak/>
        <w:t>Wanneer minder mensen gebruiken zal dit leiden tot minder lachgasafval. Daarom is een effectief en samenhangend drugspreventiebeleid belangrijk. De gemeente heeft hier een belangrijke rol in. Zij is regievoerder en brengt partijen samen waaronder ook</w:t>
      </w:r>
      <w:r w:rsidRPr="00E60840" w:rsidR="00675525">
        <w:rPr>
          <w:rFonts w:ascii="Verdana" w:hAnsi="Verdana"/>
          <w:sz w:val="20"/>
        </w:rPr>
        <w:t xml:space="preserve"> de</w:t>
      </w:r>
      <w:r w:rsidRPr="00E60840">
        <w:rPr>
          <w:rFonts w:ascii="Verdana" w:hAnsi="Verdana"/>
          <w:sz w:val="20"/>
        </w:rPr>
        <w:t xml:space="preserve"> preventie-afdelingen van de regionale instellingen van verslavingszorg. Er zijn verschillende hulpmiddelen voor gemeenten zoals een </w:t>
      </w:r>
      <w:hyperlink w:history="1" w:anchor=":~:text=Lachgas%20vormt%20voor%20gemeenten%2C%20preventieprofessionals,gebruikers%20met%20preventie%20en%20hulp." r:id="rId16">
        <w:r w:rsidRPr="00E60840">
          <w:rPr>
            <w:rStyle w:val="Hyperlink"/>
            <w:rFonts w:ascii="Verdana" w:hAnsi="Verdana"/>
            <w:sz w:val="20"/>
          </w:rPr>
          <w:t>handreiking voor gemeenten</w:t>
        </w:r>
      </w:hyperlink>
      <w:r w:rsidRPr="00E60840">
        <w:rPr>
          <w:rFonts w:ascii="Verdana" w:hAnsi="Verdana"/>
          <w:sz w:val="20"/>
        </w:rPr>
        <w:t xml:space="preserve"> met daarin tips voor beleid rondom lachgasproblematiek en een </w:t>
      </w:r>
      <w:hyperlink w:history="1" r:id="rId17">
        <w:r w:rsidRPr="00E60840">
          <w:rPr>
            <w:rStyle w:val="Hyperlink"/>
            <w:rFonts w:ascii="Verdana" w:hAnsi="Verdana"/>
            <w:sz w:val="20"/>
          </w:rPr>
          <w:t>Wat Werkt Dossier Drugs</w:t>
        </w:r>
      </w:hyperlink>
      <w:r w:rsidRPr="00E60840">
        <w:rPr>
          <w:rFonts w:ascii="Verdana" w:hAnsi="Verdana"/>
          <w:sz w:val="20"/>
        </w:rPr>
        <w:t xml:space="preserve">. Het laatste document beschrijft o.a. op welke manier effectief drugspreventiebeleid in verschillende settingen </w:t>
      </w:r>
      <w:r w:rsidRPr="00E60840" w:rsidR="00696BB2">
        <w:rPr>
          <w:rFonts w:ascii="Verdana" w:hAnsi="Verdana"/>
          <w:sz w:val="20"/>
        </w:rPr>
        <w:t>eruit kan zien</w:t>
      </w:r>
      <w:r w:rsidRPr="00E60840">
        <w:rPr>
          <w:rFonts w:ascii="Verdana" w:hAnsi="Verdana"/>
          <w:sz w:val="20"/>
        </w:rPr>
        <w:t xml:space="preserve">. Ook is er een </w:t>
      </w:r>
      <w:hyperlink w:history="1" r:id="rId18">
        <w:r w:rsidRPr="00E60840">
          <w:rPr>
            <w:rStyle w:val="Hyperlink"/>
            <w:rFonts w:ascii="Verdana" w:hAnsi="Verdana"/>
            <w:sz w:val="20"/>
          </w:rPr>
          <w:t>Modelplan Lokaal Drugspreventiebeleid</w:t>
        </w:r>
      </w:hyperlink>
      <w:r w:rsidRPr="00E60840">
        <w:rPr>
          <w:rFonts w:ascii="Verdana" w:hAnsi="Verdana"/>
          <w:sz w:val="20"/>
        </w:rPr>
        <w:t xml:space="preserve"> waarin gemeenten hun drugspreventiebeleid kunnen vastleggen. De eerder genoemde groep, waar het gebruik van lachgas relatief vaak en veelvuldig voorkomt, k</w:t>
      </w:r>
      <w:r w:rsidRPr="00E60840" w:rsidR="003016E5">
        <w:rPr>
          <w:rFonts w:ascii="Verdana" w:hAnsi="Verdana"/>
          <w:sz w:val="20"/>
        </w:rPr>
        <w:t>an</w:t>
      </w:r>
      <w:r w:rsidRPr="00E60840">
        <w:rPr>
          <w:rFonts w:ascii="Verdana" w:hAnsi="Verdana"/>
          <w:sz w:val="20"/>
        </w:rPr>
        <w:t xml:space="preserve"> extra aandacht </w:t>
      </w:r>
      <w:r w:rsidRPr="00E60840" w:rsidR="002C1B54">
        <w:rPr>
          <w:rFonts w:ascii="Verdana" w:hAnsi="Verdana"/>
          <w:sz w:val="20"/>
        </w:rPr>
        <w:t xml:space="preserve">krijgen </w:t>
      </w:r>
      <w:r w:rsidRPr="00E60840">
        <w:rPr>
          <w:rFonts w:ascii="Verdana" w:hAnsi="Verdana"/>
          <w:sz w:val="20"/>
        </w:rPr>
        <w:t>in het lokale drugspreventiebeleid</w:t>
      </w:r>
      <w:r w:rsidRPr="00E60840" w:rsidR="002C1B54">
        <w:rPr>
          <w:rFonts w:ascii="Verdana" w:hAnsi="Verdana"/>
          <w:sz w:val="20"/>
        </w:rPr>
        <w:t>.</w:t>
      </w:r>
    </w:p>
    <w:p w:rsidRPr="00E60840" w:rsidR="00566249" w:rsidP="00566249" w:rsidRDefault="002076B8" w14:paraId="33E297A9" w14:textId="0B912596">
      <w:pPr>
        <w:rPr>
          <w:rFonts w:ascii="Verdana" w:hAnsi="Verdana"/>
          <w:sz w:val="20"/>
        </w:rPr>
      </w:pPr>
      <w:r w:rsidRPr="00E60840">
        <w:rPr>
          <w:rFonts w:ascii="Verdana" w:hAnsi="Verdana"/>
          <w:sz w:val="20"/>
        </w:rPr>
        <w:t xml:space="preserve">Informatie over wegwerpcilinders kan uiteraard wel </w:t>
      </w:r>
      <w:r w:rsidRPr="00E60840" w:rsidR="007D4E9F">
        <w:rPr>
          <w:rFonts w:ascii="Verdana" w:hAnsi="Verdana"/>
          <w:sz w:val="20"/>
        </w:rPr>
        <w:t>gecommuniceerd worden door p</w:t>
      </w:r>
      <w:r w:rsidRPr="00E60840" w:rsidR="0092490E">
        <w:rPr>
          <w:rFonts w:ascii="Verdana" w:hAnsi="Verdana"/>
          <w:sz w:val="20"/>
        </w:rPr>
        <w:t>rofessionals</w:t>
      </w:r>
      <w:r w:rsidRPr="00E60840">
        <w:rPr>
          <w:rFonts w:ascii="Verdana" w:hAnsi="Verdana"/>
          <w:sz w:val="20"/>
        </w:rPr>
        <w:t xml:space="preserve"> die contact hebben met mensen die lachgas gebruiken</w:t>
      </w:r>
      <w:r w:rsidRPr="00E60840" w:rsidR="005979AD">
        <w:rPr>
          <w:rFonts w:ascii="Verdana" w:hAnsi="Verdana"/>
          <w:sz w:val="20"/>
        </w:rPr>
        <w:t xml:space="preserve">. </w:t>
      </w:r>
      <w:r w:rsidRPr="00E60840" w:rsidR="002C1B54">
        <w:rPr>
          <w:rFonts w:ascii="Verdana" w:hAnsi="Verdana"/>
          <w:sz w:val="20"/>
        </w:rPr>
        <w:t>Daarom heeft het</w:t>
      </w:r>
      <w:r w:rsidRPr="00E60840">
        <w:rPr>
          <w:rFonts w:ascii="Verdana" w:hAnsi="Verdana"/>
          <w:sz w:val="20"/>
        </w:rPr>
        <w:t xml:space="preserve"> </w:t>
      </w:r>
      <w:r w:rsidRPr="00E60840" w:rsidR="00566249">
        <w:rPr>
          <w:rFonts w:ascii="Verdana" w:hAnsi="Verdana"/>
          <w:sz w:val="20"/>
        </w:rPr>
        <w:t>Trimbos-instituut</w:t>
      </w:r>
      <w:r w:rsidRPr="00E60840" w:rsidR="002C1B54">
        <w:rPr>
          <w:rFonts w:ascii="Verdana" w:hAnsi="Verdana"/>
          <w:sz w:val="20"/>
        </w:rPr>
        <w:t xml:space="preserve"> </w:t>
      </w:r>
      <w:r w:rsidRPr="00E60840" w:rsidR="00566249">
        <w:rPr>
          <w:rFonts w:ascii="Verdana" w:hAnsi="Verdana"/>
          <w:sz w:val="20"/>
        </w:rPr>
        <w:t xml:space="preserve">materialen ontwikkeld o.a. een </w:t>
      </w:r>
      <w:hyperlink w:history="1" w:anchor=":~:text=Q%26A%20Jongerenwerk%2C%20veldwerkers%20en%20preventiewerkers%20Lachgas%3A%20preventie%20en%20afval,-Beschrijving&amp;text=Het%20gebruik%20van%20lachgas%20is,van%20lachgas%20blijft%20daarom%20belangrijk." r:id="rId19">
        <w:r w:rsidRPr="00E60840" w:rsidR="00566249">
          <w:rPr>
            <w:rStyle w:val="Hyperlink"/>
            <w:rFonts w:ascii="Verdana" w:hAnsi="Verdana"/>
            <w:sz w:val="20"/>
          </w:rPr>
          <w:t>Q&amp;A voor jongerenwerk</w:t>
        </w:r>
      </w:hyperlink>
      <w:r w:rsidRPr="00E60840" w:rsidR="001727D2">
        <w:rPr>
          <w:rFonts w:ascii="Verdana" w:hAnsi="Verdana"/>
          <w:sz w:val="20"/>
        </w:rPr>
        <w:t xml:space="preserve"> en</w:t>
      </w:r>
      <w:r w:rsidRPr="00E60840" w:rsidR="00566249">
        <w:rPr>
          <w:rFonts w:ascii="Verdana" w:hAnsi="Verdana"/>
          <w:sz w:val="20"/>
        </w:rPr>
        <w:t xml:space="preserve"> informatie op </w:t>
      </w:r>
      <w:hyperlink w:history="1" r:id="rId20">
        <w:r w:rsidRPr="00E60840" w:rsidR="00566249">
          <w:rPr>
            <w:rStyle w:val="Hyperlink"/>
            <w:rFonts w:ascii="Verdana" w:hAnsi="Verdana"/>
            <w:sz w:val="20"/>
          </w:rPr>
          <w:t>drugsinfo</w:t>
        </w:r>
      </w:hyperlink>
      <w:r w:rsidRPr="00E60840" w:rsidR="00566249">
        <w:rPr>
          <w:rFonts w:ascii="Verdana" w:hAnsi="Verdana"/>
          <w:sz w:val="20"/>
        </w:rPr>
        <w:t xml:space="preserve"> voor</w:t>
      </w:r>
      <w:r w:rsidRPr="00E60840" w:rsidR="007C7D31">
        <w:rPr>
          <w:rFonts w:ascii="Verdana" w:hAnsi="Verdana"/>
          <w:sz w:val="20"/>
        </w:rPr>
        <w:t xml:space="preserve"> het</w:t>
      </w:r>
      <w:r w:rsidRPr="00E60840" w:rsidR="00566249">
        <w:rPr>
          <w:rFonts w:ascii="Verdana" w:hAnsi="Verdana"/>
          <w:sz w:val="20"/>
        </w:rPr>
        <w:t xml:space="preserve"> algemeen publiek. </w:t>
      </w:r>
    </w:p>
    <w:p w:rsidRPr="00E60840" w:rsidR="00566249" w:rsidP="00566249" w:rsidRDefault="00566249" w14:paraId="16E0FDE5" w14:textId="77777777">
      <w:pPr>
        <w:rPr>
          <w:rFonts w:ascii="Verdana" w:hAnsi="Verdana"/>
          <w:b/>
          <w:bCs/>
          <w:sz w:val="20"/>
        </w:rPr>
      </w:pPr>
      <w:r w:rsidRPr="00E60840">
        <w:rPr>
          <w:rFonts w:ascii="Verdana" w:hAnsi="Verdana"/>
          <w:b/>
          <w:bCs/>
          <w:sz w:val="20"/>
        </w:rPr>
        <w:t>Bronnen en naslag</w:t>
      </w:r>
    </w:p>
    <w:p w:rsidRPr="00E60840" w:rsidR="002076B8" w:rsidP="002076B8" w:rsidRDefault="002076B8" w14:paraId="0EF83070" w14:textId="77777777">
      <w:pPr>
        <w:rPr>
          <w:rFonts w:ascii="Verdana" w:hAnsi="Verdana" w:cstheme="minorHAnsi"/>
          <w:sz w:val="20"/>
        </w:rPr>
      </w:pPr>
      <w:r w:rsidRPr="00E60840">
        <w:rPr>
          <w:rFonts w:ascii="Verdana" w:hAnsi="Verdana" w:cstheme="minorHAnsi"/>
          <w:sz w:val="20"/>
        </w:rPr>
        <w:t xml:space="preserve">Nationale Drug Monitor (NDM) (2024). Lachgas. Trimbos-instituut &amp; WODC. </w:t>
      </w:r>
      <w:hyperlink w:history="1" r:id="rId21">
        <w:r w:rsidRPr="00E60840">
          <w:rPr>
            <w:rStyle w:val="Hyperlink"/>
            <w:rFonts w:ascii="Verdana" w:hAnsi="Verdana" w:cstheme="minorHAnsi"/>
            <w:sz w:val="20"/>
          </w:rPr>
          <w:t>NDM | Nationale Drug Monitor</w:t>
        </w:r>
      </w:hyperlink>
    </w:p>
    <w:p w:rsidRPr="00E60840" w:rsidR="002076B8" w:rsidP="002076B8" w:rsidRDefault="002076B8" w14:paraId="6266FA1A" w14:textId="77777777">
      <w:pPr>
        <w:tabs>
          <w:tab w:val="left" w:pos="15275"/>
        </w:tabs>
        <w:rPr>
          <w:rFonts w:ascii="Verdana" w:hAnsi="Verdana" w:cstheme="minorHAnsi"/>
          <w:sz w:val="20"/>
        </w:rPr>
      </w:pPr>
      <w:r w:rsidRPr="00E60840">
        <w:rPr>
          <w:rFonts w:ascii="Verdana" w:hAnsi="Verdana" w:cstheme="minorHAnsi"/>
          <w:sz w:val="20"/>
        </w:rPr>
        <w:t xml:space="preserve">Schürmann, L., Valkenberg, H, Croes, E. (2024). Monitor Drugsincidenten. Jaarrapportage 2022. Trimbos-instituut. </w:t>
      </w:r>
      <w:hyperlink w:history="1" r:id="rId22">
        <w:r w:rsidRPr="00E60840">
          <w:rPr>
            <w:rStyle w:val="Hyperlink"/>
            <w:rFonts w:ascii="Verdana" w:hAnsi="Verdana" w:cstheme="minorHAnsi"/>
            <w:sz w:val="20"/>
          </w:rPr>
          <w:t>Monitor drugsincidenten 2022 - Trimbos-instituut</w:t>
        </w:r>
      </w:hyperlink>
    </w:p>
    <w:p w:rsidRPr="00E60840" w:rsidR="002076B8" w:rsidP="002076B8" w:rsidRDefault="002076B8" w14:paraId="239597E1" w14:textId="77777777">
      <w:pPr>
        <w:tabs>
          <w:tab w:val="left" w:pos="15275"/>
        </w:tabs>
        <w:rPr>
          <w:rFonts w:ascii="Verdana" w:hAnsi="Verdana" w:cstheme="minorHAnsi"/>
          <w:sz w:val="20"/>
        </w:rPr>
      </w:pPr>
      <w:r w:rsidRPr="00E60840">
        <w:rPr>
          <w:rFonts w:ascii="Verdana" w:hAnsi="Verdana" w:cstheme="minorHAnsi"/>
          <w:sz w:val="20"/>
        </w:rPr>
        <w:t xml:space="preserve">Spronk, D. (2024). Lachgas: van zorgen naar acties. Update 2024. Trimbos-instituut. </w:t>
      </w:r>
      <w:hyperlink w:history="1" w:anchor=":~:text=Lachgas%20vormt%20voor%20gemeenten%2C%20preventieprofessionals,gebruikers%20met%20preventie%20en%20hulp." r:id="rId23">
        <w:r w:rsidRPr="00E60840">
          <w:rPr>
            <w:rStyle w:val="Hyperlink"/>
            <w:rFonts w:ascii="Verdana" w:hAnsi="Verdana" w:cstheme="minorHAnsi"/>
            <w:sz w:val="20"/>
          </w:rPr>
          <w:t>Lachgas: Van zorgen naar acties - Trimbos-instituut</w:t>
        </w:r>
      </w:hyperlink>
    </w:p>
    <w:p w:rsidRPr="00E60840" w:rsidR="002076B8" w:rsidP="002076B8" w:rsidRDefault="002076B8" w14:paraId="3CF063D0" w14:textId="77777777">
      <w:pPr>
        <w:rPr>
          <w:rFonts w:ascii="Verdana" w:hAnsi="Verdana" w:cstheme="minorHAnsi"/>
          <w:color w:val="222222"/>
          <w:sz w:val="20"/>
          <w:shd w:val="clear" w:color="auto" w:fill="FFFFFF"/>
          <w:lang w:val="en-GB"/>
        </w:rPr>
      </w:pPr>
      <w:r w:rsidRPr="00E60840">
        <w:rPr>
          <w:rFonts w:ascii="Verdana" w:hAnsi="Verdana" w:cstheme="minorHAnsi"/>
          <w:color w:val="222222"/>
          <w:sz w:val="20"/>
          <w:shd w:val="clear" w:color="auto" w:fill="FFFFFF"/>
        </w:rPr>
        <w:t xml:space="preserve">van Amsterdam, J., Nabben, T., &amp; van den Brink, W. (2015). </w:t>
      </w:r>
      <w:r w:rsidRPr="00E60840">
        <w:rPr>
          <w:rFonts w:ascii="Verdana" w:hAnsi="Verdana" w:cstheme="minorHAnsi"/>
          <w:color w:val="222222"/>
          <w:sz w:val="20"/>
          <w:shd w:val="clear" w:color="auto" w:fill="FFFFFF"/>
          <w:lang w:val="en-GB"/>
        </w:rPr>
        <w:t>Recreational nitrous oxide use: prevalence and risks. </w:t>
      </w:r>
      <w:r w:rsidRPr="00E60840">
        <w:rPr>
          <w:rFonts w:ascii="Verdana" w:hAnsi="Verdana" w:cstheme="minorHAnsi"/>
          <w:i/>
          <w:iCs/>
          <w:color w:val="222222"/>
          <w:sz w:val="20"/>
          <w:shd w:val="clear" w:color="auto" w:fill="FFFFFF"/>
          <w:lang w:val="en-GB"/>
        </w:rPr>
        <w:t>Regulatory toxicology and pharmacology</w:t>
      </w:r>
      <w:r w:rsidRPr="00E60840">
        <w:rPr>
          <w:rFonts w:ascii="Verdana" w:hAnsi="Verdana" w:cstheme="minorHAnsi"/>
          <w:color w:val="222222"/>
          <w:sz w:val="20"/>
          <w:shd w:val="clear" w:color="auto" w:fill="FFFFFF"/>
          <w:lang w:val="en-GB"/>
        </w:rPr>
        <w:t>, </w:t>
      </w:r>
      <w:r w:rsidRPr="00E60840">
        <w:rPr>
          <w:rFonts w:ascii="Verdana" w:hAnsi="Verdana" w:cstheme="minorHAnsi"/>
          <w:i/>
          <w:iCs/>
          <w:color w:val="222222"/>
          <w:sz w:val="20"/>
          <w:shd w:val="clear" w:color="auto" w:fill="FFFFFF"/>
          <w:lang w:val="en-GB"/>
        </w:rPr>
        <w:t>73</w:t>
      </w:r>
      <w:r w:rsidRPr="00E60840">
        <w:rPr>
          <w:rFonts w:ascii="Verdana" w:hAnsi="Verdana" w:cstheme="minorHAnsi"/>
          <w:color w:val="222222"/>
          <w:sz w:val="20"/>
          <w:shd w:val="clear" w:color="auto" w:fill="FFFFFF"/>
          <w:lang w:val="en-GB"/>
        </w:rPr>
        <w:t>(3), 790-796.</w:t>
      </w:r>
    </w:p>
    <w:p w:rsidRPr="00E60840" w:rsidR="002076B8" w:rsidP="002076B8" w:rsidRDefault="002076B8" w14:paraId="6D31EA91" w14:textId="77777777">
      <w:pPr>
        <w:rPr>
          <w:rFonts w:ascii="Verdana" w:hAnsi="Verdana" w:cstheme="minorHAnsi"/>
          <w:color w:val="222222"/>
          <w:sz w:val="20"/>
          <w:shd w:val="clear" w:color="auto" w:fill="FFFFFF"/>
        </w:rPr>
      </w:pPr>
      <w:r w:rsidRPr="00E60840">
        <w:rPr>
          <w:rFonts w:ascii="Verdana" w:hAnsi="Verdana" w:cstheme="minorHAnsi"/>
          <w:color w:val="222222"/>
          <w:sz w:val="20"/>
          <w:shd w:val="clear" w:color="auto" w:fill="FFFFFF"/>
          <w:lang w:val="en-GB"/>
        </w:rPr>
        <w:t xml:space="preserve">van Amsterdam, J. G., Nabben, T., &amp; van den Brink, W. (2022). Increasing recreational nitrous oxide use: should we worry? </w:t>
      </w:r>
      <w:r w:rsidRPr="00E60840">
        <w:rPr>
          <w:rFonts w:ascii="Verdana" w:hAnsi="Verdana" w:cstheme="minorHAnsi"/>
          <w:color w:val="222222"/>
          <w:sz w:val="20"/>
          <w:shd w:val="clear" w:color="auto" w:fill="FFFFFF"/>
        </w:rPr>
        <w:t xml:space="preserve">A </w:t>
      </w:r>
      <w:proofErr w:type="spellStart"/>
      <w:r w:rsidRPr="00E60840">
        <w:rPr>
          <w:rFonts w:ascii="Verdana" w:hAnsi="Verdana" w:cstheme="minorHAnsi"/>
          <w:color w:val="222222"/>
          <w:sz w:val="20"/>
          <w:shd w:val="clear" w:color="auto" w:fill="FFFFFF"/>
        </w:rPr>
        <w:t>narrative</w:t>
      </w:r>
      <w:proofErr w:type="spellEnd"/>
      <w:r w:rsidRPr="00E60840">
        <w:rPr>
          <w:rFonts w:ascii="Verdana" w:hAnsi="Verdana" w:cstheme="minorHAnsi"/>
          <w:color w:val="222222"/>
          <w:sz w:val="20"/>
          <w:shd w:val="clear" w:color="auto" w:fill="FFFFFF"/>
        </w:rPr>
        <w:t xml:space="preserve"> review. </w:t>
      </w:r>
      <w:r w:rsidRPr="00E60840">
        <w:rPr>
          <w:rFonts w:ascii="Verdana" w:hAnsi="Verdana" w:cstheme="minorHAnsi"/>
          <w:i/>
          <w:iCs/>
          <w:color w:val="222222"/>
          <w:sz w:val="20"/>
          <w:shd w:val="clear" w:color="auto" w:fill="FFFFFF"/>
        </w:rPr>
        <w:t xml:space="preserve">Journal of </w:t>
      </w:r>
      <w:proofErr w:type="spellStart"/>
      <w:r w:rsidRPr="00E60840">
        <w:rPr>
          <w:rFonts w:ascii="Verdana" w:hAnsi="Verdana" w:cstheme="minorHAnsi"/>
          <w:i/>
          <w:iCs/>
          <w:color w:val="222222"/>
          <w:sz w:val="20"/>
          <w:shd w:val="clear" w:color="auto" w:fill="FFFFFF"/>
        </w:rPr>
        <w:t>Psychopharmacology</w:t>
      </w:r>
      <w:proofErr w:type="spellEnd"/>
      <w:r w:rsidRPr="00E60840">
        <w:rPr>
          <w:rFonts w:ascii="Verdana" w:hAnsi="Verdana" w:cstheme="minorHAnsi"/>
          <w:color w:val="222222"/>
          <w:sz w:val="20"/>
          <w:shd w:val="clear" w:color="auto" w:fill="FFFFFF"/>
        </w:rPr>
        <w:t>, </w:t>
      </w:r>
      <w:r w:rsidRPr="00E60840">
        <w:rPr>
          <w:rFonts w:ascii="Verdana" w:hAnsi="Verdana" w:cstheme="minorHAnsi"/>
          <w:i/>
          <w:iCs/>
          <w:color w:val="222222"/>
          <w:sz w:val="20"/>
          <w:shd w:val="clear" w:color="auto" w:fill="FFFFFF"/>
        </w:rPr>
        <w:t>36</w:t>
      </w:r>
      <w:r w:rsidRPr="00E60840">
        <w:rPr>
          <w:rFonts w:ascii="Verdana" w:hAnsi="Verdana" w:cstheme="minorHAnsi"/>
          <w:color w:val="222222"/>
          <w:sz w:val="20"/>
          <w:shd w:val="clear" w:color="auto" w:fill="FFFFFF"/>
        </w:rPr>
        <w:t>(8), 943-950.</w:t>
      </w:r>
    </w:p>
    <w:p w:rsidRPr="00E60840" w:rsidR="002076B8" w:rsidP="002076B8" w:rsidRDefault="00675525" w14:paraId="2F00ABDF" w14:textId="6C110F94">
      <w:pPr>
        <w:rPr>
          <w:rFonts w:ascii="Verdana" w:hAnsi="Verdana" w:cstheme="minorHAnsi"/>
          <w:color w:val="222222"/>
          <w:sz w:val="20"/>
          <w:shd w:val="clear" w:color="auto" w:fill="FFFFFF"/>
        </w:rPr>
      </w:pPr>
      <w:r w:rsidRPr="00E60840">
        <w:rPr>
          <w:rFonts w:ascii="Verdana" w:hAnsi="Verdana" w:cstheme="minorHAnsi"/>
          <w:color w:val="222222"/>
          <w:sz w:val="20"/>
          <w:shd w:val="clear" w:color="auto" w:fill="FFFFFF"/>
        </w:rPr>
        <w:t>v</w:t>
      </w:r>
      <w:r w:rsidRPr="00E60840" w:rsidR="002076B8">
        <w:rPr>
          <w:rFonts w:ascii="Verdana" w:hAnsi="Verdana" w:cstheme="minorHAnsi"/>
          <w:color w:val="222222"/>
          <w:sz w:val="20"/>
          <w:shd w:val="clear" w:color="auto" w:fill="FFFFFF"/>
        </w:rPr>
        <w:t xml:space="preserve">an Wamel, A., Spronk, D., Sannen, A., Lemmers, L., van Gelder, N. (2023). Drugspreventie bij jongeren en jongvolwassenen. </w:t>
      </w:r>
      <w:r w:rsidRPr="00E60840" w:rsidR="002076B8">
        <w:rPr>
          <w:rFonts w:ascii="Verdana" w:hAnsi="Verdana" w:cstheme="minorHAnsi"/>
          <w:sz w:val="20"/>
        </w:rPr>
        <w:t xml:space="preserve">Effectieve interventies en andere mogelijkheden voor preventie van drugsgebruik bij jongeren en jongvolwassenen. Trimbos-instituut. </w:t>
      </w:r>
      <w:hyperlink w:history="1" r:id="rId24">
        <w:r w:rsidRPr="00E60840" w:rsidR="002076B8">
          <w:rPr>
            <w:rStyle w:val="Hyperlink"/>
            <w:rFonts w:ascii="Verdana" w:hAnsi="Verdana" w:cstheme="minorHAnsi"/>
            <w:sz w:val="20"/>
          </w:rPr>
          <w:t>Drugspreventie bij jongeren en jongvolwassenen - Trimbos-instituut</w:t>
        </w:r>
      </w:hyperlink>
    </w:p>
    <w:p w:rsidRPr="00E60840" w:rsidR="002076B8" w:rsidP="002076B8" w:rsidRDefault="002076B8" w14:paraId="47CE52C4" w14:textId="77777777">
      <w:pPr>
        <w:rPr>
          <w:rFonts w:ascii="Verdana" w:hAnsi="Verdana" w:cstheme="minorHAnsi"/>
          <w:color w:val="222222"/>
          <w:sz w:val="20"/>
          <w:shd w:val="clear" w:color="auto" w:fill="FFFFFF"/>
          <w:lang w:val="en-GB"/>
        </w:rPr>
      </w:pPr>
      <w:proofErr w:type="spellStart"/>
      <w:r w:rsidRPr="00E60840">
        <w:rPr>
          <w:rFonts w:ascii="Verdana" w:hAnsi="Verdana" w:cstheme="minorHAnsi"/>
          <w:color w:val="222222"/>
          <w:sz w:val="20"/>
          <w:shd w:val="clear" w:color="auto" w:fill="FFFFFF"/>
        </w:rPr>
        <w:t>Vinckenbosch</w:t>
      </w:r>
      <w:proofErr w:type="spellEnd"/>
      <w:r w:rsidRPr="00E60840">
        <w:rPr>
          <w:rFonts w:ascii="Verdana" w:hAnsi="Verdana" w:cstheme="minorHAnsi"/>
          <w:color w:val="222222"/>
          <w:sz w:val="20"/>
          <w:shd w:val="clear" w:color="auto" w:fill="FFFFFF"/>
        </w:rPr>
        <w:t xml:space="preserve">, F. R., </w:t>
      </w:r>
      <w:proofErr w:type="spellStart"/>
      <w:r w:rsidRPr="00E60840">
        <w:rPr>
          <w:rFonts w:ascii="Verdana" w:hAnsi="Verdana" w:cstheme="minorHAnsi"/>
          <w:color w:val="222222"/>
          <w:sz w:val="20"/>
          <w:shd w:val="clear" w:color="auto" w:fill="FFFFFF"/>
        </w:rPr>
        <w:t>Durán</w:t>
      </w:r>
      <w:proofErr w:type="spellEnd"/>
      <w:r w:rsidRPr="00E60840">
        <w:rPr>
          <w:rFonts w:ascii="Verdana" w:hAnsi="Verdana" w:cstheme="minorHAnsi"/>
          <w:color w:val="222222"/>
          <w:sz w:val="20"/>
          <w:shd w:val="clear" w:color="auto" w:fill="FFFFFF"/>
        </w:rPr>
        <w:t xml:space="preserve"> </w:t>
      </w:r>
      <w:proofErr w:type="spellStart"/>
      <w:r w:rsidRPr="00E60840">
        <w:rPr>
          <w:rFonts w:ascii="Verdana" w:hAnsi="Verdana" w:cstheme="minorHAnsi"/>
          <w:color w:val="222222"/>
          <w:sz w:val="20"/>
          <w:shd w:val="clear" w:color="auto" w:fill="FFFFFF"/>
        </w:rPr>
        <w:t>Jiménez</w:t>
      </w:r>
      <w:proofErr w:type="spellEnd"/>
      <w:r w:rsidRPr="00E60840">
        <w:rPr>
          <w:rFonts w:ascii="Verdana" w:hAnsi="Verdana" w:cstheme="minorHAnsi"/>
          <w:color w:val="222222"/>
          <w:sz w:val="20"/>
          <w:shd w:val="clear" w:color="auto" w:fill="FFFFFF"/>
        </w:rPr>
        <w:t xml:space="preserve">, D., Helmerhorst, H., </w:t>
      </w:r>
      <w:proofErr w:type="spellStart"/>
      <w:r w:rsidRPr="00E60840">
        <w:rPr>
          <w:rFonts w:ascii="Verdana" w:hAnsi="Verdana" w:cstheme="minorHAnsi"/>
          <w:color w:val="222222"/>
          <w:sz w:val="20"/>
          <w:shd w:val="clear" w:color="auto" w:fill="FFFFFF"/>
        </w:rPr>
        <w:t>Dahan</w:t>
      </w:r>
      <w:proofErr w:type="spellEnd"/>
      <w:r w:rsidRPr="00E60840">
        <w:rPr>
          <w:rFonts w:ascii="Verdana" w:hAnsi="Verdana" w:cstheme="minorHAnsi"/>
          <w:color w:val="222222"/>
          <w:sz w:val="20"/>
          <w:shd w:val="clear" w:color="auto" w:fill="FFFFFF"/>
        </w:rPr>
        <w:t xml:space="preserve">, A., Aarts, L., Bikker, F., ... </w:t>
      </w:r>
      <w:r w:rsidRPr="00E60840">
        <w:rPr>
          <w:rFonts w:ascii="Verdana" w:hAnsi="Verdana" w:cstheme="minorHAnsi"/>
          <w:color w:val="222222"/>
          <w:sz w:val="20"/>
          <w:shd w:val="clear" w:color="auto" w:fill="FFFFFF"/>
          <w:lang w:val="en-GB"/>
        </w:rPr>
        <w:t>&amp; Ramaekers, J. G. (2024). The prevalence, risks, and detection of driving under the influence of nitrous oxide. </w:t>
      </w:r>
      <w:r w:rsidRPr="00E60840">
        <w:rPr>
          <w:rFonts w:ascii="Verdana" w:hAnsi="Verdana" w:cstheme="minorHAnsi"/>
          <w:i/>
          <w:iCs/>
          <w:color w:val="222222"/>
          <w:sz w:val="20"/>
          <w:shd w:val="clear" w:color="auto" w:fill="FFFFFF"/>
          <w:lang w:val="en-GB"/>
        </w:rPr>
        <w:t>Wiley Interdisciplinary Reviews: Forensic Science</w:t>
      </w:r>
      <w:r w:rsidRPr="00E60840">
        <w:rPr>
          <w:rFonts w:ascii="Verdana" w:hAnsi="Verdana" w:cstheme="minorHAnsi"/>
          <w:color w:val="222222"/>
          <w:sz w:val="20"/>
          <w:shd w:val="clear" w:color="auto" w:fill="FFFFFF"/>
          <w:lang w:val="en-GB"/>
        </w:rPr>
        <w:t>, </w:t>
      </w:r>
      <w:r w:rsidRPr="00E60840">
        <w:rPr>
          <w:rFonts w:ascii="Verdana" w:hAnsi="Verdana" w:cstheme="minorHAnsi"/>
          <w:i/>
          <w:iCs/>
          <w:color w:val="222222"/>
          <w:sz w:val="20"/>
          <w:shd w:val="clear" w:color="auto" w:fill="FFFFFF"/>
          <w:lang w:val="en-GB"/>
        </w:rPr>
        <w:t>6</w:t>
      </w:r>
      <w:r w:rsidRPr="00E60840">
        <w:rPr>
          <w:rFonts w:ascii="Verdana" w:hAnsi="Verdana" w:cstheme="minorHAnsi"/>
          <w:color w:val="222222"/>
          <w:sz w:val="20"/>
          <w:shd w:val="clear" w:color="auto" w:fill="FFFFFF"/>
          <w:lang w:val="en-GB"/>
        </w:rPr>
        <w:t>(2), e1508.</w:t>
      </w:r>
    </w:p>
    <w:p w:rsidRPr="00E60840" w:rsidR="00566249" w:rsidP="00566249" w:rsidRDefault="00566249" w14:paraId="0B2812C4" w14:textId="77777777">
      <w:pPr>
        <w:rPr>
          <w:rFonts w:ascii="Verdana" w:hAnsi="Verdana"/>
          <w:sz w:val="20"/>
        </w:rPr>
      </w:pPr>
    </w:p>
    <w:p w:rsidRPr="00E60840" w:rsidR="00566249" w:rsidP="00B40312" w:rsidRDefault="00566249" w14:paraId="053EC616" w14:textId="77777777">
      <w:pPr>
        <w:rPr>
          <w:rFonts w:ascii="Verdana" w:hAnsi="Verdana"/>
          <w:sz w:val="20"/>
        </w:rPr>
      </w:pPr>
    </w:p>
    <w:sectPr w:rsidRPr="00E60840" w:rsidR="00566249" w:rsidSect="002D1983">
      <w:footerReference w:type="default" r:id="rId25"/>
      <w:headerReference w:type="first" r:id="rId26"/>
      <w:footerReference w:type="first" r:id="rId27"/>
      <w:pgSz w:w="11906" w:h="16838" w:code="9"/>
      <w:pgMar w:top="1440" w:right="1080" w:bottom="1440" w:left="108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329EF" w14:textId="77777777" w:rsidR="006B7AF0" w:rsidRDefault="006B7AF0" w:rsidP="00F30B9D">
      <w:r>
        <w:separator/>
      </w:r>
    </w:p>
  </w:endnote>
  <w:endnote w:type="continuationSeparator" w:id="0">
    <w:p w14:paraId="28A21B24" w14:textId="77777777" w:rsidR="006B7AF0" w:rsidRDefault="006B7AF0" w:rsidP="00F30B9D">
      <w:r>
        <w:continuationSeparator/>
      </w:r>
    </w:p>
  </w:endnote>
  <w:endnote w:type="continuationNotice" w:id="1">
    <w:p w14:paraId="62E0C9BF" w14:textId="77777777" w:rsidR="00B93C13" w:rsidRDefault="00B93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314E2" w14:textId="77777777" w:rsidR="00F30B9D" w:rsidRDefault="00F30B9D">
    <w:pPr>
      <w:pStyle w:val="Voettekst"/>
    </w:pPr>
    <w:r>
      <w:rPr>
        <w:noProof/>
      </w:rPr>
      <w:drawing>
        <wp:anchor distT="0" distB="0" distL="114300" distR="114300" simplePos="0" relativeHeight="251658242" behindDoc="0" locked="0" layoutInCell="1" allowOverlap="1" wp14:anchorId="74FB391C" wp14:editId="0033B3B2">
          <wp:simplePos x="0" y="0"/>
          <wp:positionH relativeFrom="margin">
            <wp:align>center</wp:align>
          </wp:positionH>
          <wp:positionV relativeFrom="paragraph">
            <wp:posOffset>361705</wp:posOffset>
          </wp:positionV>
          <wp:extent cx="7625080" cy="367030"/>
          <wp:effectExtent l="0" t="0" r="0" b="0"/>
          <wp:wrapTopAndBottom/>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5080" cy="3670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75A5CC7" wp14:editId="40A610B7">
          <wp:simplePos x="0" y="0"/>
          <wp:positionH relativeFrom="column">
            <wp:posOffset>-3175</wp:posOffset>
          </wp:positionH>
          <wp:positionV relativeFrom="paragraph">
            <wp:posOffset>10193655</wp:posOffset>
          </wp:positionV>
          <wp:extent cx="5760720" cy="36703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670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DDC0ED4" wp14:editId="3E31A665">
          <wp:simplePos x="0" y="0"/>
          <wp:positionH relativeFrom="column">
            <wp:posOffset>-3175</wp:posOffset>
          </wp:positionH>
          <wp:positionV relativeFrom="paragraph">
            <wp:posOffset>10193655</wp:posOffset>
          </wp:positionV>
          <wp:extent cx="5760720" cy="36703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67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6479F" w14:textId="77777777" w:rsidR="00736C9D" w:rsidRDefault="00736C9D">
    <w:pPr>
      <w:pStyle w:val="Voettekst"/>
    </w:pPr>
    <w:r>
      <w:rPr>
        <w:noProof/>
      </w:rPr>
      <w:drawing>
        <wp:anchor distT="0" distB="0" distL="114300" distR="114300" simplePos="0" relativeHeight="251658244" behindDoc="0" locked="0" layoutInCell="1" allowOverlap="1" wp14:anchorId="3A6964BF" wp14:editId="5EC81AE5">
          <wp:simplePos x="0" y="0"/>
          <wp:positionH relativeFrom="page">
            <wp:align>left</wp:align>
          </wp:positionH>
          <wp:positionV relativeFrom="paragraph">
            <wp:posOffset>362466</wp:posOffset>
          </wp:positionV>
          <wp:extent cx="7625080" cy="367030"/>
          <wp:effectExtent l="0" t="0" r="0" b="0"/>
          <wp:wrapTopAndBottom/>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5080" cy="367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7351E" w14:textId="77777777" w:rsidR="006B7AF0" w:rsidRDefault="006B7AF0" w:rsidP="00F30B9D">
      <w:r>
        <w:separator/>
      </w:r>
    </w:p>
  </w:footnote>
  <w:footnote w:type="continuationSeparator" w:id="0">
    <w:p w14:paraId="599A0A25" w14:textId="77777777" w:rsidR="006B7AF0" w:rsidRDefault="006B7AF0" w:rsidP="00F30B9D">
      <w:r>
        <w:continuationSeparator/>
      </w:r>
    </w:p>
  </w:footnote>
  <w:footnote w:type="continuationNotice" w:id="1">
    <w:p w14:paraId="27447806" w14:textId="77777777" w:rsidR="00B93C13" w:rsidRDefault="00B93C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7F8ED" w14:textId="77777777" w:rsidR="00736C9D" w:rsidRDefault="00736C9D">
    <w:pPr>
      <w:pStyle w:val="Koptekst"/>
    </w:pPr>
    <w:r>
      <w:rPr>
        <w:noProof/>
      </w:rPr>
      <w:drawing>
        <wp:anchor distT="0" distB="0" distL="114300" distR="114300" simplePos="0" relativeHeight="251658243" behindDoc="0" locked="0" layoutInCell="1" allowOverlap="1" wp14:anchorId="11C94032" wp14:editId="70B066EC">
          <wp:simplePos x="0" y="0"/>
          <wp:positionH relativeFrom="page">
            <wp:posOffset>0</wp:posOffset>
          </wp:positionH>
          <wp:positionV relativeFrom="paragraph">
            <wp:posOffset>-442926</wp:posOffset>
          </wp:positionV>
          <wp:extent cx="7557685" cy="893445"/>
          <wp:effectExtent l="0" t="0" r="5715" b="190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685" cy="8934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02A1F"/>
    <w:multiLevelType w:val="hybridMultilevel"/>
    <w:tmpl w:val="69CE5F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3F95F89"/>
    <w:multiLevelType w:val="hybridMultilevel"/>
    <w:tmpl w:val="AC1C2EB8"/>
    <w:lvl w:ilvl="0" w:tplc="8EA2694C">
      <w:start w:val="1"/>
      <w:numFmt w:val="decimal"/>
      <w:lvlText w:val="%1."/>
      <w:lvlJc w:val="left"/>
      <w:pPr>
        <w:ind w:left="644"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0090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715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49"/>
    <w:rsid w:val="00007EDF"/>
    <w:rsid w:val="00023046"/>
    <w:rsid w:val="00032882"/>
    <w:rsid w:val="00034869"/>
    <w:rsid w:val="00082B9F"/>
    <w:rsid w:val="0008397C"/>
    <w:rsid w:val="00091369"/>
    <w:rsid w:val="000C5D97"/>
    <w:rsid w:val="0011409F"/>
    <w:rsid w:val="00135E69"/>
    <w:rsid w:val="00170369"/>
    <w:rsid w:val="001727D2"/>
    <w:rsid w:val="00177233"/>
    <w:rsid w:val="001B59F0"/>
    <w:rsid w:val="001C35BE"/>
    <w:rsid w:val="001D0337"/>
    <w:rsid w:val="002076B8"/>
    <w:rsid w:val="002C1B54"/>
    <w:rsid w:val="002D1983"/>
    <w:rsid w:val="002E7264"/>
    <w:rsid w:val="003016E5"/>
    <w:rsid w:val="0037737A"/>
    <w:rsid w:val="00411D6F"/>
    <w:rsid w:val="00566249"/>
    <w:rsid w:val="0056654B"/>
    <w:rsid w:val="005979AD"/>
    <w:rsid w:val="005A4280"/>
    <w:rsid w:val="006507BD"/>
    <w:rsid w:val="00653BE5"/>
    <w:rsid w:val="00657893"/>
    <w:rsid w:val="006642A4"/>
    <w:rsid w:val="00675525"/>
    <w:rsid w:val="006921C7"/>
    <w:rsid w:val="00695FCF"/>
    <w:rsid w:val="00696BB2"/>
    <w:rsid w:val="006A729E"/>
    <w:rsid w:val="006B7AF0"/>
    <w:rsid w:val="006F2DF3"/>
    <w:rsid w:val="00736C9D"/>
    <w:rsid w:val="007C7D31"/>
    <w:rsid w:val="007D4E9F"/>
    <w:rsid w:val="00810186"/>
    <w:rsid w:val="00814366"/>
    <w:rsid w:val="00855258"/>
    <w:rsid w:val="00887E8E"/>
    <w:rsid w:val="00890827"/>
    <w:rsid w:val="008F067C"/>
    <w:rsid w:val="00923145"/>
    <w:rsid w:val="0092490E"/>
    <w:rsid w:val="009715D0"/>
    <w:rsid w:val="00977B9E"/>
    <w:rsid w:val="009A5991"/>
    <w:rsid w:val="009D2E58"/>
    <w:rsid w:val="00A70A4B"/>
    <w:rsid w:val="00A71C38"/>
    <w:rsid w:val="00AA1ADA"/>
    <w:rsid w:val="00B40312"/>
    <w:rsid w:val="00B46AC9"/>
    <w:rsid w:val="00B573EB"/>
    <w:rsid w:val="00B93C13"/>
    <w:rsid w:val="00C56BB1"/>
    <w:rsid w:val="00DF0BDC"/>
    <w:rsid w:val="00E045B8"/>
    <w:rsid w:val="00E357A8"/>
    <w:rsid w:val="00E60840"/>
    <w:rsid w:val="00E74A4F"/>
    <w:rsid w:val="00F26731"/>
    <w:rsid w:val="00F30B9D"/>
    <w:rsid w:val="00FC47E3"/>
    <w:rsid w:val="00FD7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82DDD"/>
  <w15:chartTrackingRefBased/>
  <w15:docId w15:val="{8188EE7B-3A98-482F-80E4-1D72906E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249"/>
    <w:pPr>
      <w:spacing w:after="160" w:line="259" w:lineRule="auto"/>
    </w:pPr>
    <w:rPr>
      <w:kern w:val="2"/>
      <w14:ligatures w14:val="standardContextual"/>
    </w:rPr>
  </w:style>
  <w:style w:type="paragraph" w:styleId="Kop1">
    <w:name w:val="heading 1"/>
    <w:basedOn w:val="Standaard"/>
    <w:next w:val="Standaard"/>
    <w:link w:val="Kop1Char"/>
    <w:uiPriority w:val="9"/>
    <w:qFormat/>
    <w:rsid w:val="00B403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662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0B9D"/>
    <w:pPr>
      <w:tabs>
        <w:tab w:val="center" w:pos="4536"/>
        <w:tab w:val="right" w:pos="9072"/>
      </w:tabs>
    </w:pPr>
  </w:style>
  <w:style w:type="character" w:customStyle="1" w:styleId="KoptekstChar">
    <w:name w:val="Koptekst Char"/>
    <w:basedOn w:val="Standaardalinea-lettertype"/>
    <w:link w:val="Koptekst"/>
    <w:uiPriority w:val="99"/>
    <w:rsid w:val="00F30B9D"/>
  </w:style>
  <w:style w:type="paragraph" w:styleId="Voettekst">
    <w:name w:val="footer"/>
    <w:basedOn w:val="Standaard"/>
    <w:link w:val="VoettekstChar"/>
    <w:uiPriority w:val="99"/>
    <w:unhideWhenUsed/>
    <w:rsid w:val="00F30B9D"/>
    <w:pPr>
      <w:tabs>
        <w:tab w:val="center" w:pos="4536"/>
        <w:tab w:val="right" w:pos="9072"/>
      </w:tabs>
    </w:pPr>
  </w:style>
  <w:style w:type="character" w:customStyle="1" w:styleId="VoettekstChar">
    <w:name w:val="Voettekst Char"/>
    <w:basedOn w:val="Standaardalinea-lettertype"/>
    <w:link w:val="Voettekst"/>
    <w:uiPriority w:val="99"/>
    <w:rsid w:val="00F30B9D"/>
  </w:style>
  <w:style w:type="character" w:customStyle="1" w:styleId="Kop1Char">
    <w:name w:val="Kop 1 Char"/>
    <w:basedOn w:val="Standaardalinea-lettertype"/>
    <w:link w:val="Kop1"/>
    <w:uiPriority w:val="9"/>
    <w:rsid w:val="00B4031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B40312"/>
    <w:pPr>
      <w:ind w:left="720"/>
    </w:pPr>
    <w:rPr>
      <w:rFonts w:ascii="Calibri" w:hAnsi="Calibri" w:cs="Calibri"/>
    </w:rPr>
  </w:style>
  <w:style w:type="character" w:customStyle="1" w:styleId="Kop2Char">
    <w:name w:val="Kop 2 Char"/>
    <w:basedOn w:val="Standaardalinea-lettertype"/>
    <w:link w:val="Kop2"/>
    <w:uiPriority w:val="9"/>
    <w:rsid w:val="00566249"/>
    <w:rPr>
      <w:rFonts w:asciiTheme="majorHAnsi" w:eastAsiaTheme="majorEastAsia" w:hAnsiTheme="majorHAnsi" w:cstheme="majorBidi"/>
      <w:color w:val="2F5496" w:themeColor="accent1" w:themeShade="BF"/>
      <w:kern w:val="2"/>
      <w:sz w:val="26"/>
      <w:szCs w:val="26"/>
      <w14:ligatures w14:val="standardContextual"/>
    </w:rPr>
  </w:style>
  <w:style w:type="character" w:styleId="Hyperlink">
    <w:name w:val="Hyperlink"/>
    <w:basedOn w:val="Standaardalinea-lettertype"/>
    <w:uiPriority w:val="99"/>
    <w:unhideWhenUsed/>
    <w:rsid w:val="00566249"/>
    <w:rPr>
      <w:color w:val="0000FF"/>
      <w:u w:val="single"/>
    </w:rPr>
  </w:style>
  <w:style w:type="character" w:styleId="Verwijzingopmerking">
    <w:name w:val="annotation reference"/>
    <w:basedOn w:val="Standaardalinea-lettertype"/>
    <w:uiPriority w:val="99"/>
    <w:semiHidden/>
    <w:unhideWhenUsed/>
    <w:rsid w:val="00566249"/>
    <w:rPr>
      <w:sz w:val="16"/>
      <w:szCs w:val="16"/>
    </w:rPr>
  </w:style>
  <w:style w:type="paragraph" w:styleId="Tekstopmerking">
    <w:name w:val="annotation text"/>
    <w:basedOn w:val="Standaard"/>
    <w:link w:val="TekstopmerkingChar"/>
    <w:uiPriority w:val="99"/>
    <w:unhideWhenUsed/>
    <w:rsid w:val="00566249"/>
    <w:pPr>
      <w:spacing w:line="240" w:lineRule="auto"/>
    </w:pPr>
    <w:rPr>
      <w:sz w:val="20"/>
      <w:szCs w:val="20"/>
    </w:rPr>
  </w:style>
  <w:style w:type="character" w:customStyle="1" w:styleId="TekstopmerkingChar">
    <w:name w:val="Tekst opmerking Char"/>
    <w:basedOn w:val="Standaardalinea-lettertype"/>
    <w:link w:val="Tekstopmerking"/>
    <w:uiPriority w:val="99"/>
    <w:rsid w:val="00566249"/>
    <w:rPr>
      <w:kern w:val="2"/>
      <w:sz w:val="20"/>
      <w:szCs w:val="20"/>
      <w14:ligatures w14:val="standardContextual"/>
    </w:rPr>
  </w:style>
  <w:style w:type="character" w:styleId="Onopgelostemelding">
    <w:name w:val="Unresolved Mention"/>
    <w:basedOn w:val="Standaardalinea-lettertype"/>
    <w:uiPriority w:val="99"/>
    <w:semiHidden/>
    <w:unhideWhenUsed/>
    <w:rsid w:val="00566249"/>
    <w:rPr>
      <w:color w:val="605E5C"/>
      <w:shd w:val="clear" w:color="auto" w:fill="E1DFDD"/>
    </w:rPr>
  </w:style>
  <w:style w:type="character" w:styleId="GevolgdeHyperlink">
    <w:name w:val="FollowedHyperlink"/>
    <w:basedOn w:val="Standaardalinea-lettertype"/>
    <w:uiPriority w:val="99"/>
    <w:semiHidden/>
    <w:unhideWhenUsed/>
    <w:rsid w:val="00A71C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ionaledrugmonitor.nl/lachgas-gebruik-jongeren-en-jongvolwassenen/" TargetMode="External" Id="rId8" /><Relationship Type="http://schemas.openxmlformats.org/officeDocument/2006/relationships/hyperlink" Target="https://www.trimbos.nl/kennis/drugs/informatiepermiddel/lachgas/" TargetMode="External" Id="rId13" /><Relationship Type="http://schemas.openxmlformats.org/officeDocument/2006/relationships/hyperlink" Target="https://www.trimbos.nl/aanbod/webwinkel/af2126-modelplan-lokaal-drugspreventiebeleid/" TargetMode="External" Id="rId18" /><Relationship Type="http://schemas.openxmlformats.org/officeDocument/2006/relationships/header" Target="header1.xml" Id="rId26" /><Relationship Type="http://schemas.openxmlformats.org/officeDocument/2006/relationships/styles" Target="styles.xml" Id="rId3" /><Relationship Type="http://schemas.openxmlformats.org/officeDocument/2006/relationships/hyperlink" Target="https://www.nationaledrugmonitor.nl/" TargetMode="External" Id="rId21" /><Relationship Type="http://schemas.openxmlformats.org/officeDocument/2006/relationships/endnotes" Target="endnotes.xml" Id="rId7" /><Relationship Type="http://schemas.openxmlformats.org/officeDocument/2006/relationships/hyperlink" Target="https://www.drugsenuitgaan.nl/lachgas" TargetMode="External" Id="rId12" /><Relationship Type="http://schemas.openxmlformats.org/officeDocument/2006/relationships/hyperlink" Target="https://www.trimbos.nl/aanbod/webwinkel/af2073-drugspreventie-bij-jongeren-en-jongvolwassenen/" TargetMode="External" Id="rId17" /><Relationship Type="http://schemas.openxmlformats.org/officeDocument/2006/relationships/footer" Target="footer1.xml" Id="rId25" /><Relationship Type="http://schemas.openxmlformats.org/officeDocument/2006/relationships/numbering" Target="numbering.xml" Id="rId2" /><Relationship Type="http://schemas.openxmlformats.org/officeDocument/2006/relationships/hyperlink" Target="https://www.trimbos.nl/aanbod/webwinkel/af1839-lachgas-van-zorgen-naar-acties/" TargetMode="External" Id="rId16" /><Relationship Type="http://schemas.openxmlformats.org/officeDocument/2006/relationships/hyperlink" Target="https://www.drugsinfo.nl/feiten/lachgastanks-weggooien-waar-kan-dat" TargetMode="External" Id="rId20" /><Relationship Type="http://schemas.openxmlformats.org/officeDocument/2006/relationships/theme" Target="theme/theme1.xml" Id="rId29" /><Relationship Type="http://schemas.openxmlformats.org/officeDocument/2006/relationships/footnotes" Target="footnotes.xml" Id="rId6" /><Relationship Type="http://schemas.openxmlformats.org/officeDocument/2006/relationships/hyperlink" Target="https://www.trimbos.nl/aanbod/webwinkel/af1969-voorlichting-over-lachgas-hoe-bereiken-we-de-ouders/" TargetMode="External" Id="rId11" /><Relationship Type="http://schemas.openxmlformats.org/officeDocument/2006/relationships/hyperlink" Target="https://www.trimbos.nl/aanbod/webwinkel/af2073-drugspreventie-bij-jongeren-en-jongvolwassenen/" TargetMode="External" Id="rId24" /><Relationship Type="http://schemas.openxmlformats.org/officeDocument/2006/relationships/webSettings" Target="webSettings.xml" Id="rId5" /><Relationship Type="http://schemas.openxmlformats.org/officeDocument/2006/relationships/hyperlink" Target="https://www.nationaledrugmonitor.nl/lachgas-gebruik-jongeren-en-jongvolwassenen/" TargetMode="External" Id="rId15" /><Relationship Type="http://schemas.openxmlformats.org/officeDocument/2006/relationships/hyperlink" Target="https://www.trimbos.nl/aanbod/webwinkel/af1839-lachgas-van-zorgen-naar-acties/" TargetMode="External" Id="rId23" /><Relationship Type="http://schemas.openxmlformats.org/officeDocument/2006/relationships/fontTable" Target="fontTable.xml" Id="rId28" /><Relationship Type="http://schemas.openxmlformats.org/officeDocument/2006/relationships/hyperlink" Target="https://www.trimbos.nl/aanbod/webwinkel/af1828-lachgasgebruik-bij-jongeren-met-een-niet-westerse-migratieachtergrond/" TargetMode="External" Id="rId10" /><Relationship Type="http://schemas.openxmlformats.org/officeDocument/2006/relationships/hyperlink" Target="https://www.trimbos.nl/aanbod/webwinkel/pm0838-qa-jongerenwerk-veldwerkers-en-preventiewerkers-lachgas-preventie-en-afval/" TargetMode="External" Id="rId19" /><Relationship Type="http://schemas.openxmlformats.org/officeDocument/2006/relationships/settings" Target="settings.xml" Id="rId4" /><Relationship Type="http://schemas.openxmlformats.org/officeDocument/2006/relationships/hyperlink" Target="https://www.trimbos.nl/aanbod/webwinkel/monitor-drugsincidenten-2022/" TargetMode="External" Id="rId9" /><Relationship Type="http://schemas.openxmlformats.org/officeDocument/2006/relationships/hyperlink" Target="https://www.trimbos.nl/aanbod/webwinkel/inf145-tips-voor-gemeenten-preventie-en-handhaving-van-lachgas/" TargetMode="External" Id="rId14" /><Relationship Type="http://schemas.openxmlformats.org/officeDocument/2006/relationships/hyperlink" Target="https://www.trimbos.nl/aanbod/webwinkel/monitor-drugsincidenten-2022/" TargetMode="External" Id="rId22" /><Relationship Type="http://schemas.openxmlformats.org/officeDocument/2006/relationships/footer" Target="footer2.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Ti-SjablonenW7\Sjabloon%20voor%20PDF%20(zonder%20versiebeheer)nieuw.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0c787e-4fb6-4a2b-9563-777b5461517a}" enabled="0" method="" siteId="{910c787e-4fb6-4a2b-9563-777b5461517a}" removed="1"/>
</clbl:labelList>
</file>

<file path=docProps/app.xml><?xml version="1.0" encoding="utf-8"?>
<ap:Properties xmlns:vt="http://schemas.openxmlformats.org/officeDocument/2006/docPropsVTypes" xmlns:ap="http://schemas.openxmlformats.org/officeDocument/2006/extended-properties">
  <ap:Pages>2</ap:Pages>
  <ap:Words>1230</ap:Words>
  <ap:Characters>6767</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2024-06-13T11:43:00.0000000Z</dcterms:created>
  <dcterms:modified xsi:type="dcterms:W3CDTF">2024-06-13T11:43:00.0000000Z</dcterms:modified>
  <version/>
  <category/>
</coreProperties>
</file>