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4573" w:rsidR="00AF5BAF" w:rsidP="009869A0" w:rsidRDefault="00AF5BAF" w14:paraId="03B07B17" w14:textId="3FDDE853">
      <w:pPr>
        <w:pStyle w:val="Titel"/>
        <w:jc w:val="both"/>
        <w:rPr>
          <w:sz w:val="36"/>
          <w:szCs w:val="36"/>
        </w:rPr>
      </w:pPr>
      <w:proofErr w:type="spellStart"/>
      <w:r w:rsidRPr="00CF4573">
        <w:rPr>
          <w:sz w:val="36"/>
          <w:szCs w:val="36"/>
        </w:rPr>
        <w:t>Position</w:t>
      </w:r>
      <w:proofErr w:type="spellEnd"/>
      <w:r w:rsidRPr="00CF4573">
        <w:rPr>
          <w:sz w:val="36"/>
          <w:szCs w:val="36"/>
        </w:rPr>
        <w:t xml:space="preserve"> Paper: Wetsvoorstel Internationalisering in Balans</w:t>
      </w:r>
    </w:p>
    <w:p w:rsidRPr="00CF4573" w:rsidR="00AF5BAF" w:rsidP="009869A0" w:rsidRDefault="00AF5BAF" w14:paraId="4FD69D69" w14:textId="1AAB4A01">
      <w:pPr>
        <w:pStyle w:val="Ondertitel"/>
        <w:rPr>
          <w:sz w:val="22"/>
          <w:szCs w:val="22"/>
        </w:rPr>
      </w:pPr>
      <w:r w:rsidRPr="00CF4573">
        <w:rPr>
          <w:sz w:val="22"/>
          <w:szCs w:val="22"/>
        </w:rPr>
        <w:t>Standpunt van Brainport Development over de regio Brainport Eindhoven</w:t>
      </w:r>
      <w:r w:rsidR="009869A0">
        <w:rPr>
          <w:sz w:val="22"/>
          <w:szCs w:val="22"/>
        </w:rPr>
        <w:br/>
      </w:r>
      <w:r w:rsidRPr="00CF4573">
        <w:rPr>
          <w:sz w:val="22"/>
          <w:szCs w:val="22"/>
        </w:rPr>
        <w:t xml:space="preserve">  </w:t>
      </w:r>
    </w:p>
    <w:p w:rsidRPr="009869A0" w:rsidR="00CF4573" w:rsidP="009869A0" w:rsidRDefault="00CF4573" w14:paraId="5E08C806" w14:textId="07FD216B">
      <w:pPr>
        <w:pStyle w:val="Kop2"/>
        <w:jc w:val="both"/>
        <w:rPr>
          <w:sz w:val="24"/>
          <w:szCs w:val="24"/>
        </w:rPr>
      </w:pPr>
      <w:r w:rsidRPr="009869A0">
        <w:rPr>
          <w:sz w:val="24"/>
          <w:szCs w:val="24"/>
        </w:rPr>
        <w:t>Context Brainport Eindhoven</w:t>
      </w:r>
    </w:p>
    <w:p w:rsidRPr="009869A0" w:rsidR="00D4162E" w:rsidP="009869A0" w:rsidRDefault="00D4162E" w14:paraId="3031192C" w14:textId="4DA8C134">
      <w:pPr>
        <w:jc w:val="both"/>
        <w:rPr>
          <w:sz w:val="20"/>
          <w:szCs w:val="20"/>
        </w:rPr>
      </w:pPr>
      <w:r w:rsidRPr="009869A0">
        <w:rPr>
          <w:sz w:val="20"/>
          <w:szCs w:val="20"/>
        </w:rPr>
        <w:t>De grote transities op het gebied van bijvoorbeeld energie en digitalisering zijn maatgevend voor onze toekomst. Wie zorgt voor eigen sterke posities in deze mondiale transities, is bovendien deel van de geopolitieke machtsbalans in de wereld. Anderen zijn dan net zo afhankelijk van ons als wij van hen.</w:t>
      </w:r>
    </w:p>
    <w:p w:rsidRPr="009869A0" w:rsidR="00D4162E" w:rsidP="009869A0" w:rsidRDefault="00D4162E" w14:paraId="669F66FA" w14:textId="33935CC0">
      <w:pPr>
        <w:jc w:val="both"/>
        <w:rPr>
          <w:sz w:val="20"/>
          <w:szCs w:val="20"/>
        </w:rPr>
      </w:pPr>
      <w:r w:rsidRPr="009869A0">
        <w:rPr>
          <w:sz w:val="20"/>
          <w:szCs w:val="20"/>
        </w:rPr>
        <w:t>Nederland en Brainport in het bijzonder zijn sterk in de technologieën en bedrijven die deze transities mogelijk maken. We hebben topposities in patenten en de export van hightech machines. Onze kennisintensieve maakindustrie creëert zo waarde voor heel Nederland.</w:t>
      </w:r>
      <w:r w:rsidRPr="009869A0" w:rsidR="00633F59">
        <w:rPr>
          <w:sz w:val="20"/>
          <w:szCs w:val="20"/>
        </w:rPr>
        <w:t xml:space="preserve"> Als kenniseconomie ervaren we dagelijks dat kennis geen grenzen kent, dat de vraagstukken én oplossingen internationaal zijn. Maar</w:t>
      </w:r>
      <w:r w:rsidRPr="009869A0">
        <w:rPr>
          <w:sz w:val="20"/>
          <w:szCs w:val="20"/>
        </w:rPr>
        <w:t xml:space="preserve"> onze kennis en ons vakmanschap staan onder druk door onder andere het aanhoudend tekort aan technisch talent. </w:t>
      </w:r>
    </w:p>
    <w:p w:rsidRPr="009869A0" w:rsidR="00D4162E" w:rsidP="009869A0" w:rsidRDefault="00D4162E" w14:paraId="0C3E754B" w14:textId="0859A35B">
      <w:pPr>
        <w:jc w:val="both"/>
        <w:rPr>
          <w:sz w:val="20"/>
          <w:szCs w:val="20"/>
        </w:rPr>
      </w:pPr>
      <w:r w:rsidRPr="009869A0">
        <w:rPr>
          <w:sz w:val="20"/>
          <w:szCs w:val="20"/>
        </w:rPr>
        <w:t>De partners in de Brainportsamenwerking pleiten ervoor heel gericht te kiezen voor technologieën die ons langjarig positioneren in het hart van de Europese strategie om te werken aan strategische autonomie, en eigen keuzen op het gebied van energie en economische veiligheid. We verzekeren ons zo van toekomstig verdienvermogen om de welverdiende brede welvaart voor alle inwoners van Nederland betaalbaar te houden.</w:t>
      </w:r>
      <w:r w:rsidR="009869A0">
        <w:rPr>
          <w:sz w:val="20"/>
          <w:szCs w:val="20"/>
        </w:rPr>
        <w:br/>
      </w:r>
    </w:p>
    <w:p w:rsidRPr="009869A0" w:rsidR="00CF4573" w:rsidP="009869A0" w:rsidRDefault="00CF4573" w14:paraId="7D01AED9" w14:textId="6B9A1366">
      <w:pPr>
        <w:pStyle w:val="Kop2"/>
        <w:jc w:val="both"/>
        <w:rPr>
          <w:sz w:val="24"/>
          <w:szCs w:val="24"/>
        </w:rPr>
      </w:pPr>
      <w:r w:rsidRPr="009869A0">
        <w:rPr>
          <w:sz w:val="24"/>
          <w:szCs w:val="24"/>
        </w:rPr>
        <w:t xml:space="preserve">Internationalisering </w:t>
      </w:r>
      <w:r w:rsidRPr="009869A0" w:rsidR="009A61AF">
        <w:rPr>
          <w:sz w:val="24"/>
          <w:szCs w:val="24"/>
        </w:rPr>
        <w:t>h</w:t>
      </w:r>
      <w:r w:rsidRPr="009869A0">
        <w:rPr>
          <w:sz w:val="24"/>
          <w:szCs w:val="24"/>
        </w:rPr>
        <w:t>oger</w:t>
      </w:r>
      <w:r w:rsidRPr="009869A0" w:rsidR="009A61AF">
        <w:rPr>
          <w:sz w:val="24"/>
          <w:szCs w:val="24"/>
        </w:rPr>
        <w:t xml:space="preserve"> o</w:t>
      </w:r>
      <w:r w:rsidRPr="009869A0">
        <w:rPr>
          <w:sz w:val="24"/>
          <w:szCs w:val="24"/>
        </w:rPr>
        <w:t>nderwijs</w:t>
      </w:r>
    </w:p>
    <w:p w:rsidRPr="009869A0" w:rsidR="00AB04ED" w:rsidP="009869A0" w:rsidRDefault="00AB04ED" w14:paraId="52ABF715" w14:textId="068428CC">
      <w:pPr>
        <w:jc w:val="both"/>
        <w:rPr>
          <w:sz w:val="20"/>
          <w:szCs w:val="20"/>
        </w:rPr>
      </w:pPr>
      <w:r w:rsidRPr="009869A0">
        <w:rPr>
          <w:sz w:val="20"/>
          <w:szCs w:val="20"/>
        </w:rPr>
        <w:t>Internationalisering van het onderwijs bestaat niet in een vacuüm. Er moet aan de ene kant recht worden gedaan aan de houdbaarheid en duurzaamheid van het hoger onderwijsstelsel, maar aan de andere kant is er ook het belang van internationalisering voor de arbeidsmarkt, de kenniseconomie en het onderwijs.</w:t>
      </w:r>
      <w:r w:rsidRPr="009869A0" w:rsidR="008F1290">
        <w:rPr>
          <w:sz w:val="20"/>
          <w:szCs w:val="20"/>
        </w:rPr>
        <w:t xml:space="preserve"> </w:t>
      </w:r>
      <w:r w:rsidRPr="009869A0">
        <w:rPr>
          <w:sz w:val="20"/>
          <w:szCs w:val="20"/>
        </w:rPr>
        <w:t>Bij de uitwerking en uitvoering van dit wetsvoorstel moet rekening gehouden worden met de toekomstige behoeften van maatschappij en arbeidsmarkt</w:t>
      </w:r>
      <w:r w:rsidRPr="009869A0" w:rsidR="00AF5BAF">
        <w:rPr>
          <w:sz w:val="20"/>
          <w:szCs w:val="20"/>
        </w:rPr>
        <w:t>, met de kennis dat de vraag naar arbeid niet lineair is en er voegtijdig moet worden kunnen ingespeeld op de snel veranderende vraag van de arbeidsmarkt</w:t>
      </w:r>
      <w:r w:rsidRPr="009869A0" w:rsidR="00AC73FE">
        <w:rPr>
          <w:sz w:val="20"/>
          <w:szCs w:val="20"/>
        </w:rPr>
        <w:t>.</w:t>
      </w:r>
    </w:p>
    <w:p w:rsidRPr="009869A0" w:rsidR="00D4162E" w:rsidP="009869A0" w:rsidRDefault="005F6DEC" w14:paraId="128EFB07" w14:textId="66B5D20D">
      <w:pPr>
        <w:jc w:val="both"/>
        <w:rPr>
          <w:sz w:val="20"/>
          <w:szCs w:val="20"/>
        </w:rPr>
      </w:pPr>
      <w:r>
        <w:rPr>
          <w:sz w:val="20"/>
          <w:szCs w:val="20"/>
        </w:rPr>
        <w:t>Het</w:t>
      </w:r>
      <w:r w:rsidRPr="009869A0" w:rsidR="00D4162E">
        <w:rPr>
          <w:sz w:val="20"/>
          <w:szCs w:val="20"/>
        </w:rPr>
        <w:t xml:space="preserve"> </w:t>
      </w:r>
      <w:r w:rsidRPr="009869A0" w:rsidR="00AB04ED">
        <w:rPr>
          <w:sz w:val="20"/>
          <w:szCs w:val="20"/>
        </w:rPr>
        <w:t>talent</w:t>
      </w:r>
      <w:r>
        <w:rPr>
          <w:sz w:val="20"/>
          <w:szCs w:val="20"/>
        </w:rPr>
        <w:t>vraagstuk</w:t>
      </w:r>
      <w:r w:rsidR="00C418A2">
        <w:rPr>
          <w:rStyle w:val="Voetnootmarkering"/>
          <w:sz w:val="20"/>
          <w:szCs w:val="20"/>
        </w:rPr>
        <w:footnoteReference w:id="1"/>
      </w:r>
      <w:r w:rsidRPr="009869A0" w:rsidR="00AB04ED">
        <w:rPr>
          <w:sz w:val="20"/>
          <w:szCs w:val="20"/>
        </w:rPr>
        <w:t xml:space="preserve"> in de Brainportregio</w:t>
      </w:r>
      <w:r>
        <w:rPr>
          <w:sz w:val="20"/>
          <w:szCs w:val="20"/>
        </w:rPr>
        <w:t xml:space="preserve"> is groot</w:t>
      </w:r>
      <w:r w:rsidRPr="009869A0" w:rsidR="00D4162E">
        <w:rPr>
          <w:sz w:val="20"/>
          <w:szCs w:val="20"/>
        </w:rPr>
        <w:t xml:space="preserve">, met </w:t>
      </w:r>
      <w:r w:rsidRPr="009869A0" w:rsidR="00AB04ED">
        <w:rPr>
          <w:sz w:val="20"/>
          <w:szCs w:val="20"/>
        </w:rPr>
        <w:t xml:space="preserve">tot 2032 ruim </w:t>
      </w:r>
      <w:r w:rsidRPr="009869A0" w:rsidR="00D4162E">
        <w:rPr>
          <w:sz w:val="20"/>
          <w:szCs w:val="20"/>
        </w:rPr>
        <w:t xml:space="preserve">70.000 extra in te vullen arbeidsplaatsen in de </w:t>
      </w:r>
      <w:r w:rsidR="00B92906">
        <w:rPr>
          <w:sz w:val="20"/>
          <w:szCs w:val="20"/>
        </w:rPr>
        <w:t>t</w:t>
      </w:r>
      <w:r w:rsidRPr="009869A0" w:rsidR="00D4162E">
        <w:rPr>
          <w:sz w:val="20"/>
          <w:szCs w:val="20"/>
        </w:rPr>
        <w:t xml:space="preserve">echniek en ICT, zullen we aan alle knoppen tegelijkertijd moeten draaien. Internationale studenten zijn hier </w:t>
      </w:r>
      <w:r>
        <w:rPr>
          <w:sz w:val="20"/>
          <w:szCs w:val="20"/>
        </w:rPr>
        <w:t xml:space="preserve">een cruciaal </w:t>
      </w:r>
      <w:r w:rsidRPr="009869A0" w:rsidR="00D4162E">
        <w:rPr>
          <w:sz w:val="20"/>
          <w:szCs w:val="20"/>
        </w:rPr>
        <w:t>onderdeel van</w:t>
      </w:r>
      <w:r w:rsidRPr="009869A0" w:rsidR="00AF5BAF">
        <w:rPr>
          <w:sz w:val="20"/>
          <w:szCs w:val="20"/>
        </w:rPr>
        <w:t xml:space="preserve">, en </w:t>
      </w:r>
      <w:r w:rsidRPr="009869A0" w:rsidR="0065279E">
        <w:rPr>
          <w:sz w:val="20"/>
          <w:szCs w:val="20"/>
        </w:rPr>
        <w:t>zijn</w:t>
      </w:r>
      <w:r w:rsidRPr="009869A0" w:rsidR="00D4162E">
        <w:rPr>
          <w:sz w:val="20"/>
          <w:szCs w:val="20"/>
        </w:rPr>
        <w:t xml:space="preserve"> </w:t>
      </w:r>
      <w:r w:rsidRPr="009869A0" w:rsidR="0065279E">
        <w:rPr>
          <w:sz w:val="20"/>
          <w:szCs w:val="20"/>
        </w:rPr>
        <w:t xml:space="preserve">onmisbaar om </w:t>
      </w:r>
      <w:r w:rsidRPr="009869A0" w:rsidR="00D4162E">
        <w:rPr>
          <w:sz w:val="20"/>
          <w:szCs w:val="20"/>
        </w:rPr>
        <w:t xml:space="preserve">de instroom van </w:t>
      </w:r>
      <w:r w:rsidRPr="009869A0" w:rsidR="0065279E">
        <w:rPr>
          <w:sz w:val="20"/>
          <w:szCs w:val="20"/>
        </w:rPr>
        <w:t>de kennisinstellingen</w:t>
      </w:r>
      <w:r w:rsidRPr="009869A0" w:rsidR="00D4162E">
        <w:rPr>
          <w:sz w:val="20"/>
          <w:szCs w:val="20"/>
        </w:rPr>
        <w:t xml:space="preserve"> stabiel te houden </w:t>
      </w:r>
      <w:proofErr w:type="spellStart"/>
      <w:r w:rsidRPr="009869A0" w:rsidR="00D4162E">
        <w:rPr>
          <w:sz w:val="20"/>
          <w:szCs w:val="20"/>
        </w:rPr>
        <w:t>cq.</w:t>
      </w:r>
      <w:proofErr w:type="spellEnd"/>
      <w:r w:rsidRPr="009869A0" w:rsidR="00D4162E">
        <w:rPr>
          <w:sz w:val="20"/>
          <w:szCs w:val="20"/>
        </w:rPr>
        <w:t xml:space="preserve"> </w:t>
      </w:r>
      <w:r w:rsidRPr="009869A0" w:rsidR="0065279E">
        <w:rPr>
          <w:sz w:val="20"/>
          <w:szCs w:val="20"/>
        </w:rPr>
        <w:t>te kunnen laten groeien.</w:t>
      </w:r>
      <w:r w:rsidRPr="009869A0" w:rsidR="00D4162E">
        <w:rPr>
          <w:sz w:val="20"/>
          <w:szCs w:val="20"/>
        </w:rPr>
        <w:t xml:space="preserve"> </w:t>
      </w:r>
      <w:r w:rsidRPr="009869A0" w:rsidR="00AF5BAF">
        <w:rPr>
          <w:sz w:val="20"/>
          <w:szCs w:val="20"/>
        </w:rPr>
        <w:t xml:space="preserve">Naast de beoogde vraag in de technische en ICT sector, zal </w:t>
      </w:r>
      <w:r w:rsidR="00B92906">
        <w:rPr>
          <w:sz w:val="20"/>
          <w:szCs w:val="20"/>
        </w:rPr>
        <w:t xml:space="preserve">er </w:t>
      </w:r>
      <w:r w:rsidRPr="009869A0" w:rsidR="00AF5BAF">
        <w:rPr>
          <w:sz w:val="20"/>
          <w:szCs w:val="20"/>
        </w:rPr>
        <w:t xml:space="preserve">door de groei van de regio ook een toenemende vraag zijn naar personeel in andere </w:t>
      </w:r>
      <w:r w:rsidRPr="009869A0" w:rsidR="00CF4573">
        <w:rPr>
          <w:sz w:val="20"/>
          <w:szCs w:val="20"/>
        </w:rPr>
        <w:t>tekortsectoren</w:t>
      </w:r>
      <w:r w:rsidRPr="009869A0" w:rsidR="00AF5BAF">
        <w:rPr>
          <w:sz w:val="20"/>
          <w:szCs w:val="20"/>
        </w:rPr>
        <w:t>, zoals zorg, kinderopvang en onderwijs.</w:t>
      </w:r>
      <w:r w:rsidRPr="009869A0" w:rsidR="00AC73FE">
        <w:rPr>
          <w:sz w:val="20"/>
          <w:szCs w:val="20"/>
        </w:rPr>
        <w:t xml:space="preserve"> De groei van de regio, met onder meer de uitbreiding van ASML, kan niet gemaakt worden als de randvoorwaarden en voorzieningen (van onderwijs tot zorg) niet op orde zijn. Omdat de (regionale) situatie in deze </w:t>
      </w:r>
      <w:r w:rsidR="00C54187">
        <w:rPr>
          <w:sz w:val="20"/>
          <w:szCs w:val="20"/>
        </w:rPr>
        <w:t xml:space="preserve">krapte </w:t>
      </w:r>
      <w:r w:rsidRPr="009869A0" w:rsidR="00AC73FE">
        <w:rPr>
          <w:sz w:val="20"/>
          <w:szCs w:val="20"/>
        </w:rPr>
        <w:t xml:space="preserve">sectoren al verontrustend </w:t>
      </w:r>
      <w:r w:rsidR="00516458">
        <w:rPr>
          <w:sz w:val="20"/>
          <w:szCs w:val="20"/>
        </w:rPr>
        <w:t>is</w:t>
      </w:r>
      <w:r w:rsidRPr="009869A0" w:rsidR="00AC73FE">
        <w:rPr>
          <w:sz w:val="20"/>
          <w:szCs w:val="20"/>
        </w:rPr>
        <w:t xml:space="preserve">, en met zicht op de </w:t>
      </w:r>
      <w:r w:rsidRPr="009869A0" w:rsidR="00AF5BAF">
        <w:rPr>
          <w:sz w:val="20"/>
          <w:szCs w:val="20"/>
        </w:rPr>
        <w:t xml:space="preserve">ontgroening </w:t>
      </w:r>
      <w:r w:rsidR="00516458">
        <w:rPr>
          <w:sz w:val="20"/>
          <w:szCs w:val="20"/>
        </w:rPr>
        <w:t xml:space="preserve">en vergrijzing </w:t>
      </w:r>
      <w:r w:rsidRPr="009869A0" w:rsidR="00AF5BAF">
        <w:rPr>
          <w:sz w:val="20"/>
          <w:szCs w:val="20"/>
        </w:rPr>
        <w:t>van de Nederlandse bevolking</w:t>
      </w:r>
      <w:r w:rsidR="00C54187">
        <w:rPr>
          <w:sz w:val="20"/>
          <w:szCs w:val="20"/>
        </w:rPr>
        <w:t xml:space="preserve"> alleen maar verder toeneemt</w:t>
      </w:r>
      <w:r w:rsidRPr="009869A0" w:rsidR="00AF5BAF">
        <w:rPr>
          <w:sz w:val="20"/>
          <w:szCs w:val="20"/>
        </w:rPr>
        <w:t xml:space="preserve">, </w:t>
      </w:r>
      <w:r w:rsidRPr="009869A0" w:rsidR="00AC73FE">
        <w:rPr>
          <w:sz w:val="20"/>
          <w:szCs w:val="20"/>
        </w:rPr>
        <w:t>vragen wij hier met klem  a</w:t>
      </w:r>
      <w:r w:rsidRPr="009869A0" w:rsidR="00AF5BAF">
        <w:rPr>
          <w:sz w:val="20"/>
          <w:szCs w:val="20"/>
        </w:rPr>
        <w:t>andacht</w:t>
      </w:r>
      <w:r w:rsidRPr="009869A0" w:rsidR="00AC73FE">
        <w:rPr>
          <w:sz w:val="20"/>
          <w:szCs w:val="20"/>
        </w:rPr>
        <w:t xml:space="preserve"> voor</w:t>
      </w:r>
      <w:r w:rsidRPr="009869A0" w:rsidR="00AF5BAF">
        <w:rPr>
          <w:sz w:val="20"/>
          <w:szCs w:val="20"/>
        </w:rPr>
        <w:t xml:space="preserve"> </w:t>
      </w:r>
      <w:r w:rsidR="00C54187">
        <w:rPr>
          <w:sz w:val="20"/>
          <w:szCs w:val="20"/>
        </w:rPr>
        <w:t xml:space="preserve">bij </w:t>
      </w:r>
      <w:r w:rsidRPr="009869A0" w:rsidR="00AF5BAF">
        <w:rPr>
          <w:sz w:val="20"/>
          <w:szCs w:val="20"/>
        </w:rPr>
        <w:t xml:space="preserve"> de implementatie van het wetsvoorstel</w:t>
      </w:r>
      <w:r w:rsidR="00C54187">
        <w:rPr>
          <w:sz w:val="20"/>
          <w:szCs w:val="20"/>
        </w:rPr>
        <w:t xml:space="preserve">. </w:t>
      </w:r>
      <w:r w:rsidRPr="009869A0" w:rsidR="009869A0">
        <w:rPr>
          <w:sz w:val="20"/>
          <w:szCs w:val="20"/>
        </w:rPr>
        <w:t xml:space="preserve"> </w:t>
      </w:r>
      <w:r w:rsidRPr="005F6DEC">
        <w:rPr>
          <w:sz w:val="20"/>
          <w:szCs w:val="20"/>
        </w:rPr>
        <w:t>Uitzonderingen voor opleidingen t</w:t>
      </w:r>
      <w:r>
        <w:rPr>
          <w:sz w:val="20"/>
          <w:szCs w:val="20"/>
        </w:rPr>
        <w:t xml:space="preserve">en </w:t>
      </w:r>
      <w:r w:rsidRPr="005F6DEC">
        <w:rPr>
          <w:sz w:val="20"/>
          <w:szCs w:val="20"/>
        </w:rPr>
        <w:t>b</w:t>
      </w:r>
      <w:r>
        <w:rPr>
          <w:sz w:val="20"/>
          <w:szCs w:val="20"/>
        </w:rPr>
        <w:t xml:space="preserve">ehoeve </w:t>
      </w:r>
      <w:r w:rsidRPr="005F6DEC">
        <w:rPr>
          <w:sz w:val="20"/>
          <w:szCs w:val="20"/>
        </w:rPr>
        <w:t>v</w:t>
      </w:r>
      <w:r>
        <w:rPr>
          <w:sz w:val="20"/>
          <w:szCs w:val="20"/>
        </w:rPr>
        <w:t>an</w:t>
      </w:r>
      <w:r w:rsidRPr="005F6DEC">
        <w:rPr>
          <w:sz w:val="20"/>
          <w:szCs w:val="20"/>
        </w:rPr>
        <w:t xml:space="preserve"> krapte sectoren zijn noodzakelijk om de bijdrage van de Brainportregio aan het BBP en de internationale concurrentiepositie te behouden.</w:t>
      </w:r>
    </w:p>
    <w:p w:rsidR="009869A0" w:rsidP="009869A0" w:rsidRDefault="00AF5BAF" w14:paraId="367643B3" w14:textId="258B3728">
      <w:pPr>
        <w:jc w:val="both"/>
        <w:rPr>
          <w:sz w:val="20"/>
          <w:szCs w:val="20"/>
        </w:rPr>
      </w:pPr>
      <w:r w:rsidRPr="009869A0">
        <w:rPr>
          <w:sz w:val="20"/>
          <w:szCs w:val="20"/>
        </w:rPr>
        <w:t>Wij pleiten voor differentiatieruimte in het onderwijsstelsel om regionaal en sectoraal af te wijken en te kunnen groeien, krimpen en experimenteren. In ieder geval zal er voor de technische opleidingen voldoende ruimte moeten blijven om internationaal talent aan te trekken en op te leiden. In de regionale visie op internationaal talent van de Brainportregio (2024) is vastgesteld dat diversiteit van groot belang is voor de regionale en nationale innovatiekracht en daarmee het verdienvermogen</w:t>
      </w:r>
      <w:r w:rsidR="00640AE8">
        <w:rPr>
          <w:sz w:val="20"/>
          <w:szCs w:val="20"/>
        </w:rPr>
        <w:t xml:space="preserve"> van Nederland</w:t>
      </w:r>
      <w:r w:rsidRPr="009869A0">
        <w:rPr>
          <w:sz w:val="20"/>
          <w:szCs w:val="20"/>
        </w:rPr>
        <w:t xml:space="preserve">. Wij pleiten dan </w:t>
      </w:r>
      <w:r w:rsidRPr="009869A0">
        <w:rPr>
          <w:sz w:val="20"/>
          <w:szCs w:val="20"/>
        </w:rPr>
        <w:lastRenderedPageBreak/>
        <w:t>ook voor een beleid dat rekening houdt met de diversiteit van het Nederlandse hoger-onderwijslandschap</w:t>
      </w:r>
      <w:r w:rsidR="00640AE8">
        <w:rPr>
          <w:sz w:val="20"/>
          <w:szCs w:val="20"/>
        </w:rPr>
        <w:t xml:space="preserve"> en interculturele competenties van de beroepsbevolking</w:t>
      </w:r>
      <w:r w:rsidRPr="009869A0">
        <w:rPr>
          <w:sz w:val="20"/>
          <w:szCs w:val="20"/>
        </w:rPr>
        <w:t>.</w:t>
      </w:r>
    </w:p>
    <w:p w:rsidRPr="009869A0" w:rsidR="00C418A2" w:rsidP="00C418A2" w:rsidRDefault="00C418A2" w14:paraId="7F661198" w14:textId="5FD8B9FB">
      <w:pPr>
        <w:jc w:val="both"/>
        <w:rPr>
          <w:sz w:val="20"/>
          <w:szCs w:val="20"/>
        </w:rPr>
      </w:pPr>
      <w:r w:rsidRPr="009869A0">
        <w:rPr>
          <w:sz w:val="20"/>
          <w:szCs w:val="20"/>
          <w:u w:val="single"/>
        </w:rPr>
        <w:t>Stayrate</w:t>
      </w:r>
      <w:r w:rsidRPr="009869A0">
        <w:rPr>
          <w:sz w:val="20"/>
          <w:szCs w:val="20"/>
          <w:u w:val="single"/>
        </w:rPr>
        <w:br/>
      </w:r>
      <w:r w:rsidRPr="009869A0">
        <w:rPr>
          <w:sz w:val="20"/>
          <w:szCs w:val="20"/>
        </w:rPr>
        <w:t>In de regionale visie op internationaal talent van Brainport Eindhoven</w:t>
      </w:r>
      <w:r w:rsidR="005F6DEC">
        <w:rPr>
          <w:rStyle w:val="Voetnootmarkering"/>
          <w:sz w:val="20"/>
          <w:szCs w:val="20"/>
        </w:rPr>
        <w:footnoteReference w:id="2"/>
      </w:r>
      <w:r w:rsidRPr="009869A0">
        <w:rPr>
          <w:sz w:val="20"/>
          <w:szCs w:val="20"/>
        </w:rPr>
        <w:t xml:space="preserve">, zetten we samen met de onderwijsinstellingen en werkgevers in op het verhogen van de </w:t>
      </w:r>
      <w:r w:rsidR="00533CD1">
        <w:rPr>
          <w:sz w:val="20"/>
          <w:szCs w:val="20"/>
        </w:rPr>
        <w:t>stayrate</w:t>
      </w:r>
      <w:r w:rsidR="00490786">
        <w:rPr>
          <w:sz w:val="20"/>
          <w:szCs w:val="20"/>
        </w:rPr>
        <w:t xml:space="preserve"> </w:t>
      </w:r>
      <w:r w:rsidRPr="009869A0">
        <w:rPr>
          <w:sz w:val="20"/>
          <w:szCs w:val="20"/>
        </w:rPr>
        <w:t xml:space="preserve"> van (internationale) studenten. Buitenlandse studenten die aan de TU/e afstuderen </w:t>
      </w:r>
      <w:r w:rsidR="00F334AD">
        <w:rPr>
          <w:sz w:val="20"/>
          <w:szCs w:val="20"/>
        </w:rPr>
        <w:t>wonen en werken</w:t>
      </w:r>
      <w:r w:rsidRPr="009869A0">
        <w:rPr>
          <w:sz w:val="20"/>
          <w:szCs w:val="20"/>
        </w:rPr>
        <w:t xml:space="preserve"> in vergelijking met het landelijke gemiddelde nog langer in Nederland (52%). De Fontys ICT opleiding in Eindhoven kent al een stayrate van 75%. Het CPB heeft berekend dat een Europese student de Nederlandse samenleving gemiddeld 17 duizend euro oplevert. Niet-Europese studenten leveren netto zelfs 96 duizend </w:t>
      </w:r>
      <w:r w:rsidRPr="00F4242A">
        <w:rPr>
          <w:sz w:val="20"/>
          <w:szCs w:val="20"/>
        </w:rPr>
        <w:t>euro op.</w:t>
      </w:r>
      <w:r w:rsidRPr="00F4242A" w:rsidR="0029038A">
        <w:rPr>
          <w:rStyle w:val="Voetnootmarkering"/>
          <w:sz w:val="20"/>
          <w:szCs w:val="20"/>
        </w:rPr>
        <w:footnoteReference w:id="3"/>
      </w:r>
      <w:r w:rsidRPr="009869A0">
        <w:rPr>
          <w:sz w:val="20"/>
          <w:szCs w:val="20"/>
        </w:rPr>
        <w:t xml:space="preserve"> Met het verhogen van de stayrate van internationale studenten, zal ook de toegevoegde maatschappelijke waarde van de internationale studenten/alumni voor de Nederlandse samenleving worden vergroot.</w:t>
      </w:r>
      <w:r w:rsidR="00981871">
        <w:rPr>
          <w:sz w:val="20"/>
          <w:szCs w:val="20"/>
        </w:rPr>
        <w:t xml:space="preserve"> </w:t>
      </w:r>
    </w:p>
    <w:p w:rsidRPr="009869A0" w:rsidR="00AA1956" w:rsidP="009869A0" w:rsidRDefault="009A61AF" w14:paraId="4638D120" w14:textId="3C082DA4">
      <w:pPr>
        <w:jc w:val="both"/>
        <w:rPr>
          <w:sz w:val="20"/>
          <w:szCs w:val="20"/>
          <w:u w:val="single"/>
        </w:rPr>
      </w:pPr>
      <w:r w:rsidRPr="009869A0">
        <w:rPr>
          <w:sz w:val="20"/>
          <w:szCs w:val="20"/>
          <w:u w:val="single"/>
        </w:rPr>
        <w:t>Mogelijke gewenste effecten</w:t>
      </w:r>
      <w:r w:rsidR="00CB08AE">
        <w:rPr>
          <w:sz w:val="20"/>
          <w:szCs w:val="20"/>
          <w:u w:val="single"/>
        </w:rPr>
        <w:t xml:space="preserve"> Wet Internationalisering in Balans</w:t>
      </w:r>
      <w:r w:rsidRPr="009869A0">
        <w:rPr>
          <w:sz w:val="20"/>
          <w:szCs w:val="20"/>
          <w:u w:val="single"/>
        </w:rPr>
        <w:t>:</w:t>
      </w:r>
    </w:p>
    <w:p w:rsidRPr="009869A0" w:rsidR="009A61AF" w:rsidP="009869A0" w:rsidRDefault="009A61AF" w14:paraId="5D047D11" w14:textId="606B242B">
      <w:pPr>
        <w:pStyle w:val="Lijstalinea"/>
        <w:numPr>
          <w:ilvl w:val="0"/>
          <w:numId w:val="5"/>
        </w:numPr>
        <w:jc w:val="both"/>
        <w:rPr>
          <w:sz w:val="20"/>
          <w:szCs w:val="20"/>
        </w:rPr>
      </w:pPr>
      <w:r w:rsidRPr="009869A0">
        <w:rPr>
          <w:sz w:val="20"/>
          <w:szCs w:val="20"/>
        </w:rPr>
        <w:t xml:space="preserve">Verbeterde integratie van internationale studenten en betere toeleiding naar de Nederlandse arbeidsmarkt. </w:t>
      </w:r>
    </w:p>
    <w:p w:rsidRPr="009869A0" w:rsidR="009A61AF" w:rsidP="009869A0" w:rsidRDefault="009A61AF" w14:paraId="276096E2" w14:textId="2E924762">
      <w:pPr>
        <w:pStyle w:val="Lijstalinea"/>
        <w:numPr>
          <w:ilvl w:val="0"/>
          <w:numId w:val="5"/>
        </w:numPr>
        <w:jc w:val="both"/>
        <w:rPr>
          <w:sz w:val="20"/>
          <w:szCs w:val="20"/>
        </w:rPr>
      </w:pPr>
      <w:r w:rsidRPr="009869A0">
        <w:rPr>
          <w:sz w:val="20"/>
          <w:szCs w:val="20"/>
        </w:rPr>
        <w:t xml:space="preserve">Versterken van de Nederlandse taalvaardigheid onder (internationale) studenten en onderwijzend en ondersteunend personeel. </w:t>
      </w:r>
    </w:p>
    <w:p w:rsidRPr="009869A0" w:rsidR="009A61AF" w:rsidP="009869A0" w:rsidRDefault="009A61AF" w14:paraId="1223CB73" w14:textId="3FB61442">
      <w:pPr>
        <w:pStyle w:val="Lijstalinea"/>
        <w:numPr>
          <w:ilvl w:val="0"/>
          <w:numId w:val="5"/>
        </w:numPr>
        <w:jc w:val="both"/>
        <w:rPr>
          <w:sz w:val="20"/>
          <w:szCs w:val="20"/>
        </w:rPr>
      </w:pPr>
      <w:r w:rsidRPr="009869A0">
        <w:rPr>
          <w:sz w:val="20"/>
          <w:szCs w:val="20"/>
        </w:rPr>
        <w:t>Evenwichtige instroom van studenten, waardoor de druk op lokale voorzieningen niet verder toeneemt.</w:t>
      </w:r>
    </w:p>
    <w:p w:rsidRPr="009869A0" w:rsidR="00CF4573" w:rsidP="009869A0" w:rsidRDefault="00633F59" w14:paraId="13AFB247" w14:textId="1BD0A006">
      <w:pPr>
        <w:jc w:val="both"/>
        <w:rPr>
          <w:sz w:val="20"/>
          <w:szCs w:val="20"/>
          <w:u w:val="single"/>
        </w:rPr>
      </w:pPr>
      <w:r w:rsidRPr="009869A0">
        <w:rPr>
          <w:sz w:val="20"/>
          <w:szCs w:val="20"/>
          <w:u w:val="single"/>
        </w:rPr>
        <w:t xml:space="preserve">Mogelijke </w:t>
      </w:r>
      <w:r w:rsidRPr="009869A0" w:rsidR="00AA1956">
        <w:rPr>
          <w:sz w:val="20"/>
          <w:szCs w:val="20"/>
          <w:u w:val="single"/>
        </w:rPr>
        <w:t xml:space="preserve">onvoorziene of onbedoelde, </w:t>
      </w:r>
      <w:r w:rsidRPr="009869A0">
        <w:rPr>
          <w:sz w:val="20"/>
          <w:szCs w:val="20"/>
          <w:u w:val="single"/>
        </w:rPr>
        <w:t>ongewenste effecten</w:t>
      </w:r>
      <w:r w:rsidR="00CB08AE">
        <w:rPr>
          <w:sz w:val="20"/>
          <w:szCs w:val="20"/>
          <w:u w:val="single"/>
        </w:rPr>
        <w:t xml:space="preserve"> Wet Internationalisering in Balans</w:t>
      </w:r>
      <w:r w:rsidRPr="009869A0">
        <w:rPr>
          <w:sz w:val="20"/>
          <w:szCs w:val="20"/>
          <w:u w:val="single"/>
        </w:rPr>
        <w:t>:</w:t>
      </w:r>
    </w:p>
    <w:p w:rsidRPr="009869A0" w:rsidR="00633F59" w:rsidP="009869A0" w:rsidRDefault="00633F59" w14:paraId="22A4D44F" w14:textId="2E998DA2">
      <w:pPr>
        <w:pStyle w:val="Lijstalinea"/>
        <w:numPr>
          <w:ilvl w:val="0"/>
          <w:numId w:val="4"/>
        </w:numPr>
        <w:jc w:val="both"/>
        <w:rPr>
          <w:sz w:val="20"/>
          <w:szCs w:val="20"/>
        </w:rPr>
      </w:pPr>
      <w:r w:rsidRPr="009869A0">
        <w:rPr>
          <w:sz w:val="20"/>
          <w:szCs w:val="20"/>
        </w:rPr>
        <w:t>Mogelijk verminderde internationale</w:t>
      </w:r>
      <w:r w:rsidRPr="009869A0" w:rsidR="009869A0">
        <w:rPr>
          <w:sz w:val="20"/>
          <w:szCs w:val="20"/>
        </w:rPr>
        <w:t xml:space="preserve"> positie en</w:t>
      </w:r>
      <w:r w:rsidRPr="009869A0">
        <w:rPr>
          <w:sz w:val="20"/>
          <w:szCs w:val="20"/>
        </w:rPr>
        <w:t xml:space="preserve"> aantrekkingskracht van Nederlandse </w:t>
      </w:r>
      <w:r w:rsidR="001F2DCD">
        <w:rPr>
          <w:sz w:val="20"/>
          <w:szCs w:val="20"/>
        </w:rPr>
        <w:t xml:space="preserve">onderwijs </w:t>
      </w:r>
      <w:r w:rsidRPr="009869A0">
        <w:rPr>
          <w:sz w:val="20"/>
          <w:szCs w:val="20"/>
        </w:rPr>
        <w:t>instellingen</w:t>
      </w:r>
      <w:r w:rsidR="001F2DCD">
        <w:rPr>
          <w:sz w:val="20"/>
          <w:szCs w:val="20"/>
        </w:rPr>
        <w:t xml:space="preserve"> en bedrijven</w:t>
      </w:r>
      <w:r w:rsidRPr="009869A0">
        <w:rPr>
          <w:sz w:val="20"/>
          <w:szCs w:val="20"/>
        </w:rPr>
        <w:t>,</w:t>
      </w:r>
      <w:r w:rsidRPr="009869A0" w:rsidR="009869A0">
        <w:rPr>
          <w:sz w:val="20"/>
          <w:szCs w:val="20"/>
        </w:rPr>
        <w:t xml:space="preserve"> waarmee eveneens de innovatiekracht en beschikbaarheid van talent – en daarmee het verdienvermogen van Nederland – verder onder druk kom</w:t>
      </w:r>
      <w:r w:rsidR="00640AE8">
        <w:rPr>
          <w:sz w:val="20"/>
          <w:szCs w:val="20"/>
        </w:rPr>
        <w:t>en</w:t>
      </w:r>
      <w:r w:rsidRPr="009869A0" w:rsidR="009869A0">
        <w:rPr>
          <w:sz w:val="20"/>
          <w:szCs w:val="20"/>
        </w:rPr>
        <w:t xml:space="preserve"> te staan. </w:t>
      </w:r>
    </w:p>
    <w:p w:rsidRPr="009869A0" w:rsidR="00633F59" w:rsidP="009869A0" w:rsidRDefault="00633F59" w14:paraId="756532F1" w14:textId="60C7FCC3">
      <w:pPr>
        <w:pStyle w:val="Lijstalinea"/>
        <w:numPr>
          <w:ilvl w:val="0"/>
          <w:numId w:val="4"/>
        </w:numPr>
        <w:jc w:val="both"/>
        <w:rPr>
          <w:sz w:val="20"/>
          <w:szCs w:val="20"/>
        </w:rPr>
      </w:pPr>
      <w:r w:rsidRPr="009869A0">
        <w:rPr>
          <w:sz w:val="20"/>
          <w:szCs w:val="20"/>
        </w:rPr>
        <w:t xml:space="preserve">Risico op verminderde diversiteit in het hoger onderwijs en de arbeidsmarkt. </w:t>
      </w:r>
      <w:r w:rsidR="00C83E29">
        <w:rPr>
          <w:sz w:val="20"/>
          <w:szCs w:val="20"/>
        </w:rPr>
        <w:t>Diversiteit zorgt namelijk voor een grotere innovatiekracht.</w:t>
      </w:r>
    </w:p>
    <w:p w:rsidRPr="009869A0" w:rsidR="00633F59" w:rsidP="009869A0" w:rsidRDefault="00633F59" w14:paraId="46604FD8" w14:textId="78171F79">
      <w:pPr>
        <w:pStyle w:val="Lijstalinea"/>
        <w:numPr>
          <w:ilvl w:val="0"/>
          <w:numId w:val="4"/>
        </w:numPr>
        <w:jc w:val="both"/>
        <w:rPr>
          <w:sz w:val="20"/>
          <w:szCs w:val="20"/>
        </w:rPr>
      </w:pPr>
      <w:r w:rsidRPr="009869A0">
        <w:rPr>
          <w:sz w:val="20"/>
          <w:szCs w:val="20"/>
        </w:rPr>
        <w:t xml:space="preserve">Mogelijke belemmeringen voor </w:t>
      </w:r>
      <w:r w:rsidR="00CD1AD3">
        <w:rPr>
          <w:sz w:val="20"/>
          <w:szCs w:val="20"/>
        </w:rPr>
        <w:t xml:space="preserve">internationale </w:t>
      </w:r>
      <w:r w:rsidR="00640AE8">
        <w:rPr>
          <w:sz w:val="20"/>
          <w:szCs w:val="20"/>
        </w:rPr>
        <w:t>onderzoekss</w:t>
      </w:r>
      <w:r w:rsidRPr="009869A0">
        <w:rPr>
          <w:sz w:val="20"/>
          <w:szCs w:val="20"/>
        </w:rPr>
        <w:t>amenwerking en uitwisselingsprogramma’s.</w:t>
      </w:r>
    </w:p>
    <w:p w:rsidR="00633F59" w:rsidP="009869A0" w:rsidRDefault="00633F59" w14:paraId="753B9E31" w14:textId="27FA02E1">
      <w:pPr>
        <w:pStyle w:val="Lijstalinea"/>
        <w:numPr>
          <w:ilvl w:val="0"/>
          <w:numId w:val="4"/>
        </w:numPr>
        <w:jc w:val="both"/>
        <w:rPr>
          <w:sz w:val="20"/>
          <w:szCs w:val="20"/>
        </w:rPr>
      </w:pPr>
      <w:r w:rsidRPr="009869A0">
        <w:rPr>
          <w:sz w:val="20"/>
          <w:szCs w:val="20"/>
        </w:rPr>
        <w:t xml:space="preserve">Door de Nederlandse </w:t>
      </w:r>
      <w:proofErr w:type="spellStart"/>
      <w:r w:rsidRPr="009869A0">
        <w:rPr>
          <w:sz w:val="20"/>
          <w:szCs w:val="20"/>
        </w:rPr>
        <w:t>taaleis</w:t>
      </w:r>
      <w:proofErr w:type="spellEnd"/>
      <w:r w:rsidRPr="009869A0">
        <w:rPr>
          <w:sz w:val="20"/>
          <w:szCs w:val="20"/>
        </w:rPr>
        <w:t xml:space="preserve"> wordt het voor de onderwijsinstellingen, in tijden van krapte, moeilijker om internationale docenten, onderzoekers en wetenschappelijk personeel aan te trekken. Hiermee kan ook de kwaliteit van het onderwijs en onderzoek en de  internationale </w:t>
      </w:r>
      <w:r w:rsidR="00036E01">
        <w:rPr>
          <w:sz w:val="20"/>
          <w:szCs w:val="20"/>
        </w:rPr>
        <w:t xml:space="preserve">positie en </w:t>
      </w:r>
      <w:r w:rsidRPr="009869A0">
        <w:rPr>
          <w:sz w:val="20"/>
          <w:szCs w:val="20"/>
        </w:rPr>
        <w:t>reputatie afnemen.</w:t>
      </w:r>
    </w:p>
    <w:p w:rsidRPr="009869A0" w:rsidR="009869A0" w:rsidP="009869A0" w:rsidRDefault="009869A0" w14:paraId="7EA78052" w14:textId="77777777">
      <w:pPr>
        <w:jc w:val="both"/>
        <w:rPr>
          <w:sz w:val="20"/>
          <w:szCs w:val="20"/>
          <w:u w:val="single"/>
        </w:rPr>
      </w:pPr>
      <w:r w:rsidRPr="009869A0">
        <w:rPr>
          <w:sz w:val="20"/>
          <w:szCs w:val="20"/>
          <w:u w:val="single"/>
        </w:rPr>
        <w:t>Aanbevelingen</w:t>
      </w:r>
    </w:p>
    <w:p w:rsidRPr="009869A0" w:rsidR="009869A0" w:rsidP="009869A0" w:rsidRDefault="009869A0" w14:paraId="611A8CE0" w14:textId="6D755E88">
      <w:pPr>
        <w:pStyle w:val="Lijstalinea"/>
        <w:numPr>
          <w:ilvl w:val="0"/>
          <w:numId w:val="4"/>
        </w:numPr>
        <w:jc w:val="both"/>
        <w:rPr>
          <w:sz w:val="20"/>
          <w:szCs w:val="20"/>
        </w:rPr>
      </w:pPr>
      <w:r w:rsidRPr="009869A0">
        <w:rPr>
          <w:sz w:val="20"/>
          <w:szCs w:val="20"/>
        </w:rPr>
        <w:t>Monitoring en evaluatie: voer regelmatige evaluaties uit om de impact van de maatregelen te beoordelen en bij te sturen waar nodig.</w:t>
      </w:r>
    </w:p>
    <w:p w:rsidR="00AA1956" w:rsidP="009869A0" w:rsidRDefault="009869A0" w14:paraId="6FBCCE13" w14:textId="507566C1">
      <w:pPr>
        <w:pStyle w:val="Lijstalinea"/>
        <w:numPr>
          <w:ilvl w:val="0"/>
          <w:numId w:val="4"/>
        </w:numPr>
        <w:jc w:val="both"/>
        <w:rPr>
          <w:sz w:val="20"/>
          <w:szCs w:val="20"/>
        </w:rPr>
      </w:pPr>
      <w:r w:rsidRPr="009869A0">
        <w:rPr>
          <w:sz w:val="20"/>
          <w:szCs w:val="20"/>
        </w:rPr>
        <w:t xml:space="preserve">Ondersteuning voor </w:t>
      </w:r>
      <w:r w:rsidR="001F2DCD">
        <w:rPr>
          <w:sz w:val="20"/>
          <w:szCs w:val="20"/>
        </w:rPr>
        <w:t>onderwijs</w:t>
      </w:r>
      <w:r w:rsidRPr="009869A0">
        <w:rPr>
          <w:sz w:val="20"/>
          <w:szCs w:val="20"/>
        </w:rPr>
        <w:t>instellingen: bied voldoende middelen en ondersteuning aan onderwijsinstellingen voor de implementatie van taal- en integratieprogramma’s.</w:t>
      </w:r>
    </w:p>
    <w:p w:rsidRPr="009869A0" w:rsidR="00AA1956" w:rsidP="009869A0" w:rsidRDefault="00AA1956" w14:paraId="46C061F1" w14:textId="2F5569F7">
      <w:pPr>
        <w:pStyle w:val="Kop2"/>
        <w:jc w:val="both"/>
        <w:rPr>
          <w:sz w:val="24"/>
          <w:szCs w:val="24"/>
        </w:rPr>
      </w:pPr>
      <w:r w:rsidRPr="009869A0">
        <w:rPr>
          <w:sz w:val="24"/>
          <w:szCs w:val="24"/>
        </w:rPr>
        <w:t>Tot slot</w:t>
      </w:r>
    </w:p>
    <w:p w:rsidRPr="009869A0" w:rsidR="009869A0" w:rsidP="009869A0" w:rsidRDefault="009869A0" w14:paraId="29378D98" w14:textId="1147A078">
      <w:pPr>
        <w:jc w:val="both"/>
        <w:rPr>
          <w:sz w:val="20"/>
          <w:szCs w:val="20"/>
        </w:rPr>
      </w:pPr>
      <w:r w:rsidRPr="009869A0">
        <w:rPr>
          <w:sz w:val="20"/>
          <w:szCs w:val="20"/>
        </w:rPr>
        <w:t>De maatregelen zijn toekomstbestendig als ze flexibel zijn en regelmatig worden geëvalueerd en aangepast. Door proactief in te spelen op veranderingen in de internationale onderwijs- en arbeidsmarktdynamiek, kan de wetgeving de Brainport</w:t>
      </w:r>
      <w:r w:rsidR="001F2DCD">
        <w:rPr>
          <w:sz w:val="20"/>
          <w:szCs w:val="20"/>
        </w:rPr>
        <w:t>regio</w:t>
      </w:r>
      <w:r w:rsidRPr="009869A0">
        <w:rPr>
          <w:sz w:val="20"/>
          <w:szCs w:val="20"/>
        </w:rPr>
        <w:t xml:space="preserve">  blijven ondersteunen in haar groei en innovatie. Hierdoor kunnen we de internationale aantrekkelijkheid van Nederland en Brainport Eindhoven behouden en versterken.</w:t>
      </w:r>
    </w:p>
    <w:p w:rsidRPr="009869A0" w:rsidR="00AA1956" w:rsidP="009869A0" w:rsidRDefault="00AA1956" w14:paraId="480D5CCA" w14:textId="059FE376">
      <w:pPr>
        <w:jc w:val="both"/>
        <w:rPr>
          <w:sz w:val="20"/>
          <w:szCs w:val="20"/>
        </w:rPr>
      </w:pPr>
      <w:r w:rsidRPr="009869A0">
        <w:rPr>
          <w:sz w:val="20"/>
          <w:szCs w:val="20"/>
        </w:rPr>
        <w:t>Het hoger onderwijs en bedrijfsleven vraag</w:t>
      </w:r>
      <w:r w:rsidR="001F2DCD">
        <w:rPr>
          <w:sz w:val="20"/>
          <w:szCs w:val="20"/>
        </w:rPr>
        <w:t>t</w:t>
      </w:r>
      <w:r w:rsidRPr="009869A0">
        <w:rPr>
          <w:sz w:val="20"/>
          <w:szCs w:val="20"/>
        </w:rPr>
        <w:t xml:space="preserve"> om een meerjarige visie van de Nederlandse overheid op internationalisering</w:t>
      </w:r>
      <w:r w:rsidR="00640AE8">
        <w:rPr>
          <w:sz w:val="20"/>
          <w:szCs w:val="20"/>
        </w:rPr>
        <w:t xml:space="preserve"> en </w:t>
      </w:r>
      <w:r w:rsidR="001F2DCD">
        <w:rPr>
          <w:sz w:val="20"/>
          <w:szCs w:val="20"/>
        </w:rPr>
        <w:t xml:space="preserve">de </w:t>
      </w:r>
      <w:r w:rsidR="00640AE8">
        <w:rPr>
          <w:sz w:val="20"/>
          <w:szCs w:val="20"/>
        </w:rPr>
        <w:t>kenniseconomie</w:t>
      </w:r>
      <w:r w:rsidRPr="009869A0">
        <w:rPr>
          <w:sz w:val="20"/>
          <w:szCs w:val="20"/>
        </w:rPr>
        <w:t>, waar</w:t>
      </w:r>
      <w:r w:rsidR="001F2DCD">
        <w:rPr>
          <w:sz w:val="20"/>
          <w:szCs w:val="20"/>
        </w:rPr>
        <w:t>in</w:t>
      </w:r>
      <w:r w:rsidRPr="009869A0">
        <w:rPr>
          <w:sz w:val="20"/>
          <w:szCs w:val="20"/>
        </w:rPr>
        <w:t xml:space="preserve"> Nederland als land en bestemming voor internationale </w:t>
      </w:r>
      <w:r w:rsidRPr="009869A0">
        <w:rPr>
          <w:sz w:val="20"/>
          <w:szCs w:val="20"/>
        </w:rPr>
        <w:lastRenderedPageBreak/>
        <w:t xml:space="preserve">studenten/ talent en internationale kennissamenwerking wordt gepositioneerd. </w:t>
      </w:r>
      <w:r w:rsidR="004C08A9">
        <w:rPr>
          <w:sz w:val="20"/>
          <w:szCs w:val="20"/>
        </w:rPr>
        <w:t xml:space="preserve">Randvoorwaarden bij het aantrekken van internationale studenten spelen hierbij een belangrijke rol, daarom wil de regio ook garanderen </w:t>
      </w:r>
      <w:r w:rsidRPr="00981871" w:rsidR="004C08A9">
        <w:rPr>
          <w:sz w:val="20"/>
          <w:szCs w:val="20"/>
        </w:rPr>
        <w:t xml:space="preserve">dat </w:t>
      </w:r>
      <w:r w:rsidR="004C08A9">
        <w:rPr>
          <w:sz w:val="20"/>
          <w:szCs w:val="20"/>
        </w:rPr>
        <w:t xml:space="preserve">buiten het verhogen van </w:t>
      </w:r>
      <w:r w:rsidRPr="00981871" w:rsidR="004C08A9">
        <w:rPr>
          <w:sz w:val="20"/>
          <w:szCs w:val="20"/>
        </w:rPr>
        <w:t>de ambitie voor de stayrate</w:t>
      </w:r>
      <w:r w:rsidR="004C08A9">
        <w:rPr>
          <w:sz w:val="20"/>
          <w:szCs w:val="20"/>
        </w:rPr>
        <w:t>,</w:t>
      </w:r>
      <w:r w:rsidRPr="00981871" w:rsidR="004C08A9">
        <w:rPr>
          <w:sz w:val="20"/>
          <w:szCs w:val="20"/>
        </w:rPr>
        <w:t xml:space="preserve"> er voldoende studentenhuisvesting is, het onderwijs altijd toegankelijk blijft voor Nederlandse studenten, en de internationale studenten Nederlandse taallessen volgen.</w:t>
      </w:r>
    </w:p>
    <w:p w:rsidRPr="00EE1A99" w:rsidR="00711D82" w:rsidP="00711D82" w:rsidRDefault="00711D82" w14:paraId="073FB1CE" w14:textId="7C26C749">
      <w:pPr>
        <w:jc w:val="both"/>
        <w:rPr>
          <w:sz w:val="20"/>
          <w:szCs w:val="20"/>
        </w:rPr>
      </w:pPr>
      <w:r w:rsidRPr="00711D82">
        <w:rPr>
          <w:sz w:val="20"/>
          <w:szCs w:val="20"/>
        </w:rPr>
        <w:t xml:space="preserve"> Het mbo speelt naast het hoger onderwijs een belangrijke rol in het oplossen van de tekorten op de arbeidsmarkt. In de Brainportregio</w:t>
      </w:r>
      <w:r w:rsidR="009B2F44">
        <w:rPr>
          <w:sz w:val="20"/>
          <w:szCs w:val="20"/>
        </w:rPr>
        <w:t xml:space="preserve"> is</w:t>
      </w:r>
      <w:r w:rsidRPr="00711D82">
        <w:rPr>
          <w:sz w:val="20"/>
          <w:szCs w:val="20"/>
        </w:rPr>
        <w:t xml:space="preserve"> ruim 50% van de banen </w:t>
      </w:r>
      <w:r w:rsidRPr="00711D82" w:rsidR="009B2F44">
        <w:rPr>
          <w:sz w:val="20"/>
          <w:szCs w:val="20"/>
        </w:rPr>
        <w:t xml:space="preserve">in de technische en ICT sector </w:t>
      </w:r>
      <w:r w:rsidRPr="00711D82">
        <w:rPr>
          <w:sz w:val="20"/>
          <w:szCs w:val="20"/>
        </w:rPr>
        <w:t xml:space="preserve">tot en met mbo-niveau. Helaas maakt de omkeerregeling geen onderdeel uit van dit wetsvoorstel. Terwijl deze regeling het mbo in staat stelt om studenten sneller te diplomeren en toe te leiden naar tekortsectoren. Het betreft hier </w:t>
      </w:r>
      <w:r w:rsidR="009B2F44">
        <w:rPr>
          <w:sz w:val="20"/>
          <w:szCs w:val="20"/>
        </w:rPr>
        <w:t xml:space="preserve">internationaal talent  wat </w:t>
      </w:r>
      <w:r w:rsidRPr="00711D82">
        <w:rPr>
          <w:sz w:val="20"/>
          <w:szCs w:val="20"/>
        </w:rPr>
        <w:t>zich reeds in Nederland bevind</w:t>
      </w:r>
      <w:r w:rsidR="009B2F44">
        <w:rPr>
          <w:sz w:val="20"/>
          <w:szCs w:val="20"/>
        </w:rPr>
        <w:t>t</w:t>
      </w:r>
      <w:r w:rsidRPr="00711D82">
        <w:rPr>
          <w:sz w:val="20"/>
          <w:szCs w:val="20"/>
        </w:rPr>
        <w:t xml:space="preserve">. Wij vragen </w:t>
      </w:r>
      <w:r w:rsidR="00CD1AD3">
        <w:rPr>
          <w:sz w:val="20"/>
          <w:szCs w:val="20"/>
        </w:rPr>
        <w:t>daarom</w:t>
      </w:r>
      <w:r w:rsidRPr="00711D82">
        <w:rPr>
          <w:sz w:val="20"/>
          <w:szCs w:val="20"/>
        </w:rPr>
        <w:t xml:space="preserve"> aandacht om het mbo </w:t>
      </w:r>
      <w:r w:rsidR="00CD1AD3">
        <w:rPr>
          <w:sz w:val="20"/>
          <w:szCs w:val="20"/>
        </w:rPr>
        <w:t>hierin een</w:t>
      </w:r>
      <w:r w:rsidRPr="00711D82">
        <w:rPr>
          <w:sz w:val="20"/>
          <w:szCs w:val="20"/>
        </w:rPr>
        <w:t xml:space="preserve"> gelijkwaardige</w:t>
      </w:r>
      <w:r w:rsidR="00CD1AD3">
        <w:rPr>
          <w:sz w:val="20"/>
          <w:szCs w:val="20"/>
        </w:rPr>
        <w:t>re</w:t>
      </w:r>
      <w:r w:rsidRPr="00711D82">
        <w:rPr>
          <w:sz w:val="20"/>
          <w:szCs w:val="20"/>
        </w:rPr>
        <w:t xml:space="preserve"> positie te geven</w:t>
      </w:r>
      <w:r w:rsidR="005F6DEC">
        <w:rPr>
          <w:sz w:val="20"/>
          <w:szCs w:val="20"/>
        </w:rPr>
        <w:t>.</w:t>
      </w:r>
    </w:p>
    <w:sectPr w:rsidRPr="00EE1A99" w:rsidR="00711D82">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3C954" w14:textId="77777777" w:rsidR="00913A98" w:rsidRDefault="00913A98" w:rsidP="009869A0">
      <w:pPr>
        <w:spacing w:after="0" w:line="240" w:lineRule="auto"/>
      </w:pPr>
      <w:r>
        <w:separator/>
      </w:r>
    </w:p>
  </w:endnote>
  <w:endnote w:type="continuationSeparator" w:id="0">
    <w:p w14:paraId="545C0217" w14:textId="77777777" w:rsidR="00913A98" w:rsidRDefault="00913A98" w:rsidP="0098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6D360" w14:textId="77777777" w:rsidR="00913A98" w:rsidRDefault="00913A98" w:rsidP="009869A0">
      <w:pPr>
        <w:spacing w:after="0" w:line="240" w:lineRule="auto"/>
      </w:pPr>
      <w:r>
        <w:separator/>
      </w:r>
    </w:p>
  </w:footnote>
  <w:footnote w:type="continuationSeparator" w:id="0">
    <w:p w14:paraId="7724C079" w14:textId="77777777" w:rsidR="00913A98" w:rsidRDefault="00913A98" w:rsidP="009869A0">
      <w:pPr>
        <w:spacing w:after="0" w:line="240" w:lineRule="auto"/>
      </w:pPr>
      <w:r>
        <w:continuationSeparator/>
      </w:r>
    </w:p>
  </w:footnote>
  <w:footnote w:id="1">
    <w:p w14:paraId="63ADDC2A" w14:textId="37F61E8D" w:rsidR="00C418A2" w:rsidRDefault="00C418A2">
      <w:pPr>
        <w:pStyle w:val="Voetnoottekst"/>
      </w:pPr>
      <w:r>
        <w:rPr>
          <w:rStyle w:val="Voetnootmarkering"/>
        </w:rPr>
        <w:footnoteRef/>
      </w:r>
      <w:r>
        <w:t xml:space="preserve"> </w:t>
      </w:r>
      <w:hyperlink r:id="rId1" w:history="1">
        <w:r w:rsidRPr="005F6DEC">
          <w:rPr>
            <w:rStyle w:val="Hyperlink"/>
          </w:rPr>
          <w:t>Schaalsprong Talent Brainport Eindhoven</w:t>
        </w:r>
      </w:hyperlink>
      <w:r w:rsidR="0029038A">
        <w:t>, Brainport Development, 2023</w:t>
      </w:r>
    </w:p>
  </w:footnote>
  <w:footnote w:id="2">
    <w:p w14:paraId="25C17D2D" w14:textId="2AC550AE" w:rsidR="005F6DEC" w:rsidRDefault="005F6DEC">
      <w:pPr>
        <w:pStyle w:val="Voetnoottekst"/>
      </w:pPr>
      <w:r>
        <w:rPr>
          <w:rStyle w:val="Voetnootmarkering"/>
        </w:rPr>
        <w:footnoteRef/>
      </w:r>
      <w:r>
        <w:t xml:space="preserve"> </w:t>
      </w:r>
      <w:hyperlink r:id="rId2" w:history="1">
        <w:r w:rsidRPr="005F6DEC">
          <w:rPr>
            <w:rStyle w:val="Hyperlink"/>
          </w:rPr>
          <w:t>Regionale visie op internationaal talent,</w:t>
        </w:r>
      </w:hyperlink>
      <w:r>
        <w:t xml:space="preserve"> Brainport Development, 2024</w:t>
      </w:r>
    </w:p>
  </w:footnote>
  <w:footnote w:id="3">
    <w:p w14:paraId="1434BCA9" w14:textId="0DA5C490" w:rsidR="0029038A" w:rsidRDefault="0029038A" w:rsidP="0029038A">
      <w:pPr>
        <w:pStyle w:val="Voetnoottekst"/>
      </w:pPr>
      <w:r>
        <w:rPr>
          <w:rStyle w:val="Voetnootmarkering"/>
        </w:rPr>
        <w:footnoteRef/>
      </w:r>
      <w:r>
        <w:t xml:space="preserve"> </w:t>
      </w:r>
      <w:hyperlink r:id="rId3" w:history="1">
        <w:r w:rsidRPr="005F6DEC">
          <w:rPr>
            <w:rStyle w:val="Hyperlink"/>
          </w:rPr>
          <w:t>De economische effecten van internationalisering in het hoger onderwijs en mbo</w:t>
        </w:r>
      </w:hyperlink>
      <w:r>
        <w:t xml:space="preserve">, CPB, 2019, pagina 36, tabel 5.4 </w:t>
      </w:r>
      <w:hyperlink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AF67" w14:textId="7E657CC3" w:rsidR="009869A0" w:rsidRDefault="009869A0" w:rsidP="009869A0">
    <w:pPr>
      <w:pStyle w:val="Koptekst"/>
      <w:jc w:val="right"/>
    </w:pPr>
    <w:r>
      <w:rPr>
        <w:noProof/>
      </w:rPr>
      <w:drawing>
        <wp:anchor distT="0" distB="0" distL="114300" distR="114300" simplePos="0" relativeHeight="251658240" behindDoc="0" locked="0" layoutInCell="1" allowOverlap="1" wp14:anchorId="16703CE1" wp14:editId="08DC98C9">
          <wp:simplePos x="0" y="0"/>
          <wp:positionH relativeFrom="column">
            <wp:posOffset>5112385</wp:posOffset>
          </wp:positionH>
          <wp:positionV relativeFrom="paragraph">
            <wp:posOffset>0</wp:posOffset>
          </wp:positionV>
          <wp:extent cx="651628" cy="594360"/>
          <wp:effectExtent l="0" t="0" r="0" b="0"/>
          <wp:wrapTopAndBottom/>
          <wp:docPr id="8782992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99272" name="Afbeelding 878299272"/>
                  <pic:cNvPicPr/>
                </pic:nvPicPr>
                <pic:blipFill>
                  <a:blip r:embed="rId1">
                    <a:extLst>
                      <a:ext uri="{28A0092B-C50C-407E-A947-70E740481C1C}">
                        <a14:useLocalDpi xmlns:a14="http://schemas.microsoft.com/office/drawing/2010/main" val="0"/>
                      </a:ext>
                    </a:extLst>
                  </a:blip>
                  <a:stretch>
                    <a:fillRect/>
                  </a:stretch>
                </pic:blipFill>
                <pic:spPr>
                  <a:xfrm>
                    <a:off x="0" y="0"/>
                    <a:ext cx="651628" cy="594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A62BD"/>
    <w:multiLevelType w:val="hybridMultilevel"/>
    <w:tmpl w:val="23827BC8"/>
    <w:lvl w:ilvl="0" w:tplc="4B1A816A">
      <w:numFmt w:val="bullet"/>
      <w:lvlText w:val=""/>
      <w:lvlJc w:val="left"/>
      <w:pPr>
        <w:ind w:left="720" w:hanging="360"/>
      </w:pPr>
      <w:rPr>
        <w:rFonts w:ascii="Symbol" w:eastAsia="Times New Roman"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5F110F"/>
    <w:multiLevelType w:val="hybridMultilevel"/>
    <w:tmpl w:val="0950A362"/>
    <w:lvl w:ilvl="0" w:tplc="47C4A7B2">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DE5A65"/>
    <w:multiLevelType w:val="hybridMultilevel"/>
    <w:tmpl w:val="CBB6A934"/>
    <w:lvl w:ilvl="0" w:tplc="04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21A205B"/>
    <w:multiLevelType w:val="hybridMultilevel"/>
    <w:tmpl w:val="FF027738"/>
    <w:lvl w:ilvl="0" w:tplc="1B504106">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8002415">
    <w:abstractNumId w:val="0"/>
  </w:num>
  <w:num w:numId="2" w16cid:durableId="878274424">
    <w:abstractNumId w:val="0"/>
  </w:num>
  <w:num w:numId="3" w16cid:durableId="603149960">
    <w:abstractNumId w:val="2"/>
  </w:num>
  <w:num w:numId="4" w16cid:durableId="197594182">
    <w:abstractNumId w:val="3"/>
  </w:num>
  <w:num w:numId="5" w16cid:durableId="4556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46"/>
    <w:rsid w:val="00036E01"/>
    <w:rsid w:val="000915CD"/>
    <w:rsid w:val="000D0B9D"/>
    <w:rsid w:val="000D7733"/>
    <w:rsid w:val="001E7B37"/>
    <w:rsid w:val="001F2DCD"/>
    <w:rsid w:val="00207726"/>
    <w:rsid w:val="00254C3D"/>
    <w:rsid w:val="0029038A"/>
    <w:rsid w:val="0029796C"/>
    <w:rsid w:val="003F1EC9"/>
    <w:rsid w:val="00490786"/>
    <w:rsid w:val="004C08A9"/>
    <w:rsid w:val="00516458"/>
    <w:rsid w:val="00533CD1"/>
    <w:rsid w:val="005F6DEC"/>
    <w:rsid w:val="00633F59"/>
    <w:rsid w:val="00640AE8"/>
    <w:rsid w:val="0065279E"/>
    <w:rsid w:val="00684806"/>
    <w:rsid w:val="006C3BC8"/>
    <w:rsid w:val="006E4826"/>
    <w:rsid w:val="00711D82"/>
    <w:rsid w:val="00800941"/>
    <w:rsid w:val="00804546"/>
    <w:rsid w:val="008D67A2"/>
    <w:rsid w:val="008F1290"/>
    <w:rsid w:val="00913A98"/>
    <w:rsid w:val="00981871"/>
    <w:rsid w:val="009869A0"/>
    <w:rsid w:val="009A61AF"/>
    <w:rsid w:val="009B2F44"/>
    <w:rsid w:val="00A75BBA"/>
    <w:rsid w:val="00AA1956"/>
    <w:rsid w:val="00AB04ED"/>
    <w:rsid w:val="00AC73FE"/>
    <w:rsid w:val="00AD3F2F"/>
    <w:rsid w:val="00AF5BAF"/>
    <w:rsid w:val="00B75785"/>
    <w:rsid w:val="00B92906"/>
    <w:rsid w:val="00BB2F0E"/>
    <w:rsid w:val="00C418A2"/>
    <w:rsid w:val="00C466B2"/>
    <w:rsid w:val="00C54187"/>
    <w:rsid w:val="00C83E29"/>
    <w:rsid w:val="00CB08AE"/>
    <w:rsid w:val="00CD1AD3"/>
    <w:rsid w:val="00CF4573"/>
    <w:rsid w:val="00D4162E"/>
    <w:rsid w:val="00DE50D8"/>
    <w:rsid w:val="00E072B5"/>
    <w:rsid w:val="00EE1A99"/>
    <w:rsid w:val="00F2254B"/>
    <w:rsid w:val="00F334AD"/>
    <w:rsid w:val="00F4242A"/>
    <w:rsid w:val="00F90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A20B"/>
  <w15:chartTrackingRefBased/>
  <w15:docId w15:val="{EF69897E-84CC-444D-B3CB-79470007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4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5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5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5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5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5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5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5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5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45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5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5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5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5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5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5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546"/>
    <w:rPr>
      <w:rFonts w:eastAsiaTheme="majorEastAsia" w:cstheme="majorBidi"/>
      <w:color w:val="272727" w:themeColor="text1" w:themeTint="D8"/>
    </w:rPr>
  </w:style>
  <w:style w:type="paragraph" w:styleId="Titel">
    <w:name w:val="Title"/>
    <w:basedOn w:val="Standaard"/>
    <w:next w:val="Standaard"/>
    <w:link w:val="TitelChar"/>
    <w:uiPriority w:val="10"/>
    <w:qFormat/>
    <w:rsid w:val="00804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5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5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5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5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546"/>
    <w:rPr>
      <w:i/>
      <w:iCs/>
      <w:color w:val="404040" w:themeColor="text1" w:themeTint="BF"/>
    </w:rPr>
  </w:style>
  <w:style w:type="paragraph" w:styleId="Lijstalinea">
    <w:name w:val="List Paragraph"/>
    <w:basedOn w:val="Standaard"/>
    <w:uiPriority w:val="34"/>
    <w:qFormat/>
    <w:rsid w:val="00804546"/>
    <w:pPr>
      <w:ind w:left="720"/>
      <w:contextualSpacing/>
    </w:pPr>
  </w:style>
  <w:style w:type="character" w:styleId="Intensievebenadrukking">
    <w:name w:val="Intense Emphasis"/>
    <w:basedOn w:val="Standaardalinea-lettertype"/>
    <w:uiPriority w:val="21"/>
    <w:qFormat/>
    <w:rsid w:val="00804546"/>
    <w:rPr>
      <w:i/>
      <w:iCs/>
      <w:color w:val="0F4761" w:themeColor="accent1" w:themeShade="BF"/>
    </w:rPr>
  </w:style>
  <w:style w:type="paragraph" w:styleId="Duidelijkcitaat">
    <w:name w:val="Intense Quote"/>
    <w:basedOn w:val="Standaard"/>
    <w:next w:val="Standaard"/>
    <w:link w:val="DuidelijkcitaatChar"/>
    <w:uiPriority w:val="30"/>
    <w:qFormat/>
    <w:rsid w:val="00804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546"/>
    <w:rPr>
      <w:i/>
      <w:iCs/>
      <w:color w:val="0F4761" w:themeColor="accent1" w:themeShade="BF"/>
    </w:rPr>
  </w:style>
  <w:style w:type="character" w:styleId="Intensieveverwijzing">
    <w:name w:val="Intense Reference"/>
    <w:basedOn w:val="Standaardalinea-lettertype"/>
    <w:uiPriority w:val="32"/>
    <w:qFormat/>
    <w:rsid w:val="00804546"/>
    <w:rPr>
      <w:b/>
      <w:bCs/>
      <w:smallCaps/>
      <w:color w:val="0F4761" w:themeColor="accent1" w:themeShade="BF"/>
      <w:spacing w:val="5"/>
    </w:rPr>
  </w:style>
  <w:style w:type="character" w:styleId="Hyperlink">
    <w:name w:val="Hyperlink"/>
    <w:basedOn w:val="Standaardalinea-lettertype"/>
    <w:uiPriority w:val="99"/>
    <w:unhideWhenUsed/>
    <w:rsid w:val="00EE1A99"/>
    <w:rPr>
      <w:color w:val="467886" w:themeColor="hyperlink"/>
      <w:u w:val="single"/>
    </w:rPr>
  </w:style>
  <w:style w:type="character" w:styleId="Onopgelostemelding">
    <w:name w:val="Unresolved Mention"/>
    <w:basedOn w:val="Standaardalinea-lettertype"/>
    <w:uiPriority w:val="99"/>
    <w:semiHidden/>
    <w:unhideWhenUsed/>
    <w:rsid w:val="00EE1A99"/>
    <w:rPr>
      <w:color w:val="605E5C"/>
      <w:shd w:val="clear" w:color="auto" w:fill="E1DFDD"/>
    </w:rPr>
  </w:style>
  <w:style w:type="paragraph" w:styleId="Koptekst">
    <w:name w:val="header"/>
    <w:basedOn w:val="Standaard"/>
    <w:link w:val="KoptekstChar"/>
    <w:uiPriority w:val="99"/>
    <w:unhideWhenUsed/>
    <w:rsid w:val="009869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69A0"/>
  </w:style>
  <w:style w:type="paragraph" w:styleId="Voettekst">
    <w:name w:val="footer"/>
    <w:basedOn w:val="Standaard"/>
    <w:link w:val="VoettekstChar"/>
    <w:uiPriority w:val="99"/>
    <w:unhideWhenUsed/>
    <w:rsid w:val="009869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69A0"/>
  </w:style>
  <w:style w:type="paragraph" w:styleId="Voetnoottekst">
    <w:name w:val="footnote text"/>
    <w:basedOn w:val="Standaard"/>
    <w:link w:val="VoetnoottekstChar"/>
    <w:uiPriority w:val="99"/>
    <w:semiHidden/>
    <w:unhideWhenUsed/>
    <w:rsid w:val="00C418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18A2"/>
    <w:rPr>
      <w:sz w:val="20"/>
      <w:szCs w:val="20"/>
    </w:rPr>
  </w:style>
  <w:style w:type="character" w:styleId="Voetnootmarkering">
    <w:name w:val="footnote reference"/>
    <w:basedOn w:val="Standaardalinea-lettertype"/>
    <w:uiPriority w:val="99"/>
    <w:semiHidden/>
    <w:unhideWhenUsed/>
    <w:rsid w:val="00C418A2"/>
    <w:rPr>
      <w:vertAlign w:val="superscript"/>
    </w:rPr>
  </w:style>
  <w:style w:type="paragraph" w:styleId="Revisie">
    <w:name w:val="Revision"/>
    <w:hidden/>
    <w:uiPriority w:val="99"/>
    <w:semiHidden/>
    <w:rsid w:val="00981871"/>
    <w:pPr>
      <w:spacing w:after="0" w:line="240" w:lineRule="auto"/>
    </w:pPr>
  </w:style>
  <w:style w:type="character" w:styleId="Verwijzingopmerking">
    <w:name w:val="annotation reference"/>
    <w:basedOn w:val="Standaardalinea-lettertype"/>
    <w:uiPriority w:val="99"/>
    <w:semiHidden/>
    <w:unhideWhenUsed/>
    <w:rsid w:val="00C54187"/>
    <w:rPr>
      <w:sz w:val="16"/>
      <w:szCs w:val="16"/>
    </w:rPr>
  </w:style>
  <w:style w:type="paragraph" w:styleId="Tekstopmerking">
    <w:name w:val="annotation text"/>
    <w:basedOn w:val="Standaard"/>
    <w:link w:val="TekstopmerkingChar"/>
    <w:uiPriority w:val="99"/>
    <w:unhideWhenUsed/>
    <w:rsid w:val="00C54187"/>
    <w:pPr>
      <w:spacing w:line="240" w:lineRule="auto"/>
    </w:pPr>
    <w:rPr>
      <w:sz w:val="20"/>
      <w:szCs w:val="20"/>
    </w:rPr>
  </w:style>
  <w:style w:type="character" w:customStyle="1" w:styleId="TekstopmerkingChar">
    <w:name w:val="Tekst opmerking Char"/>
    <w:basedOn w:val="Standaardalinea-lettertype"/>
    <w:link w:val="Tekstopmerking"/>
    <w:uiPriority w:val="99"/>
    <w:rsid w:val="00C54187"/>
    <w:rPr>
      <w:sz w:val="20"/>
      <w:szCs w:val="20"/>
    </w:rPr>
  </w:style>
  <w:style w:type="paragraph" w:styleId="Onderwerpvanopmerking">
    <w:name w:val="annotation subject"/>
    <w:basedOn w:val="Tekstopmerking"/>
    <w:next w:val="Tekstopmerking"/>
    <w:link w:val="OnderwerpvanopmerkingChar"/>
    <w:uiPriority w:val="99"/>
    <w:semiHidden/>
    <w:unhideWhenUsed/>
    <w:rsid w:val="00C54187"/>
    <w:rPr>
      <w:b/>
      <w:bCs/>
    </w:rPr>
  </w:style>
  <w:style w:type="character" w:customStyle="1" w:styleId="OnderwerpvanopmerkingChar">
    <w:name w:val="Onderwerp van opmerking Char"/>
    <w:basedOn w:val="TekstopmerkingChar"/>
    <w:link w:val="Onderwerpvanopmerking"/>
    <w:uiPriority w:val="99"/>
    <w:semiHidden/>
    <w:rsid w:val="00C54187"/>
    <w:rPr>
      <w:b/>
      <w:bCs/>
      <w:sz w:val="20"/>
      <w:szCs w:val="20"/>
    </w:rPr>
  </w:style>
  <w:style w:type="character" w:styleId="GevolgdeHyperlink">
    <w:name w:val="FollowedHyperlink"/>
    <w:basedOn w:val="Standaardalinea-lettertype"/>
    <w:uiPriority w:val="99"/>
    <w:semiHidden/>
    <w:unhideWhenUsed/>
    <w:rsid w:val="005F6D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6527">
      <w:bodyDiv w:val="1"/>
      <w:marLeft w:val="0"/>
      <w:marRight w:val="0"/>
      <w:marTop w:val="0"/>
      <w:marBottom w:val="0"/>
      <w:divBdr>
        <w:top w:val="none" w:sz="0" w:space="0" w:color="auto"/>
        <w:left w:val="none" w:sz="0" w:space="0" w:color="auto"/>
        <w:bottom w:val="none" w:sz="0" w:space="0" w:color="auto"/>
        <w:right w:val="none" w:sz="0" w:space="0" w:color="auto"/>
      </w:divBdr>
    </w:div>
    <w:div w:id="398864951">
      <w:bodyDiv w:val="1"/>
      <w:marLeft w:val="0"/>
      <w:marRight w:val="0"/>
      <w:marTop w:val="0"/>
      <w:marBottom w:val="0"/>
      <w:divBdr>
        <w:top w:val="none" w:sz="0" w:space="0" w:color="auto"/>
        <w:left w:val="none" w:sz="0" w:space="0" w:color="auto"/>
        <w:bottom w:val="none" w:sz="0" w:space="0" w:color="auto"/>
        <w:right w:val="none" w:sz="0" w:space="0" w:color="auto"/>
      </w:divBdr>
    </w:div>
    <w:div w:id="626206489">
      <w:bodyDiv w:val="1"/>
      <w:marLeft w:val="0"/>
      <w:marRight w:val="0"/>
      <w:marTop w:val="0"/>
      <w:marBottom w:val="0"/>
      <w:divBdr>
        <w:top w:val="none" w:sz="0" w:space="0" w:color="auto"/>
        <w:left w:val="none" w:sz="0" w:space="0" w:color="auto"/>
        <w:bottom w:val="none" w:sz="0" w:space="0" w:color="auto"/>
        <w:right w:val="none" w:sz="0" w:space="0" w:color="auto"/>
      </w:divBdr>
    </w:div>
    <w:div w:id="8287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cpb-notitie-de-economische-effecten-van-internationalisering-in-het-hogeronderwijs-en-mbo_0.pdf" TargetMode="External"/><Relationship Id="rId2" Type="http://schemas.openxmlformats.org/officeDocument/2006/relationships/hyperlink" Target="https://brainporteindhoven.com/fileadmin/user_upload/Brainport_Eindhoven/Brainport_Eindhoven_Regionale_Visie_op_Internationaal_Talent_Feb_2024.pdf" TargetMode="External"/><Relationship Id="rId1" Type="http://schemas.openxmlformats.org/officeDocument/2006/relationships/hyperlink" Target="https://brainporteindhoven.com/fileadmin/user_upload/Brainport_Development/Strategie/DEF_versie_Strategische_agenda_Tal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1219</ap:Words>
  <ap:Characters>6705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2024-06-11T08:31:00.0000000Z</dcterms:created>
  <dcterms:modified xsi:type="dcterms:W3CDTF">2024-06-11T09:08:00.0000000Z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0x0101001B01895736EC80498B493D55F0326FD2</vt:lpwstr>
  </property>
</Properties>
</file>